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w:t>
      </w:r>
    </w:p>
    <w:p>
      <w:pPr>
        <w:spacing w:before="0" w:after="0"/>
        <w:ind w:left="120"/>
        <w:jc w:val="center"/>
      </w:pPr>
      <w:r>
        <w:rPr>
          <w:rFonts w:ascii="Times New Roman" w:hAnsi="Times New Roman"/>
          <w:b w:val="false"/>
          <w:i w:val="false"/>
          <w:color w:val="000000"/>
          <w:sz w:val="21"/>
        </w:rPr>
        <w:t>GENERAL FIRE SAFETY REQUIREMENTS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661—201.1</w:t>
      </w:r>
      <w:r>
        <w:rPr>
          <w:rFonts w:ascii="Times New Roman" w:hAnsi="Times New Roman"/>
          <w:b/>
          <w:i w:val="false"/>
          <w:color w:val="000000"/>
          <w:sz w:val="22"/>
        </w:rPr>
        <w:t xml:space="preserve">(100)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 provisions of this chapter apply to all buildings, structures and facilities that are subject to the jurisdiction of the state fire marshal unless the building, structure, or facility is subject to the provisions of </w:t>
      </w:r>
      <w:hyperlink r:id="rId5">
        <w:r>
          <w:rPr>
            <w:rStyle w:val="Hyperlink"/>
            <w:rFonts w:ascii="Times New Roman" w:hAnsi="Times New Roman"/>
            <w:b w:val="false"/>
            <w:i w:val="false"/>
            <w:color w:val="000000"/>
            <w:sz w:val="22"/>
          </w:rPr>
          <w:t>661—Chapter 202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661—Chapter 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661—201.2</w:t>
      </w:r>
      <w:r>
        <w:rPr>
          <w:rFonts w:ascii="Times New Roman" w:hAnsi="Times New Roman"/>
          <w:b/>
          <w:i w:val="false"/>
          <w:color w:val="000000"/>
          <w:sz w:val="22"/>
        </w:rPr>
        <w:t xml:space="preserve">(100)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The following publications or indicated portions thereof are hereby adopted by reference as general fire safety requirements and shall apply to all occupancies other than those to which provisions specific to an occupancy explicitly exclude these provisions or any individual provision contained therein. Additionally, refer to rule </w:t>
      </w:r>
      <w:hyperlink r:id="rId9">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val="false"/>
          <w:color w:val="000000"/>
          <w:sz w:val="22"/>
        </w:rPr>
        <w:t>International Fire Code, 2015 edition, published by the International Code Council, 1500 New Jersey Avenue NW, 6th Floor, Washington, D.C. 20001, with the following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Delete section 103 and sections contained therein, section 104 and sections contained therein, section 105 and sections contained therein, section 106 and sections contained therein, section 107 and sections contained therein, section 108 and sections contained therein, section 109 and sections contained therein, section 110 and sections contained therein, section 111 and sections contained therein, section 112, and section 113 and sections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Delete section 301.2.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Delete section 307.2.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Delete section 307.3 and insert in lieu thereof the following new section:</w:t>
      </w:r>
    </w:p>
    <w:p>
      <w:pPr>
        <w:spacing w:before="0" w:after="0"/>
        <w:ind w:left="120"/>
        <w:jc w:val="both"/>
      </w:pPr>
      <w:r>
        <w:rPr>
          <w:rFonts w:ascii="Times New Roman" w:hAnsi="Times New Roman"/>
          <w:b/>
          <w:i w:val="false"/>
          <w:color w:val="000000"/>
          <w:sz w:val="22"/>
        </w:rPr>
        <w:t>307.3 Extinguishment Authority.</w:t>
      </w:r>
      <w:r>
        <w:rPr>
          <w:rFonts w:ascii="Times New Roman" w:hAnsi="Times New Roman"/>
          <w:b w:val="false"/>
          <w:i w:val="false"/>
          <w:color w:val="000000"/>
          <w:sz w:val="22"/>
        </w:rPr>
        <w:t xml:space="preserve"> The state fire marshal or an employee of the fire marshal division authorized to do so by the fire marshal, or local fire chief or member of the local fire department authorized to do so by the fire chief, is authorized to order the extinguishment by the permit holder, another person responsible or the fire department of open burning that creates or adds to a hazardous or objectionable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Delete section 308.1.4 and insert in lieu thereof the following new section:</w:t>
      </w:r>
    </w:p>
    <w:p>
      <w:pPr>
        <w:spacing w:before="0" w:after="0"/>
        <w:ind w:left="120"/>
        <w:jc w:val="both"/>
      </w:pPr>
      <w:r>
        <w:rPr>
          <w:rFonts w:ascii="Times New Roman" w:hAnsi="Times New Roman"/>
          <w:b/>
          <w:i w:val="false"/>
          <w:color w:val="000000"/>
          <w:sz w:val="22"/>
        </w:rPr>
        <w:t>308.1.4 Open Flame Cooking Devices.</w:t>
      </w:r>
      <w:r>
        <w:rPr>
          <w:rFonts w:ascii="Times New Roman" w:hAnsi="Times New Roman"/>
          <w:b w:val="false"/>
          <w:i w:val="false"/>
          <w:color w:val="000000"/>
          <w:sz w:val="22"/>
        </w:rPr>
        <w:t xml:space="preserve"> Charcoal burners and ash- or coal-producing devices shall not be operated on combustible balconies or within 10 feet of combustible construction.</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One- and two-family dwellings.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LP-gas burners connected to one (1) 20-pound LP-gas container.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Where buildings, balconies and decks are protected by an automatic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section 315.3.3 and insert in lieu thereof the following new section: </w:t>
      </w:r>
    </w:p>
    <w:p>
      <w:pPr>
        <w:spacing w:before="0" w:after="0"/>
        <w:ind w:left="120"/>
        <w:jc w:val="both"/>
      </w:pPr>
      <w:r>
        <w:rPr>
          <w:rFonts w:ascii="Times New Roman" w:hAnsi="Times New Roman"/>
          <w:b/>
          <w:i w:val="false"/>
          <w:color w:val="000000"/>
          <w:sz w:val="22"/>
        </w:rPr>
        <w:t>315.3.3 Equipment Rooms.</w:t>
      </w:r>
      <w:r>
        <w:rPr>
          <w:rFonts w:ascii="Times New Roman" w:hAnsi="Times New Roman"/>
          <w:b w:val="false"/>
          <w:i w:val="false"/>
          <w:color w:val="000000"/>
          <w:sz w:val="22"/>
        </w:rPr>
        <w:t xml:space="preserve"> Combustible material shall not be stored in boiler rooms, mechanical rooms, or electrical equipment rooms or in fire command centers as specified in Section 508.1.5.</w:t>
      </w:r>
    </w:p>
    <w:p>
      <w:pPr>
        <w:spacing w:before="0" w:after="0"/>
        <w:ind w:left="120"/>
        <w:jc w:val="both"/>
      </w:pPr>
      <w:r>
        <w:rPr>
          <w:rFonts w:ascii="Times New Roman" w:hAnsi="Times New Roman"/>
          <w:b w:val="false"/>
          <w:i w:val="false"/>
          <w:color w:val="000000"/>
          <w:sz w:val="22"/>
        </w:rPr>
        <w:t>Exception: In sprinklered equipment rooms that have sufficient space to allow a minimum of 10 feet between all combustible storage and the heating, mechanical or electrical equipment in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Delete section 405.2 and table 405.2 and insert in lieu thereof the following new section and new table:</w:t>
      </w:r>
    </w:p>
    <w:p>
      <w:pPr>
        <w:spacing w:before="0" w:after="0"/>
        <w:ind w:left="120"/>
        <w:jc w:val="both"/>
      </w:pPr>
      <w:r>
        <w:rPr>
          <w:rFonts w:ascii="Times New Roman" w:hAnsi="Times New Roman"/>
          <w:b/>
          <w:i w:val="false"/>
          <w:color w:val="000000"/>
          <w:sz w:val="22"/>
        </w:rPr>
        <w:t>405.2 Frequency.</w:t>
      </w:r>
      <w:r>
        <w:rPr>
          <w:rFonts w:ascii="Times New Roman" w:hAnsi="Times New Roman"/>
          <w:b w:val="false"/>
          <w:i w:val="false"/>
          <w:color w:val="000000"/>
          <w:sz w:val="22"/>
        </w:rPr>
        <w:t xml:space="preserve"> Required emergency evacuation drills shall be held at the intervals specified in Table 405.2 or more frequently where necessary to familiarize all occupants with the drill procedure.</w:t>
      </w:r>
    </w:p>
    <w:p>
      <w:pPr>
        <w:spacing w:before="60" w:after="0"/>
        <w:ind w:left="120"/>
        <w:jc w:val="center"/>
      </w:pPr>
      <w:r>
        <w:rPr>
          <w:rFonts w:ascii="Times New Roman" w:hAnsi="Times New Roman"/>
          <w:b/>
          <w:i w:val="false"/>
          <w:color w:val="000000"/>
          <w:sz w:val="20"/>
        </w:rPr>
        <w:t>TABLE 405.2</w:t>
      </w:r>
    </w:p>
    <w:p>
      <w:pPr>
        <w:spacing w:before="60" w:after="0"/>
        <w:ind w:left="120"/>
        <w:jc w:val="center"/>
      </w:pPr>
      <w:r>
        <w:rPr>
          <w:rFonts w:ascii="Times New Roman" w:hAnsi="Times New Roman"/>
          <w:b/>
          <w:i w:val="false"/>
          <w:color w:val="000000"/>
          <w:sz w:val="20"/>
        </w:rPr>
        <w:t>FIRE AND EVACUATION DRILL FREQUENCY AND PARTICIPATION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64"/>
        <w:gridCol w:w="3463"/>
        <w:gridCol w:w="3463"/>
      </w:tblGrid>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GROUP OR OCCUPANCY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FREQUENCY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8"/>
              </w:rPr>
              <w:t>PARTICIPATION</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A</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Quarterly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Employees</w:t>
            </w:r>
          </w:p>
        </w:tc>
      </w:tr>
      <w:tr>
        <w:trPr>
          <w:trHeight w:val="28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B</w:t>
            </w:r>
            <w:r>
              <w:rPr>
                <w:rFonts w:ascii="Times New Roman" w:hAnsi="Times New Roman"/>
                <w:b w:val="false"/>
                <w:i w:val="false"/>
                <w:color w:val="000000"/>
                <w:sz w:val="18"/>
                <w:vertAlign w:val="superscript"/>
              </w:rPr>
              <w:t>(c)</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Employees</w:t>
            </w:r>
          </w:p>
        </w:tc>
      </w:tr>
      <w:tr>
        <w:trPr>
          <w:trHeight w:val="28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E</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See </w:t>
            </w:r>
            <w:r>
              <w:rPr>
                <w:rFonts w:ascii="Times New Roman" w:hAnsi="Times New Roman"/>
                <w:b w:val="false"/>
                <w:i w:val="false"/>
                <w:color w:val="000000"/>
                <w:sz w:val="18"/>
                <w:vertAlign w:val="superscript"/>
              </w:rPr>
              <w:t>(a)</w:t>
            </w:r>
            <w:r>
              <w:rPr>
                <w:rFonts w:ascii="Times New Roman" w:hAnsi="Times New Roman"/>
                <w:b w:val="false"/>
                <w:i w:val="false"/>
                <w:color w:val="000000"/>
                <w:sz w:val="18"/>
              </w:rPr>
              <w:t xml:space="preserve"> below</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I</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Quarterly on each shift</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Employees</w:t>
            </w:r>
          </w:p>
        </w:tc>
      </w:tr>
      <w:tr>
        <w:trPr>
          <w:trHeight w:val="28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I-1</w:t>
            </w:r>
            <w:r>
              <w:rPr>
                <w:rFonts w:ascii="Times New Roman" w:hAnsi="Times New Roman"/>
                <w:b w:val="false"/>
                <w:i w:val="false"/>
                <w:color w:val="000000"/>
                <w:sz w:val="18"/>
                <w:vertAlign w:val="superscript"/>
              </w:rPr>
              <w:t>(b)</w:t>
            </w:r>
            <w:r>
              <w:rPr>
                <w:rFonts w:ascii="Times New Roman" w:hAnsi="Times New Roman"/>
                <w:b w:val="false"/>
                <w:i w:val="false"/>
                <w:color w:val="000000"/>
                <w:sz w:val="18"/>
              </w:rPr>
              <w:t xml:space="preserve"> and Group R-4</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Quarterly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R-1</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Quarterly on each shift</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Employees</w:t>
            </w:r>
          </w:p>
        </w:tc>
      </w:tr>
      <w:tr>
        <w:trPr>
          <w:trHeight w:val="28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Group R-2</w:t>
            </w:r>
            <w:r>
              <w:rPr>
                <w:rFonts w:ascii="Times New Roman" w:hAnsi="Times New Roman"/>
                <w:b w:val="false"/>
                <w:i w:val="false"/>
                <w:color w:val="000000"/>
                <w:sz w:val="18"/>
                <w:vertAlign w:val="superscript"/>
              </w:rPr>
              <w:t>(d)</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Four 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All occupants</w:t>
            </w:r>
          </w:p>
        </w:tc>
      </w:tr>
      <w:tr>
        <w:trPr>
          <w:trHeight w:val="255" w:hRule="atLeast"/>
        </w:trPr>
        <w:tc>
          <w:tcPr>
            <w:tcW w:w="426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High-rise</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Annually</w:t>
            </w:r>
          </w:p>
        </w:tc>
        <w:tc>
          <w:tcPr>
            <w:tcW w:w="34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Employees</w:t>
            </w:r>
          </w:p>
        </w:tc>
      </w:tr>
    </w:tbl>
    <w:p>
      <w:pPr>
        <w:spacing w:before="0" w:after="0"/>
        <w:ind w:left="120"/>
        <w:jc w:val="both"/>
      </w:pPr>
      <w:r>
        <w:rPr>
          <w:rFonts w:ascii="Times New Roman" w:hAnsi="Times New Roman"/>
          <w:b w:val="false"/>
          <w:i w:val="false"/>
          <w:color w:val="000000"/>
          <w:sz w:val="22"/>
        </w:rPr>
        <w:t>Footnotes:</w:t>
      </w:r>
    </w:p>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Fire and severe weather drills shall be conducted in accordance with Iowa Code chapter </w:t>
      </w:r>
      <w:hyperlink r:id="rId10">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In severe climates, the fire code official shall have the authority to modify the emergency evacuation drill frequency.</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Fire and evacuation drills in assisted living facilities shall include complete evacuation of the premises in accordance with Section 403.10.3.6. Drills shall be conducted not less than six times per year on a bimonthly basis, with not less than two drills conducted during the night when residents could reasonably be expected to be sleeping. The drills shall be permitted to be announced in advance to the residents. Where occupants receive habilitation or rehabilitation training, fire prevention and fire safety practices shall be included as part of the training program.</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xml:space="preserve"> Group B buildings that have an occupant load of 500 or more persons or more than 100 persons above or below the lowest level of exit discharge.</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xml:space="preserve"> Applicable to Group R-2 college and university buildings in accordance with Section 408.3.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Delete section 807.5.2.1 and insert in lieu thereof the following new section:</w:t>
      </w:r>
    </w:p>
    <w:p>
      <w:pPr>
        <w:spacing w:before="0" w:after="0"/>
        <w:ind w:left="120"/>
        <w:jc w:val="both"/>
      </w:pPr>
      <w:r>
        <w:rPr>
          <w:rFonts w:ascii="Times New Roman" w:hAnsi="Times New Roman"/>
          <w:b/>
          <w:i w:val="false"/>
          <w:color w:val="000000"/>
          <w:sz w:val="22"/>
        </w:rPr>
        <w:t>807.5.2.1 Storage in corridors and lobbies.</w:t>
      </w:r>
      <w:r>
        <w:rPr>
          <w:rFonts w:ascii="Times New Roman" w:hAnsi="Times New Roman"/>
          <w:b w:val="false"/>
          <w:i w:val="false"/>
          <w:color w:val="000000"/>
          <w:sz w:val="22"/>
        </w:rPr>
        <w:t xml:space="preserve"> Clothing and personal effects shall not be stored in corridors and lobbies.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Corridors protected by an approved automatic sprinkler system installed in accordance with Section 903.3.1.1.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Storage in metal lockers, provided the minimum required egress width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Delete section 903.2.8 and insert in lieu thereof the following new section:</w:t>
      </w:r>
    </w:p>
    <w:p>
      <w:pPr>
        <w:spacing w:before="0" w:after="0"/>
        <w:ind w:left="120"/>
        <w:jc w:val="both"/>
      </w:pPr>
      <w:r>
        <w:rPr>
          <w:rFonts w:ascii="Times New Roman" w:hAnsi="Times New Roman"/>
          <w:b/>
          <w:i w:val="false"/>
          <w:color w:val="000000"/>
          <w:sz w:val="22"/>
        </w:rPr>
        <w:t>903.2.8 Group R.</w:t>
      </w:r>
      <w:r>
        <w:rPr>
          <w:rFonts w:ascii="Times New Roman" w:hAnsi="Times New Roman"/>
          <w:b w:val="false"/>
          <w:i w:val="false"/>
          <w:color w:val="000000"/>
          <w:sz w:val="22"/>
        </w:rPr>
        <w:t xml:space="preserve"> An automatic sprinkler system installed in accordance with section 903.3 shall be provided throughout all buildings with a Group R fire area.</w:t>
      </w:r>
    </w:p>
    <w:p>
      <w:pPr>
        <w:spacing w:before="0" w:after="0"/>
        <w:ind w:left="120"/>
        <w:jc w:val="both"/>
      </w:pPr>
      <w:r>
        <w:rPr>
          <w:rFonts w:ascii="Times New Roman" w:hAnsi="Times New Roman"/>
          <w:b w:val="false"/>
          <w:i w:val="false"/>
          <w:color w:val="000000"/>
          <w:sz w:val="22"/>
        </w:rPr>
        <w:t>Exception: Cabin buildings that are located in remote areas without a sufficient municipal water supply for design of a fire sprinkler system and that meet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Not more than one 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more than 750 square feet in floor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Fuel-fired heating equipment and other fuel-fired appliances are separated from sleeping areas by a one-hour fire-rated assembly.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Provided with fire alarm and smoke alarm systems as required by Section 907 for R-1 occupancies.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Basements are not allowed.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Maintain a fire separation of 20 feet from any other building or structure.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Comply with all applicable requirements of this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Delete section 907.2.3 and insert in lieu thereof the following new section:</w:t>
      </w:r>
    </w:p>
    <w:p>
      <w:pPr>
        <w:spacing w:before="0" w:after="0"/>
        <w:ind w:left="120"/>
        <w:jc w:val="both"/>
      </w:pPr>
      <w:r>
        <w:rPr>
          <w:rFonts w:ascii="Times New Roman" w:hAnsi="Times New Roman"/>
          <w:b/>
          <w:i w:val="false"/>
          <w:color w:val="000000"/>
          <w:sz w:val="22"/>
        </w:rPr>
        <w:t>907.2.3 Group E.</w:t>
      </w:r>
      <w:r>
        <w:rPr>
          <w:rFonts w:ascii="Times New Roman" w:hAnsi="Times New Roman"/>
          <w:b w:val="false"/>
          <w:i w:val="false"/>
          <w:color w:val="000000"/>
          <w:sz w:val="22"/>
        </w:rPr>
        <w:t xml:space="preserve"> In the absence of a complete automatic sprinkler system, a complete automatic detection system utilizing an emergency voice/alarm communication system shall be installed throughout the entire Group E occupancy. A Group E occupancy with a complete automatic sprinkler system shall be provided with a fire alarm system utilizing an emergency voice/alarm communication system in compliance with Section 907.5.2.2 and installed in accordance with Section 907.6. As a minimum, smoke detection shall be provided in corridors at a maximum spacing of 30 feet on center, and heat or smoke detection shall be provided in any hazardous or nonoccupied areas in all new or existing Group E occupancies.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Group E occupancies with an occupant load of less than 50.</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are not required in Group E occupancies where all of the following apply:</w:t>
      </w:r>
    </w:p>
    <w:p>
      <w:pPr>
        <w:spacing w:before="0" w:after="0"/>
        <w:ind w:left="120"/>
        <w:jc w:val="both"/>
      </w:pPr>
      <w:r>
        <w:rPr>
          <w:rFonts w:ascii="Times New Roman" w:hAnsi="Times New Roman"/>
          <w:b w:val="false"/>
          <w:i w:val="false"/>
          <w:color w:val="000000"/>
          <w:sz w:val="22"/>
        </w:rPr>
        <w:t>2.1.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Interior corridors are protected by smoke detectors with alarm verification.</w:t>
      </w:r>
    </w:p>
    <w:p>
      <w:pPr>
        <w:spacing w:before="0" w:after="0"/>
        <w:ind w:left="120"/>
        <w:jc w:val="both"/>
      </w:pPr>
      <w:r>
        <w:rPr>
          <w:rFonts w:ascii="Times New Roman" w:hAnsi="Times New Roman"/>
          <w:b w:val="false"/>
          <w:i w:val="false"/>
          <w:color w:val="000000"/>
          <w:sz w:val="22"/>
        </w:rPr>
        <w:t>2.2.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Auditoriums, cafeterias, gymnasiums and the like are protected by heat detectors or other approved detection devices.</w:t>
      </w:r>
    </w:p>
    <w:p>
      <w:pPr>
        <w:spacing w:before="0" w:after="0"/>
        <w:ind w:left="120"/>
        <w:jc w:val="both"/>
      </w:pPr>
      <w:r>
        <w:rPr>
          <w:rFonts w:ascii="Times New Roman" w:hAnsi="Times New Roman"/>
          <w:b w:val="false"/>
          <w:i w:val="false"/>
          <w:color w:val="000000"/>
          <w:sz w:val="22"/>
        </w:rPr>
        <w:t>2.3.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Shops and laboratories involving dusts or vapors are protected by heat detectors or other approved detection devices.</w:t>
      </w:r>
    </w:p>
    <w:p>
      <w:pPr>
        <w:spacing w:before="0" w:after="0"/>
        <w:ind w:left="120"/>
        <w:jc w:val="both"/>
      </w:pPr>
      <w:r>
        <w:rPr>
          <w:rFonts w:ascii="Times New Roman" w:hAnsi="Times New Roman"/>
          <w:b w:val="false"/>
          <w:i w:val="false"/>
          <w:color w:val="000000"/>
          <w:sz w:val="22"/>
        </w:rPr>
        <w:t>2.4.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Off-premises monitoring is provided.</w:t>
      </w:r>
    </w:p>
    <w:p>
      <w:pPr>
        <w:spacing w:before="0" w:after="0"/>
        <w:ind w:left="120"/>
        <w:jc w:val="both"/>
      </w:pPr>
      <w:r>
        <w:rPr>
          <w:rFonts w:ascii="Times New Roman" w:hAnsi="Times New Roman"/>
          <w:b w:val="false"/>
          <w:i w:val="false"/>
          <w:color w:val="000000"/>
          <w:sz w:val="22"/>
        </w:rPr>
        <w:t>2.5.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capability to activate the evacuation signal from a central point is provided.</w:t>
      </w:r>
    </w:p>
    <w:p>
      <w:pPr>
        <w:spacing w:before="0" w:after="0"/>
        <w:ind w:left="120"/>
        <w:jc w:val="both"/>
      </w:pPr>
      <w:r>
        <w:rPr>
          <w:rFonts w:ascii="Times New Roman" w:hAnsi="Times New Roman"/>
          <w:b w:val="false"/>
          <w:i w:val="false"/>
          <w:color w:val="000000"/>
          <w:sz w:val="22"/>
        </w:rPr>
        <w:t>2.6.</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 buildings where normally occupied spaces are provided with a two-way communication system between such spaces and a constantly attended receiving station from which a general evacuation alarm can be sounded, except in locations specifically designated by the fire code official.</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Manual fire alarm boxes shall not be required in Group E occupancies where the building is equipped throughout with an approved automatic sprinkler system, the notification appliances will activate on sprinkler water flow, and manual activation is provided from a normally occupied location.</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Emergency voice/alarm communication systems meeting the requirements of Section 907.5.2.2 and installed in accordance with Section 907.6 shall not be required in Group E occupancies with occupant loads of 100 or less, provided that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1003.8:</w:t>
      </w:r>
    </w:p>
    <w:p>
      <w:pPr>
        <w:spacing w:before="0" w:after="0"/>
        <w:ind w:left="120"/>
        <w:jc w:val="both"/>
      </w:pPr>
      <w:r>
        <w:rPr>
          <w:rFonts w:ascii="Times New Roman" w:hAnsi="Times New Roman"/>
          <w:b/>
          <w:i w:val="false"/>
          <w:color w:val="000000"/>
          <w:sz w:val="22"/>
        </w:rPr>
        <w:t>1003.8 Frost protection.</w:t>
      </w:r>
      <w:r>
        <w:rPr>
          <w:rFonts w:ascii="Times New Roman" w:hAnsi="Times New Roman"/>
          <w:b w:val="false"/>
          <w:i w:val="false"/>
          <w:color w:val="000000"/>
          <w:sz w:val="22"/>
        </w:rPr>
        <w:t xml:space="preserve"> Exterior landings at doors shall be provided with frost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1028.6:</w:t>
      </w:r>
    </w:p>
    <w:p>
      <w:pPr>
        <w:spacing w:before="0" w:after="0"/>
        <w:ind w:left="120"/>
        <w:jc w:val="both"/>
      </w:pPr>
      <w:r>
        <w:rPr>
          <w:rFonts w:ascii="Times New Roman" w:hAnsi="Times New Roman"/>
          <w:b/>
          <w:i w:val="false"/>
          <w:color w:val="000000"/>
          <w:sz w:val="22"/>
        </w:rPr>
        <w:t>1028.6 Exit discharge pathways.</w:t>
      </w:r>
      <w:r>
        <w:rPr>
          <w:rFonts w:ascii="Times New Roman" w:hAnsi="Times New Roman"/>
          <w:b w:val="false"/>
          <w:i w:val="false"/>
          <w:color w:val="000000"/>
          <w:sz w:val="22"/>
        </w:rPr>
        <w:t xml:space="preserve"> Exit discharge pathways shall be paved from all required exits of a building to a public way or parking 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Delete section 1029.1.1 and insert in lieu thereof the following new section:</w:t>
      </w:r>
    </w:p>
    <w:p>
      <w:pPr>
        <w:spacing w:before="0" w:after="0"/>
        <w:ind w:left="120"/>
        <w:jc w:val="both"/>
      </w:pPr>
      <w:r>
        <w:rPr>
          <w:rFonts w:ascii="Times New Roman" w:hAnsi="Times New Roman"/>
          <w:b/>
          <w:i w:val="false"/>
          <w:color w:val="000000"/>
          <w:sz w:val="22"/>
        </w:rPr>
        <w:t>1029.1.1</w:t>
      </w:r>
      <w:r>
        <w:rPr>
          <w:rFonts w:ascii="Times New Roman" w:hAnsi="Times New Roman"/>
          <w:b w:val="false"/>
          <w:i w:val="false"/>
          <w:color w:val="000000"/>
          <w:sz w:val="22"/>
        </w:rPr>
        <w:t xml:space="preserve"> Bleachers, grandstands, and folding and telescopic seating that are not building elements shall comply with ICC-300, Standard for Bleachers, Folding and Telescopic Seating, and Grandstands, 2012 edition, with the following amendments to ICC-300: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Delete section 105.2 and insert in lieu thereof the following new section:</w:t>
      </w:r>
    </w:p>
    <w:p>
      <w:pPr>
        <w:spacing w:before="0" w:after="0"/>
        <w:ind w:left="120"/>
        <w:jc w:val="both"/>
      </w:pPr>
      <w:r>
        <w:rPr>
          <w:rFonts w:ascii="Times New Roman" w:hAnsi="Times New Roman"/>
          <w:b/>
          <w:i w:val="false"/>
          <w:color w:val="000000"/>
          <w:sz w:val="22"/>
        </w:rPr>
        <w:t>105.2 Yearly inspection required.</w:t>
      </w:r>
      <w:r>
        <w:rPr>
          <w:rFonts w:ascii="Times New Roman" w:hAnsi="Times New Roman"/>
          <w:b w:val="false"/>
          <w:i w:val="false"/>
          <w:color w:val="000000"/>
          <w:sz w:val="22"/>
        </w:rPr>
        <w:t xml:space="preserve"> The owner shall cause all bleachers and folding and telescopic seating installed on or after December 1, 2011, to be inspected at least once a year in order to verify that the structure is maintained in compliance with the provisions of this standard. All folding and telescopic seating shall also be inspected to evaluate compliance with the manufacturer’s installation and operational instructions during the opening and closing of such seating. Any inspection conducted in compliance with this section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The owner shall maintain documentation of the required annual inspections, which shall show the date and name of the person conducting the inspection and shall be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Delete section 501.2 and insert in lieu thereof the following new section:</w:t>
      </w:r>
    </w:p>
    <w:p>
      <w:pPr>
        <w:spacing w:before="0" w:after="0"/>
        <w:ind w:left="120"/>
        <w:jc w:val="both"/>
      </w:pPr>
      <w:r>
        <w:rPr>
          <w:rFonts w:ascii="Times New Roman" w:hAnsi="Times New Roman"/>
          <w:b/>
          <w:i w:val="false"/>
          <w:color w:val="000000"/>
          <w:sz w:val="22"/>
        </w:rPr>
        <w:t>501.2 Inspections.</w:t>
      </w:r>
      <w:r>
        <w:rPr>
          <w:rFonts w:ascii="Times New Roman" w:hAnsi="Times New Roman"/>
          <w:b w:val="false"/>
          <w:i w:val="false"/>
          <w:color w:val="000000"/>
          <w:sz w:val="22"/>
        </w:rPr>
        <w:t xml:space="preserve"> All tiered seating that was installed prior to December 1, 2011, shall be inspected at least once a year. The required inspection may be conducted by any knowledgeable person including, but not limited to, a person who has been instructed by the manufacturer or installer as to procedures and standards for inspections of the structure being inspected and including, but not limited to, the owner of the structure or an employee of the owner of the structure. There are no further restrictions on the identity or employment of the person conducting the inspection unless otherwise provided by law. All folding and telescopic seating shall be inspected to evaluate compliance with the manufacturer’s installation and operational instructions and shall be inspected during the opening and closing of such seating. The owner shall maintain documentation of the required annual inspections, which shall show the date and name of the person conducting the inspection and shall be initialed by the person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Delete section 1103.7.1 and insert in lieu thereof the following new section:</w:t>
      </w:r>
    </w:p>
    <w:p>
      <w:pPr>
        <w:spacing w:before="0" w:after="0"/>
        <w:ind w:left="120"/>
        <w:jc w:val="both"/>
      </w:pPr>
      <w:r>
        <w:rPr>
          <w:rFonts w:ascii="Times New Roman" w:hAnsi="Times New Roman"/>
          <w:b/>
          <w:i w:val="false"/>
          <w:color w:val="000000"/>
          <w:sz w:val="22"/>
        </w:rPr>
        <w:t>1103.7.1</w:t>
      </w:r>
      <w:r>
        <w:rPr>
          <w:rFonts w:ascii="Times New Roman" w:hAnsi="Times New Roman"/>
          <w:b w:val="false"/>
          <w:i w:val="false"/>
          <w:color w:val="000000"/>
          <w:sz w:val="22"/>
        </w:rPr>
        <w:t xml:space="preserve"> Existing Group E occupancies shall be provided with a fire alarm system utilizing an emergency voice/alarm communication system in compliance with Section 907.5.2.2 and installed in accordance with Section 907.6. As a minimum, smoke detection shall be provided in corridors at a maximum spacing of 30 feet on center, and heat or smoke detection shall be provided in any hazardous or nonoccupied areas.</w:t>
      </w:r>
    </w:p>
    <w:p>
      <w:pPr>
        <w:spacing w:before="0" w:after="0"/>
        <w:ind w:left="120"/>
        <w:jc w:val="both"/>
      </w:pP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building with a maximum area of 1,000 square feet that contains a single classroom and is located no closer than 50 feet from another building.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Group E occupancy with an occupant load of less than 50.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Emergency voice/alarm communication systems meeting the requirements of Section 907.5.2.2 and installed in accordance with Section 907.6 shall not be required in Group E occupancies with occupant loads of 100 or less, provided that the activation of the fire alarm system initiates an approved occupant notification signal in accordance with Section 907.5.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Delete section 1103.8 and insert in lieu thereof the following new section:</w:t>
      </w:r>
    </w:p>
    <w:p>
      <w:pPr>
        <w:spacing w:before="0" w:after="0"/>
        <w:ind w:left="120"/>
        <w:jc w:val="both"/>
      </w:pPr>
      <w:r>
        <w:rPr>
          <w:rFonts w:ascii="Times New Roman" w:hAnsi="Times New Roman"/>
          <w:b/>
          <w:i w:val="false"/>
          <w:color w:val="000000"/>
          <w:sz w:val="22"/>
        </w:rPr>
        <w:t>1103.8 Single- and multiple-station smoke alarms.</w:t>
      </w:r>
      <w:r>
        <w:rPr>
          <w:rFonts w:ascii="Times New Roman" w:hAnsi="Times New Roman"/>
          <w:b w:val="false"/>
          <w:i w:val="false"/>
          <w:color w:val="000000"/>
          <w:sz w:val="22"/>
        </w:rPr>
        <w:t xml:space="preserve"> Single- and multiple-station smoke alarms shall be installed in existing Group I-1 and R occupancies in accordance with Sections 1103.8.1 through 1103.8.4.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Add the following new section 1103.8.4:</w:t>
      </w:r>
    </w:p>
    <w:p>
      <w:pPr>
        <w:spacing w:before="0" w:after="0"/>
        <w:ind w:left="120"/>
        <w:jc w:val="both"/>
      </w:pPr>
      <w:r>
        <w:rPr>
          <w:rFonts w:ascii="Times New Roman" w:hAnsi="Times New Roman"/>
          <w:b/>
          <w:i w:val="false"/>
          <w:color w:val="000000"/>
          <w:sz w:val="22"/>
        </w:rPr>
        <w:t>1103.8.4 Smoke alarm service life.</w:t>
      </w:r>
      <w:r>
        <w:rPr>
          <w:rFonts w:ascii="Times New Roman" w:hAnsi="Times New Roman"/>
          <w:b w:val="false"/>
          <w:i w:val="false"/>
          <w:color w:val="000000"/>
          <w:sz w:val="22"/>
        </w:rPr>
        <w:t xml:space="preserve"> Single-station battery-operated smoke alarms shall be replaced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Amend any reference to any section within chapter 23 to read as a reference to “Chapter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Delete chapter 23 and insert in lieu thereof the following new chapter:</w:t>
      </w:r>
    </w:p>
    <w:p>
      <w:pPr>
        <w:spacing w:before="0" w:after="0"/>
        <w:ind w:left="120"/>
        <w:jc w:val="center"/>
      </w:pPr>
      <w:r>
        <w:rPr>
          <w:rFonts w:ascii="Times New Roman" w:hAnsi="Times New Roman"/>
          <w:b w:val="false"/>
          <w:i w:val="false"/>
          <w:color w:val="000000"/>
          <w:sz w:val="22"/>
        </w:rPr>
        <w:t>CHAPTER 23</w:t>
      </w:r>
    </w:p>
    <w:p>
      <w:pPr>
        <w:spacing w:before="0" w:after="0"/>
        <w:ind w:left="120"/>
        <w:jc w:val="center"/>
      </w:pPr>
      <w:r>
        <w:rPr>
          <w:rFonts w:ascii="Times New Roman" w:hAnsi="Times New Roman"/>
          <w:b w:val="false"/>
          <w:i w:val="false"/>
          <w:color w:val="000000"/>
          <w:sz w:val="22"/>
        </w:rPr>
        <w:t>MOTOR FUEL-DISPENSING FACILITIES AND REPAIR GARAGES</w:t>
      </w:r>
    </w:p>
    <w:p>
      <w:pPr>
        <w:spacing w:before="0" w:after="0"/>
        <w:ind w:left="120"/>
        <w:jc w:val="center"/>
      </w:pPr>
      <w:r>
        <w:rPr>
          <w:rFonts w:ascii="Times New Roman" w:hAnsi="Times New Roman"/>
          <w:b/>
          <w:i w:val="false"/>
          <w:color w:val="000000"/>
          <w:sz w:val="22"/>
        </w:rPr>
        <w:t>SECTION 2301</w:t>
      </w:r>
    </w:p>
    <w:p>
      <w:pPr>
        <w:spacing w:before="0" w:after="0"/>
        <w:ind w:left="120"/>
        <w:jc w:val="center"/>
      </w:pPr>
      <w:r>
        <w:rPr>
          <w:rFonts w:ascii="Times New Roman" w:hAnsi="Times New Roman"/>
          <w:b/>
          <w:i w:val="false"/>
          <w:color w:val="000000"/>
          <w:sz w:val="22"/>
        </w:rPr>
        <w:t>GENERAL</w:t>
      </w:r>
    </w:p>
    <w:p>
      <w:pPr>
        <w:spacing w:before="0" w:after="0"/>
        <w:ind w:left="120"/>
        <w:jc w:val="both"/>
      </w:pPr>
      <w:r>
        <w:rPr>
          <w:rFonts w:ascii="Times New Roman" w:hAnsi="Times New Roman"/>
          <w:b/>
          <w:i w:val="false"/>
          <w:color w:val="000000"/>
          <w:sz w:val="22"/>
        </w:rPr>
        <w:t>2301.1</w:t>
      </w:r>
      <w:r>
        <w:rPr>
          <w:rFonts w:ascii="Times New Roman" w:hAnsi="Times New Roman"/>
          <w:b w:val="false"/>
          <w:i w:val="false"/>
          <w:color w:val="000000"/>
          <w:sz w:val="22"/>
        </w:rPr>
        <w:t xml:space="preserve"> Motor fuel-dispensing facilities and repair garages shall comply with the applicable provisions of  </w:t>
      </w:r>
      <w:hyperlink r:id="rId11">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Amend any reference to any section within chapter 57 to read as a reference to “Chapter 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Delete chapter 57 and insert in lieu thereof the following new chapter:</w:t>
      </w:r>
    </w:p>
    <w:p>
      <w:pPr>
        <w:spacing w:before="0" w:after="0"/>
        <w:ind w:left="120"/>
        <w:jc w:val="center"/>
      </w:pPr>
      <w:r>
        <w:rPr>
          <w:rFonts w:ascii="Times New Roman" w:hAnsi="Times New Roman"/>
          <w:b w:val="false"/>
          <w:i w:val="false"/>
          <w:color w:val="000000"/>
          <w:sz w:val="22"/>
        </w:rPr>
        <w:t>CHAPTER 57</w:t>
      </w:r>
    </w:p>
    <w:p>
      <w:pPr>
        <w:spacing w:before="0" w:after="0"/>
        <w:ind w:left="120"/>
        <w:jc w:val="center"/>
      </w:pPr>
      <w:r>
        <w:rPr>
          <w:rFonts w:ascii="Times New Roman" w:hAnsi="Times New Roman"/>
          <w:b w:val="false"/>
          <w:i w:val="false"/>
          <w:color w:val="000000"/>
          <w:sz w:val="22"/>
        </w:rPr>
        <w:t>FLAMMABLE AND COMBUSTIBLE LIQUIDS</w:t>
      </w:r>
    </w:p>
    <w:p>
      <w:pPr>
        <w:spacing w:before="0" w:after="0"/>
        <w:ind w:left="120"/>
        <w:jc w:val="center"/>
      </w:pPr>
      <w:r>
        <w:rPr>
          <w:rFonts w:ascii="Times New Roman" w:hAnsi="Times New Roman"/>
          <w:b/>
          <w:i w:val="false"/>
          <w:color w:val="000000"/>
          <w:sz w:val="22"/>
        </w:rPr>
        <w:t>SECTION 5701</w:t>
      </w:r>
    </w:p>
    <w:p>
      <w:pPr>
        <w:spacing w:before="0" w:after="0"/>
        <w:ind w:left="120"/>
        <w:jc w:val="center"/>
      </w:pPr>
      <w:r>
        <w:rPr>
          <w:rFonts w:ascii="Times New Roman" w:hAnsi="Times New Roman"/>
          <w:b/>
          <w:i w:val="false"/>
          <w:color w:val="000000"/>
          <w:sz w:val="22"/>
        </w:rPr>
        <w:t>GENERAL</w:t>
      </w:r>
    </w:p>
    <w:p>
      <w:pPr>
        <w:spacing w:before="0" w:after="0"/>
        <w:ind w:left="120"/>
        <w:jc w:val="both"/>
      </w:pPr>
      <w:r>
        <w:rPr>
          <w:rFonts w:ascii="Times New Roman" w:hAnsi="Times New Roman"/>
          <w:b/>
          <w:i w:val="false"/>
          <w:color w:val="000000"/>
          <w:sz w:val="22"/>
        </w:rPr>
        <w:t>5701.1</w:t>
      </w:r>
      <w:r>
        <w:rPr>
          <w:rFonts w:ascii="Times New Roman" w:hAnsi="Times New Roman"/>
          <w:b w:val="false"/>
          <w:i w:val="false"/>
          <w:color w:val="000000"/>
          <w:sz w:val="22"/>
        </w:rPr>
        <w:t xml:space="preserve"> Transportation, storage, handling, and use of flammable and combustible liquids shall comply with the applicable provisions of  </w:t>
      </w:r>
      <w:hyperlink r:id="rId12">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Amend any reference to any section within chapter 61 to read as a reference to “Chapter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Delete chapter 61 and insert in lieu thereof the following new chapter:</w:t>
      </w:r>
    </w:p>
    <w:p>
      <w:pPr>
        <w:spacing w:before="0" w:after="0"/>
        <w:ind w:left="120"/>
        <w:jc w:val="center"/>
      </w:pPr>
      <w:r>
        <w:rPr>
          <w:rFonts w:ascii="Times New Roman" w:hAnsi="Times New Roman"/>
          <w:b w:val="false"/>
          <w:i w:val="false"/>
          <w:color w:val="000000"/>
          <w:sz w:val="22"/>
        </w:rPr>
        <w:t>CHAPTER 61</w:t>
      </w:r>
    </w:p>
    <w:p>
      <w:pPr>
        <w:spacing w:before="0" w:after="0"/>
        <w:ind w:left="120"/>
        <w:jc w:val="center"/>
      </w:pPr>
      <w:r>
        <w:rPr>
          <w:rFonts w:ascii="Times New Roman" w:hAnsi="Times New Roman"/>
          <w:b w:val="false"/>
          <w:i w:val="false"/>
          <w:color w:val="000000"/>
          <w:sz w:val="22"/>
        </w:rPr>
        <w:t>LIQUEFIED PETROLEUM GASES</w:t>
      </w:r>
    </w:p>
    <w:p>
      <w:pPr>
        <w:spacing w:before="0" w:after="0"/>
        <w:ind w:left="120"/>
        <w:jc w:val="center"/>
      </w:pPr>
      <w:r>
        <w:rPr>
          <w:rFonts w:ascii="Times New Roman" w:hAnsi="Times New Roman"/>
          <w:b/>
          <w:i w:val="false"/>
          <w:color w:val="000000"/>
          <w:sz w:val="22"/>
        </w:rPr>
        <w:t>SECTION 6101</w:t>
      </w:r>
    </w:p>
    <w:p>
      <w:pPr>
        <w:spacing w:before="0" w:after="0"/>
        <w:ind w:left="120"/>
        <w:jc w:val="center"/>
      </w:pPr>
      <w:r>
        <w:rPr>
          <w:rFonts w:ascii="Times New Roman" w:hAnsi="Times New Roman"/>
          <w:b/>
          <w:i w:val="false"/>
          <w:color w:val="000000"/>
          <w:sz w:val="22"/>
        </w:rPr>
        <w:t>GENERAL</w:t>
      </w:r>
    </w:p>
    <w:p>
      <w:pPr>
        <w:spacing w:before="0" w:after="0"/>
        <w:ind w:left="120"/>
        <w:jc w:val="both"/>
      </w:pPr>
      <w:r>
        <w:rPr>
          <w:rFonts w:ascii="Times New Roman" w:hAnsi="Times New Roman"/>
          <w:b/>
          <w:i w:val="false"/>
          <w:color w:val="000000"/>
          <w:sz w:val="22"/>
        </w:rPr>
        <w:t>6101.1</w:t>
      </w:r>
      <w:r>
        <w:rPr>
          <w:rFonts w:ascii="Times New Roman" w:hAnsi="Times New Roman"/>
          <w:b w:val="false"/>
          <w:i w:val="false"/>
          <w:color w:val="000000"/>
          <w:sz w:val="22"/>
        </w:rPr>
        <w:t xml:space="preserve"> Transportation, storage, handling, and use of liquefied petroleum gases shall comply with the applicable provisions of  </w:t>
      </w:r>
      <w:hyperlink r:id="rId13">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Any reference to NFPA 10 is amended to read as follows:</w:t>
      </w:r>
    </w:p>
    <w:p>
      <w:pPr>
        <w:spacing w:before="0" w:after="0"/>
        <w:ind w:left="120"/>
        <w:jc w:val="both"/>
      </w:pPr>
      <w:r>
        <w:rPr>
          <w:rFonts w:ascii="Times New Roman" w:hAnsi="Times New Roman"/>
          <w:b w:val="false"/>
          <w:i w:val="false"/>
          <w:color w:val="000000"/>
          <w:sz w:val="22"/>
        </w:rPr>
        <w:t>NFPA 10 with the following amendment:</w:t>
      </w:r>
    </w:p>
    <w:p>
      <w:pPr>
        <w:spacing w:before="0" w:after="0"/>
        <w:ind w:left="120"/>
        <w:jc w:val="both"/>
      </w:pPr>
      <w:r>
        <w:rPr>
          <w:rFonts w:ascii="Times New Roman" w:hAnsi="Times New Roman"/>
          <w:b w:val="false"/>
          <w:i w:val="false"/>
          <w:color w:val="000000"/>
          <w:sz w:val="22"/>
        </w:rPr>
        <w:t>Delete sections 7.1.2.1, 7.1.2.2, and 7.1.2.3 and insert in lieu thereof the following new sections:</w:t>
      </w:r>
    </w:p>
    <w:p>
      <w:pPr>
        <w:spacing w:before="0" w:after="0"/>
        <w:ind w:left="120"/>
        <w:jc w:val="both"/>
      </w:pPr>
      <w:r>
        <w:rPr>
          <w:rFonts w:ascii="Times New Roman" w:hAnsi="Times New Roman"/>
          <w:b w:val="false"/>
          <w:i w:val="false"/>
          <w:color w:val="000000"/>
          <w:sz w:val="22"/>
        </w:rPr>
        <w:t>7.1.2.1 A trained person who has undergone the instructions necessary to reliably perform maintenance and has the manufacturer’s service manual shall service the fire extinguishers not more than one year apart, as outlined in Section 7.3.</w:t>
      </w:r>
    </w:p>
    <w:p>
      <w:pPr>
        <w:spacing w:before="0" w:after="0"/>
        <w:ind w:left="120"/>
        <w:jc w:val="both"/>
      </w:pPr>
      <w:r>
        <w:rPr>
          <w:rFonts w:ascii="Times New Roman" w:hAnsi="Times New Roman"/>
          <w:b w:val="false"/>
          <w:i w:val="false"/>
          <w:color w:val="000000"/>
          <w:sz w:val="22"/>
        </w:rPr>
        <w:t>7.1.2.2* Maintenance, servicing, and recharging shall be performed by trained persons who have available the appropriate servicing manual(s), the proper types of tools, recharge materials, lubricants, and manufacturer’s recommended replacement parts or parts specifically listed for use in the fire extinguisher.</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Requirements in NFPA 10 for certification of personnel who maintain portable fire extinguishers are removed. These personnel must still be trained and have available service manuals.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Adopt Appendices B, C, and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Amend references in chapter 80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Plumbing Code” and insert in lieu thereof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Fuel Gas Code” and insert in lieu thereof “rule </w:t>
      </w:r>
      <w:hyperlink r:id="rId14">
        <w:r>
          <w:rPr>
            <w:rStyle w:val="Hyperlink"/>
            <w:rFonts w:ascii="Times New Roman" w:hAnsi="Times New Roman"/>
            <w:b w:val="false"/>
            <w:i w:val="false"/>
            <w:color w:val="000000"/>
            <w:sz w:val="22"/>
          </w:rPr>
          <w:t>661—301.9</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Delete all references to the “International Mechanical Code” and insert in lieu thereof “state mechanical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Building Code” and insert in lieu thereof “rule </w:t>
      </w:r>
      <w:hyperlink r:id="rId15">
        <w:r>
          <w:rPr>
            <w:rStyle w:val="Hyperlink"/>
            <w:rFonts w:ascii="Times New Roman" w:hAnsi="Times New Roman"/>
            <w:b w:val="false"/>
            <w:i w:val="false"/>
            <w:color w:val="000000"/>
            <w:sz w:val="22"/>
          </w:rPr>
          <w:t>661—301.3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all references to the “International Residential Code” and insert in lieu thereof “rule </w:t>
      </w:r>
      <w:hyperlink r:id="rId16">
        <w:r>
          <w:rPr>
            <w:rStyle w:val="Hyperlink"/>
            <w:rFonts w:ascii="Times New Roman" w:hAnsi="Times New Roman"/>
            <w:b w:val="false"/>
            <w:i w:val="false"/>
            <w:color w:val="000000"/>
            <w:sz w:val="22"/>
          </w:rPr>
          <w:t>661—301.8</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chapters and sections of the International Building Code, 2015 edition, published by the International Code Council, 500 New Jersey Avenue NW, 6th Floor, Washington, D.C. 20001, as amended by rule </w:t>
      </w:r>
      <w:hyperlink r:id="rId17">
        <w:r>
          <w:rPr>
            <w:rStyle w:val="Hyperlink"/>
            <w:rFonts w:ascii="Times New Roman" w:hAnsi="Times New Roman"/>
            <w:b w:val="false"/>
            <w:i w:val="false"/>
            <w:color w:val="000000"/>
            <w:sz w:val="22"/>
          </w:rPr>
          <w:t>661—301.3</w:t>
        </w:r>
      </w:hyperlink>
      <w:r>
        <w:rPr>
          <w:rFonts w:ascii="Times New Roman" w:hAnsi="Times New Roman"/>
          <w:b w:val="false"/>
          <w:i w:val="false"/>
          <w:color w:val="000000"/>
          <w:sz w:val="22"/>
        </w:rPr>
        <w:t>(103A).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Chapter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Chapter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Chapter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Sections 804 and 805.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9769B</w:t>
      </w:r>
      <w:r>
        <w:rPr>
          <w:rFonts w:ascii="Times New Roman" w:hAnsi="Times New Roman"/>
          <w:b w:val="false"/>
          <w:i w:val="false"/>
          <w:color w:val="000000"/>
          <w:sz w:val="16"/>
        </w:rPr>
        <w:t>, IAB 10/5/11, effective 12/1/11</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661—201.3</w:t>
      </w:r>
      <w:r>
        <w:rPr>
          <w:rFonts w:ascii="Times New Roman" w:hAnsi="Times New Roman"/>
          <w:b/>
          <w:i w:val="false"/>
          <w:color w:val="000000"/>
          <w:sz w:val="22"/>
        </w:rPr>
        <w:t xml:space="preserve">(100) </w:t>
      </w:r>
      <w:r>
        <w:rPr>
          <w:rFonts w:ascii="Times New Roman" w:hAnsi="Times New Roman"/>
          <w:b/>
          <w:i w:val="false"/>
          <w:color w:val="000000"/>
          <w:sz w:val="22"/>
        </w:rPr>
        <w:t xml:space="preserve">Electrical installations. </w:t>
      </w:r>
      <w:r>
        <w:rPr>
          <w:rFonts w:ascii="Times New Roman" w:hAnsi="Times New Roman"/>
          <w:b w:val="false"/>
          <w:i w:val="false"/>
          <w:color w:val="000000"/>
          <w:sz w:val="22"/>
        </w:rPr>
        <w:t xml:space="preserve">The provisions of the state electrical code, as adopted and amended in </w:t>
      </w:r>
      <w:hyperlink r:id="rId18">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 are hereby adopted by reference as the requirements for electrical installations.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9">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9827B</w:t>
      </w:r>
      <w:r>
        <w:rPr>
          <w:rFonts w:ascii="Times New Roman" w:hAnsi="Times New Roman"/>
          <w:b w:val="false"/>
          <w:i w:val="false"/>
          <w:color w:val="000000"/>
          <w:sz w:val="16"/>
        </w:rPr>
        <w:t>, IAB 11/2/11,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661—201.4</w:t>
      </w:r>
      <w:r>
        <w:rPr>
          <w:rFonts w:ascii="Times New Roman" w:hAnsi="Times New Roman"/>
          <w:b/>
          <w:i w:val="false"/>
          <w:color w:val="000000"/>
          <w:sz w:val="22"/>
        </w:rPr>
        <w:t xml:space="preserve">(100) </w:t>
      </w:r>
      <w:r>
        <w:rPr>
          <w:rFonts w:ascii="Times New Roman" w:hAnsi="Times New Roman"/>
          <w:b/>
          <w:i w:val="false"/>
          <w:color w:val="000000"/>
          <w:sz w:val="22"/>
        </w:rPr>
        <w:t xml:space="preserve">Existing buildings or structures. </w:t>
      </w:r>
      <w:r>
        <w:rPr>
          <w:rFonts w:ascii="Times New Roman" w:hAnsi="Times New Roman"/>
          <w:b w:val="false"/>
          <w:i w:val="false"/>
          <w:color w:val="000000"/>
          <w:sz w:val="22"/>
        </w:rPr>
        <w:t xml:space="preserve">Additions or alterations to any building or structure shall comply with the requirements of this chapter for new construction. Additions or alterations shall not be made to an existing building or structure that will cause the existing building or structure to be in violation of any provisions of </w:t>
      </w:r>
      <w:hyperlink r:id="rId20">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An existing building plus additions shall comply with the height and area provisions of Chapter 5 of the International Building Code, 2015 edition. Portions of the structure not altered and not affected by the alteration are not required to comply with the requirements established in </w:t>
      </w:r>
      <w:hyperlink r:id="rId21">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for a new structure.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661—201.5</w:t>
      </w:r>
      <w:r>
        <w:rPr>
          <w:rFonts w:ascii="Times New Roman" w:hAnsi="Times New Roman"/>
          <w:b/>
          <w:i w:val="false"/>
          <w:color w:val="000000"/>
          <w:sz w:val="22"/>
        </w:rPr>
        <w:t xml:space="preserve">(100) </w:t>
      </w:r>
      <w:r>
        <w:rPr>
          <w:rFonts w:ascii="Times New Roman" w:hAnsi="Times New Roman"/>
          <w:b/>
          <w:i w:val="false"/>
          <w:color w:val="000000"/>
          <w:sz w:val="22"/>
        </w:rPr>
        <w:t xml:space="preserve">Recognition of local fire ordinances and enforcement. </w:t>
      </w:r>
      <w:r>
        <w:rPr>
          <w:rFonts w:ascii="Times New Roman" w:hAnsi="Times New Roman"/>
          <w:b w:val="false"/>
          <w:i w:val="false"/>
          <w:color w:val="000000"/>
          <w:sz w:val="22"/>
        </w:rPr>
        <w:t xml:space="preserve">With the exception of a health care facility subject to the requirements of </w:t>
      </w:r>
      <w:hyperlink r:id="rId22">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a building, structure, or facility shall be deemed to be in compliance with the requirements established in rules of the fire marshal if all of the following conditions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building, structure, or facility is in a local jurisdiction which has adopted a local fire ordinance which adopts by reference any edition of the International Fire Code, published by the International Code Council, 1500 New Jersey Avenue NW, 6th Floor, Washington, D.C. 20001; any edition of NFPA 1, Uniform Fire Code, published by the National Fire Protection Association; or the Uniform Fire Code, 1997 edition, published by the Western Fire Chiefs Association.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local fire ordinance is enforced through a process of review and approval of construction plans for compliance with the local fire ordinance and a process of regular inspections for compliance with the local fire ordinance.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building, structure, or facility is subject to regular fire safety inspections.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local jurisdiction has verified, during its most recent inspection, including any follow-up inspections, that the building, structure, or facility is in compliance with the local fire ordinance.</w:t>
      </w:r>
    </w:p>
    <w:p>
      <w:pPr>
        <w:spacing w:before="0" w:after="0"/>
        <w:ind w:left="120"/>
        <w:jc w:val="both"/>
      </w:pPr>
      <w:r>
        <w:rPr>
          <w:rFonts w:ascii="Times New Roman" w:hAnsi="Times New Roman"/>
          <w:b w:val="false"/>
          <w:i w:val="false"/>
          <w:color w:val="000000"/>
          <w:sz w:val="22"/>
        </w:rPr>
        <w:t xml:space="preserve">Notwithstanding any conflicting provisions contained in any code adopted by reference in this chapter or by any local fire ordinance, compliance with the provisions of </w:t>
      </w:r>
      <w:hyperlink r:id="rId23">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xml:space="preserve"> is required at any location or facility in which flammable or combustible liquids are stored, handled, or used, other than incidental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8307B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 xml:space="preserve">; </w:t>
      </w:r>
      <w:r>
        <w:rPr>
          <w:rFonts w:ascii="Times New Roman" w:hAnsi="Times New Roman"/>
          <w:b/>
          <w:i w:val="false"/>
          <w:color w:val="000000"/>
          <w:sz w:val="16"/>
        </w:rPr>
        <w:t>ARC 2494C</w:t>
      </w:r>
      <w:r>
        <w:rPr>
          <w:rFonts w:ascii="Times New Roman" w:hAnsi="Times New Roman"/>
          <w:b w:val="false"/>
          <w:i w:val="false"/>
          <w:color w:val="000000"/>
          <w:sz w:val="16"/>
        </w:rPr>
        <w:t>, IAB 4/13/16, effective 5/18/16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4">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9/13/06—published 11/22/06, effective 1/1/07]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9769B</w:t>
      </w:r>
      <w:r>
        <w:rPr>
          <w:rFonts w:ascii="Times New Roman" w:hAnsi="Times New Roman"/>
          <w:b w:val="false"/>
          <w:i w:val="false"/>
          <w:color w:val="000000"/>
          <w:sz w:val="21"/>
        </w:rPr>
        <w:t xml:space="preserve"> (Notice ARC 9561B, IAB 6/15/11)</w:t>
      </w:r>
      <w:r>
        <w:rPr>
          <w:rFonts w:ascii="Times New Roman" w:hAnsi="Times New Roman"/>
          <w:b w:val="false"/>
          <w:i w:val="false"/>
          <w:color w:val="000000"/>
          <w:sz w:val="21"/>
        </w:rPr>
        <w:t>, IAB 10/5/11, effective 12/1/11]</w:t>
      </w:r>
    </w:p>
    <w:p>
      <w:pPr>
        <w:spacing w:before="0" w:after="0"/>
        <w:ind w:left="120"/>
        <w:jc w:val="center"/>
      </w:pPr>
      <w:r>
        <w:rPr>
          <w:rFonts w:ascii="Times New Roman" w:hAnsi="Times New Roman"/>
          <w:b w:val="false"/>
          <w:i w:val="false"/>
          <w:color w:val="000000"/>
          <w:sz w:val="21"/>
        </w:rPr>
        <w:t>[Filed ARC 9827B</w:t>
      </w:r>
      <w:r>
        <w:rPr>
          <w:rFonts w:ascii="Times New Roman" w:hAnsi="Times New Roman"/>
          <w:b w:val="false"/>
          <w:i w:val="false"/>
          <w:color w:val="000000"/>
          <w:sz w:val="21"/>
        </w:rPr>
        <w:t xml:space="preserve"> (Notice ARC 9628B, IAB 7/27/11)</w:t>
      </w:r>
      <w:r>
        <w:rPr>
          <w:rFonts w:ascii="Times New Roman" w:hAnsi="Times New Roman"/>
          <w:b w:val="false"/>
          <w:i w:val="false"/>
          <w:color w:val="000000"/>
          <w:sz w:val="21"/>
        </w:rPr>
        <w:t>, IAB 11/2/11, effective 1/1/12]</w:t>
      </w:r>
    </w:p>
    <w:p>
      <w:pPr>
        <w:spacing w:before="0" w:after="0"/>
        <w:ind w:left="120"/>
        <w:jc w:val="center"/>
      </w:pPr>
      <w:r>
        <w:rPr>
          <w:rFonts w:ascii="Times New Roman" w:hAnsi="Times New Roman"/>
          <w:b w:val="false"/>
          <w:i w:val="false"/>
          <w:color w:val="000000"/>
          <w:sz w:val="21"/>
        </w:rPr>
        <w:t>[Filed ARC 2494C</w:t>
      </w:r>
      <w:r>
        <w:rPr>
          <w:rFonts w:ascii="Times New Roman" w:hAnsi="Times New Roman"/>
          <w:b w:val="false"/>
          <w:i w:val="false"/>
          <w:color w:val="000000"/>
          <w:sz w:val="21"/>
        </w:rPr>
        <w:t xml:space="preserve"> (Notice ARC 2266C, IAB 11/25/15)</w:t>
      </w:r>
      <w:r>
        <w:rPr>
          <w:rFonts w:ascii="Times New Roman" w:hAnsi="Times New Roman"/>
          <w:b w:val="false"/>
          <w:i w:val="false"/>
          <w:color w:val="000000"/>
          <w:sz w:val="21"/>
        </w:rPr>
        <w:t>, IAB 4/13/16, effective 5/18/16]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61.202.pdf" Type="http://schemas.openxmlformats.org/officeDocument/2006/relationships/hyperlink" Id="rId5"/>
    <Relationship TargetMode="External" Target="https://www.legis.iowa.gov/docs/iac/chapter/661.205.pdf" Type="http://schemas.openxmlformats.org/officeDocument/2006/relationships/hyperlink" Id="rId6"/>
    <Relationship TargetMode="External" Target="https://www.legis.iowa.gov/docs/iac/chapter/661.221.pdf" Type="http://schemas.openxmlformats.org/officeDocument/2006/relationships/hyperlink" Id="rId7"/>
    <Relationship TargetMode="External" Target="https://www.legis.iowa.gov/docs/iac/chapter/661.231.pdf" Type="http://schemas.openxmlformats.org/officeDocument/2006/relationships/hyperlink" Id="rId8"/>
    <Relationship TargetMode="External" Target="https://www.legis.iowa.gov/docs/iac/rule/661.301.8.pdf" Type="http://schemas.openxmlformats.org/officeDocument/2006/relationships/hyperlink" Id="rId9"/>
    <Relationship TargetMode="External" Target="https://www.legis.iowa.gov/docs/ico/chapter/100.pdf" Type="http://schemas.openxmlformats.org/officeDocument/2006/relationships/hyperlink" Id="rId10"/>
    <Relationship TargetMode="External" Target="https://www.legis.iowa.gov/docs/iac/chapter/661.221.pdf" Type="http://schemas.openxmlformats.org/officeDocument/2006/relationships/hyperlink" Id="rId11"/>
    <Relationship TargetMode="External" Target="https://www.legis.iowa.gov/docs/iac/chapter/661.221.pdf" Type="http://schemas.openxmlformats.org/officeDocument/2006/relationships/hyperlink" Id="rId12"/>
    <Relationship TargetMode="External" Target="https://www.legis.iowa.gov/docs/iac/chapter/661.226.pdf" Type="http://schemas.openxmlformats.org/officeDocument/2006/relationships/hyperlink" Id="rId13"/>
    <Relationship TargetMode="External" Target="https://www.legis.iowa.gov/docs/iac/rule/661.301.9.pdf" Type="http://schemas.openxmlformats.org/officeDocument/2006/relationships/hyperlink" Id="rId14"/>
    <Relationship TargetMode="External" Target="https://www.legis.iowa.gov/docs/iac/rule/661.301.3.pdf" Type="http://schemas.openxmlformats.org/officeDocument/2006/relationships/hyperlink" Id="rId15"/>
    <Relationship TargetMode="External" Target="https://www.legis.iowa.gov/docs/iac/rule/661.301.8.pdf" Type="http://schemas.openxmlformats.org/officeDocument/2006/relationships/hyperlink" Id="rId16"/>
    <Relationship TargetMode="External" Target="https://www.legis.iowa.gov/docs/iac/rule/661.301.3.pdf" Type="http://schemas.openxmlformats.org/officeDocument/2006/relationships/hyperlink" Id="rId17"/>
    <Relationship TargetMode="External" Target="https://www.legis.iowa.gov/docs/iac/chapter/661.504.pdf" Type="http://schemas.openxmlformats.org/officeDocument/2006/relationships/hyperlink" Id="rId18"/>
    <Relationship TargetMode="External" Target="https://www.legis.iowa.gov/docs/ico/chapter/100.pdf" Type="http://schemas.openxmlformats.org/officeDocument/2006/relationships/hyperlink" Id="rId19"/>
    <Relationship TargetMode="External" Target="https://www.legis.iowa.gov/docs/iac/chapter/661.201.pdf" Type="http://schemas.openxmlformats.org/officeDocument/2006/relationships/hyperlink" Id="rId20"/>
    <Relationship TargetMode="External" Target="https://www.legis.iowa.gov/docs/iac/chapter/661.201.pdf" Type="http://schemas.openxmlformats.org/officeDocument/2006/relationships/hyperlink" Id="rId21"/>
    <Relationship TargetMode="External" Target="https://www.legis.iowa.gov/docs/iac/chapter/661.205.pdf" Type="http://schemas.openxmlformats.org/officeDocument/2006/relationships/hyperlink" Id="rId22"/>
    <Relationship TargetMode="External" Target="https://www.legis.iowa.gov/docs/iac/chapter/661.221.pdf" Type="http://schemas.openxmlformats.org/officeDocument/2006/relationships/hyperlink" Id="rId23"/>
    <Relationship TargetMode="External" Target="https://www.legis.iowa.gov/docs/ico/chapter/100.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