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GOVERNOR’S TRAFFIC SAFETY BUREAU</w:t>
      </w:r>
    </w:p>
    <w:p>
      <w:pPr>
        <w:spacing w:before="0" w:after="0"/>
        <w:ind w:left="120"/>
        <w:jc w:val="center"/>
      </w:pPr>
      <w:r>
        <w:rPr>
          <w:rFonts w:ascii="Times New Roman" w:hAnsi="Times New Roman"/>
          <w:b w:val="false"/>
          <w:i w:val="false"/>
          <w:color w:val="000000"/>
          <w:sz w:val="14"/>
        </w:rPr>
        <w:t>[Prior to 4/20/88, see Planning and Programming[630]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661—20.1</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Authority. </w:t>
      </w:r>
      <w:r>
        <w:rPr>
          <w:rFonts w:ascii="Times New Roman" w:hAnsi="Times New Roman"/>
          <w:b w:val="false"/>
          <w:i w:val="false"/>
          <w:color w:val="000000"/>
          <w:sz w:val="22"/>
        </w:rPr>
        <w:t>Title 23 U.S.C. Section 402 requires each state to have a highway safety program sponsored by the U.S. Secretary of Transportation and for which the governor of the state shall be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val="false"/>
          <w:color w:val="000000"/>
          <w:sz w:val="22"/>
        </w:rPr>
        <w:t>The governor has designated the commissioner of the department of public safety as governor’s highway safety representative for Iowa and established the department of public safety as the state highway safety agency in Governor’s Executive Order Number Twenty-Three, signed June 9, 1986, and published in the Iowa Administrative Bulletin on July 2, 1986.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shall administer the state highway safety program in accordance with the provisions of Title 23 U.S.C. and Governor’s Executive Order Number Twenty-Three.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5253C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661—20.2</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highway safety program is to provide a coordinated federal, state and local effort to reduce traffic-related deaths, injuries, and property damage crashes.</w:t>
      </w:r>
    </w:p>
    <w:p>
      <w:pPr>
        <w:spacing w:before="0" w:after="0"/>
        <w:ind w:left="120"/>
        <w:jc w:val="both"/>
      </w:pPr>
      <w:r>
        <w:rPr>
          <w:rFonts w:ascii="Times New Roman" w:hAnsi="Times New Roman"/>
          <w:b w:val="false"/>
          <w:i w:val="false"/>
          <w:color w:val="000000"/>
          <w:sz w:val="22"/>
        </w:rPr>
        <w:t>The following eight highway safety priority areas have been established by the federal government to provide a guide to program involvement and reimbursement: alcohol; police traffic services; emergency medical services; traffic records; occupant restraints; engineering; motorcycles; and pedestrians/bicycles.</w:t>
      </w:r>
    </w:p>
    <w:p>
      <w:pPr>
        <w:spacing w:before="0" w:after="0"/>
        <w:ind w:left="120"/>
        <w:jc w:val="both"/>
      </w:pPr>
      <w:r>
        <w:rPr>
          <w:rFonts w:ascii="Times New Roman" w:hAnsi="Times New Roman"/>
          <w:b w:val="false"/>
          <w:i w:val="false"/>
          <w:color w:val="000000"/>
          <w:sz w:val="22"/>
        </w:rPr>
        <w:t>Note: The federal government may add additional priority areas as traffic trends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5253C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661—20.3</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shall develop and prepare the state’s highway safety plan based on evaluation of highway crashes and traffic safety problems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shall encourage and assist local units of government in improving their traffic safety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shall serve as a reviewing authority for federal and state traffic safety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shall monitor safety program activity and expenditures of funds by state and local agencies as authorized by Title 23 U.S.C. 402.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shall coordinate the state highway safety plan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val="false"/>
          <w:color w:val="000000"/>
          <w:sz w:val="22"/>
        </w:rPr>
        <w:t>Application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Proposals for funding highway safety programs may be submitted during set application time periods by any city, county, or state agency, or nonprofit organization or any other eligible organization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funding in the next federal fiscal year, beginning October 1, must be received on or before March 1 to be considered. Applications for contracts beginning November 1 must be received on or before May 1. The bureau chief of the governor’s traffic safety bureau may amend the deadline dates in order to implement projects and special activities as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Initial proposals should include project title, statement of the highway safety problem to be addressed supported by crash data, what is being proposed to solve the problem, how it will be evaluated, a proposed budget, and a letter of intent accepting responsibility for the proposed project from the responsible authority of the organization making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requests containing the listed elements will be considered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in developing and submitting proposals for highway safety funding may be obtained by contacting the governor’s traffic safety bureau, Iowa department of public safety, by email at </w:t>
      </w:r>
      <w:hyperlink r:id="rId5">
        <w:r>
          <w:rPr>
            <w:rStyle w:val="Hyperlink"/>
            <w:rFonts w:ascii="Times New Roman" w:hAnsi="Times New Roman"/>
            <w:b w:val="false"/>
            <w:i w:val="false"/>
            <w:color w:val="000000"/>
            <w:sz w:val="22"/>
            <w:u w:val="single"/>
          </w:rPr>
          <w:t>gtsbinfo@safe.ia.gov</w:t>
        </w:r>
      </w:hyperlink>
      <w:r>
        <w:rPr>
          <w:rFonts w:ascii="Times New Roman" w:hAnsi="Times New Roman"/>
          <w:b w:val="false"/>
          <w:i w:val="false"/>
          <w:color w:val="000000"/>
          <w:sz w:val="22"/>
        </w:rPr>
        <w:t>.</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i w:val="false"/>
          <w:color w:val="000000"/>
          <w:sz w:val="16"/>
        </w:rPr>
        <w:t>ARC 5253C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661—20.4</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Funding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of federally appropriated funds administered by the governor’s traffic safety bureau pursuant to Title </w:t>
      </w:r>
      <w:r>
        <w:rPr>
          <w:rFonts w:ascii="Times New Roman" w:hAnsi="Times New Roman"/>
          <w:b w:val="false"/>
          <w:i w:val="false"/>
          <w:color w:val="000000"/>
          <w:sz w:val="22"/>
        </w:rPr>
        <w:t>23 U.S.C.</w:t>
      </w:r>
      <w:r>
        <w:rPr>
          <w:rFonts w:ascii="Times New Roman" w:hAnsi="Times New Roman"/>
          <w:b w:val="false"/>
          <w:i w:val="false"/>
          <w:color w:val="000000"/>
          <w:sz w:val="22"/>
        </w:rPr>
        <w:t>, Section 402, shall be based on: (1) federally mandated projects; and (2) high fatality and personal injury crash causations and locations.</w:t>
      </w:r>
    </w:p>
    <w:p>
      <w:pPr>
        <w:spacing w:before="0" w:after="0"/>
        <w:ind w:left="120"/>
        <w:jc w:val="both"/>
      </w:pPr>
      <w:r>
        <w:rPr>
          <w:rFonts w:ascii="Times New Roman" w:hAnsi="Times New Roman"/>
          <w:b w:val="false"/>
          <w:i w:val="false"/>
          <w:color w:val="000000"/>
          <w:sz w:val="22"/>
        </w:rPr>
        <w:t>Note: The governor’s traffic safety bureau shall refer to current federal authorization to dictate how funds are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At least 40 percent of all federal funds apportioned to the state of Iowa pursuant to Title 23 U.S.C., Section 402, for any fiscal year shall be expended by political subdivisions of the state to carry out local highway safety programs authorized by the governor’s representative for highway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5253C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661—20.5</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All approved programs funded by the governor’s traffic safety bureau must be administered in compliance with the current version of the Iowa Governor’s Traffic Safety Bureau Policies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Highway safety contract procedures and reporting forms and their explanations are contained in the current version of the Iowa Governor’s Traffic Safety Bureau Policies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val="false"/>
          <w:color w:val="000000"/>
          <w:sz w:val="22"/>
        </w:rPr>
        <w:t>Single copies of the current version of the Iowa Governor’s Traffic Safety Bureau Policies and Procedures Manual may be obtained on request from the Governor’s Traffic Safety Bureau, Iowa Department of Public Safety, State Public Safety Headquarters Building, 215 East 7th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i w:val="false"/>
          <w:color w:val="000000"/>
          <w:sz w:val="16"/>
        </w:rPr>
        <w:t>ARC 5253C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Title 23 U.S.C., Section 402, and </w:t>
      </w:r>
    </w:p>
    <w:p>
      <w:pPr>
        <w:spacing w:before="0" w:after="0"/>
        <w:ind w:left="120"/>
        <w:jc w:val="left"/>
      </w:pPr>
      <w:r>
        <w:rPr>
          <w:rFonts w:ascii="Times New Roman" w:hAnsi="Times New Roman"/>
          <w:b w:val="false"/>
          <w:i w:val="false"/>
          <w:color w:val="000000"/>
          <w:sz w:val="22"/>
        </w:rPr>
        <w:t>Governor’s Executive Order Number Twenty-Three, signed June 9, 1986</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5/27/77, Notice 9/8/76—published 6/15/77, effective 7/20/77]</w:t>
      </w:r>
    </w:p>
    <w:p>
      <w:pPr>
        <w:spacing w:before="0" w:after="0"/>
        <w:ind w:left="120"/>
        <w:jc w:val="center"/>
      </w:pPr>
      <w:r>
        <w:rPr>
          <w:rFonts w:ascii="Times New Roman" w:hAnsi="Times New Roman"/>
          <w:b w:val="false"/>
          <w:i w:val="false"/>
          <w:color w:val="000000"/>
          <w:sz w:val="21"/>
        </w:rPr>
        <w:t>[Filed 7/29/80, Notice 3/19/80—published 8/20/80, effective 9/24/80]</w:t>
      </w:r>
    </w:p>
    <w:p>
      <w:pPr>
        <w:spacing w:before="0" w:after="0"/>
        <w:ind w:left="120"/>
        <w:jc w:val="center"/>
      </w:pPr>
      <w:r>
        <w:rPr>
          <w:rFonts w:ascii="Times New Roman" w:hAnsi="Times New Roman"/>
          <w:b w:val="false"/>
          <w:i w:val="false"/>
          <w:color w:val="000000"/>
          <w:sz w:val="21"/>
        </w:rPr>
        <w:t>[Filed 2/13/81, Notice 10/29/80—published 3/4/81, effective 4/8/81]</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emergency 2/11/94—published 3/2/94, effective 3/1/94]</w:t>
      </w:r>
    </w:p>
    <w:p>
      <w:pPr>
        <w:spacing w:before="0" w:after="0"/>
        <w:ind w:left="120"/>
        <w:jc w:val="center"/>
      </w:pPr>
      <w:r>
        <w:rPr>
          <w:rFonts w:ascii="Times New Roman" w:hAnsi="Times New Roman"/>
          <w:b w:val="false"/>
          <w:i w:val="false"/>
          <w:color w:val="000000"/>
          <w:sz w:val="21"/>
        </w:rPr>
        <w:t>[Filed 4/29/94, Notice 10/13/93—published 5/25/94, effective 7/1/94]</w:t>
      </w:r>
    </w:p>
    <w:p>
      <w:pPr>
        <w:spacing w:before="0" w:after="0"/>
        <w:ind w:left="120"/>
        <w:jc w:val="center"/>
      </w:pPr>
      <w:r>
        <w:rPr>
          <w:rFonts w:ascii="Times New Roman" w:hAnsi="Times New Roman"/>
          <w:b w:val="false"/>
          <w:i w:val="false"/>
          <w:color w:val="000000"/>
          <w:sz w:val="21"/>
        </w:rPr>
        <w:t>[Filed emergency 1/27/95—published 2/15/95, effective 2/1/95]</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5253C</w:t>
      </w:r>
      <w:r>
        <w:rPr>
          <w:rFonts w:ascii="Times New Roman" w:hAnsi="Times New Roman"/>
          <w:b w:val="false"/>
          <w:i w:val="false"/>
          <w:color w:val="000000"/>
          <w:sz w:val="21"/>
        </w:rPr>
        <w:t xml:space="preserve"> (Notice ARC 5084C, IAB 7/15/20)</w:t>
      </w:r>
      <w:r>
        <w:rPr>
          <w:rFonts w:ascii="Times New Roman" w:hAnsi="Times New Roman"/>
          <w:b w:val="false"/>
          <w:i w:val="false"/>
          <w:color w:val="000000"/>
          <w:sz w:val="21"/>
        </w:rPr>
        <w:t>, IAB 11/4/20, effective 12/9/20]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gtsbinfo@safe.ia.gov"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