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174</w:t>
      </w:r>
    </w:p>
    <w:p>
      <w:pPr>
        <w:spacing w:before="0" w:after="0"/>
        <w:ind w:left="120"/>
        <w:jc w:val="center"/>
      </w:pPr>
      <w:r>
        <w:rPr>
          <w:rFonts w:ascii="Times New Roman" w:hAnsi="Times New Roman"/>
          <w:b w:val="false"/>
          <w:i w:val="false"/>
          <w:color w:val="000000"/>
          <w:sz w:val="21"/>
        </w:rPr>
        <w:t>RETAIL SALES OF PSEUDOEPHEDRINE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661—174.1</w:t>
      </w:r>
      <w:r>
        <w:rPr>
          <w:rFonts w:ascii="Times New Roman" w:hAnsi="Times New Roman"/>
          <w:b/>
          <w:i w:val="false"/>
          <w:color w:val="000000"/>
          <w:sz w:val="22"/>
        </w:rPr>
        <w:t xml:space="preserve">(81GA,SF169) </w:t>
      </w:r>
      <w:r>
        <w:rPr>
          <w:rFonts w:ascii="Times New Roman" w:hAnsi="Times New Roman"/>
          <w:b/>
          <w:i w:val="false"/>
          <w:color w:val="000000"/>
          <w:sz w:val="22"/>
        </w:rPr>
        <w:t xml:space="preserve">Electronic logbooks. </w:t>
      </w:r>
      <w:r>
        <w:rPr>
          <w:rFonts w:ascii="Times New Roman" w:hAnsi="Times New Roman"/>
          <w:b w:val="false"/>
          <w:i w:val="false"/>
          <w:color w:val="000000"/>
          <w:sz w:val="22"/>
        </w:rPr>
        <w:t xml:space="preserve">A logbook of retail sales of products containing pseudoephedrine, as required in </w:t>
      </w:r>
      <w:r>
        <w:rPr>
          <w:rFonts w:ascii="Times New Roman" w:hAnsi="Times New Roman"/>
          <w:b w:val="false"/>
          <w:i w:val="false"/>
          <w:color w:val="000000"/>
          <w:sz w:val="22"/>
        </w:rPr>
        <w:t>2005 Iowa Acts, Senate File 169</w:t>
      </w:r>
      <w:r>
        <w:rPr>
          <w:rFonts w:ascii="Times New Roman" w:hAnsi="Times New Roman"/>
          <w:b w:val="false"/>
          <w:i w:val="false"/>
          <w:color w:val="000000"/>
          <w:sz w:val="22"/>
        </w:rPr>
        <w:t>, may be recorded in any electronic format, provided that the retailer maintaining the logbook provides to any peace officer a printed copy of the information required to be maintained in the same manner as would be provided if the logbook were maintained on paper.</w:t>
      </w:r>
    </w:p>
    <w:p>
      <w:pPr>
        <w:spacing w:before="0" w:after="0"/>
        <w:ind w:left="120"/>
        <w:jc w:val="both"/>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Information required to be recorded in the logbook includes the legible signature of the purchaser and the printed name and address of the purchaser.</w:t>
      </w:r>
    </w:p>
    <w:p>
      <w:pPr>
        <w:spacing w:before="0" w:after="0"/>
        <w:ind w:left="120"/>
        <w:jc w:val="both"/>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This rule applies only to the content of the information provided to a peace officer from a logbook, not to the conditions or circumstances under which information from a logbook is provided to a peace officer.</w:t>
      </w:r>
    </w:p>
    <w:p>
      <w:pPr>
        <w:spacing w:before="0" w:after="0"/>
        <w:ind w:left="120"/>
        <w:jc w:val="both"/>
      </w:pPr>
      <w:r>
        <w:rPr>
          <w:rFonts w:ascii="Times New Roman" w:hAnsi="Times New Roman"/>
          <w:b/>
          <w:i w:val="false"/>
          <w:color w:val="000000"/>
          <w:sz w:val="22"/>
        </w:rPr>
        <w:t>661—174.2</w:t>
      </w:r>
      <w:r>
        <w:rPr>
          <w:rFonts w:ascii="Times New Roman" w:hAnsi="Times New Roman"/>
          <w:b/>
          <w:i w:val="false"/>
          <w:color w:val="000000"/>
          <w:sz w:val="22"/>
        </w:rPr>
        <w:t xml:space="preserve">(81GA,SF169) </w:t>
      </w:r>
      <w:r>
        <w:rPr>
          <w:rFonts w:ascii="Times New Roman" w:hAnsi="Times New Roman"/>
          <w:b/>
          <w:i w:val="false"/>
          <w:color w:val="000000"/>
          <w:sz w:val="22"/>
        </w:rPr>
        <w:t xml:space="preserve">Reporting of civil penalties. </w:t>
      </w:r>
      <w:r>
        <w:rPr>
          <w:rFonts w:ascii="Times New Roman" w:hAnsi="Times New Roman"/>
          <w:b w:val="false"/>
          <w:i w:val="false"/>
          <w:color w:val="000000"/>
          <w:sz w:val="22"/>
        </w:rPr>
        <w:t xml:space="preserve">Within 30 days of the assessment of a civil penalty upon a retailer or employee of a retailer of products containing pseudoephedrine for a violation of the provisions of </w:t>
      </w:r>
      <w:r>
        <w:rPr>
          <w:rFonts w:ascii="Times New Roman" w:hAnsi="Times New Roman"/>
          <w:b w:val="false"/>
          <w:i w:val="false"/>
          <w:color w:val="000000"/>
          <w:sz w:val="22"/>
        </w:rPr>
        <w:t>2005 Iowa Acts, Senate File 169</w:t>
      </w:r>
      <w:r>
        <w:rPr>
          <w:rFonts w:ascii="Times New Roman" w:hAnsi="Times New Roman"/>
          <w:b w:val="false"/>
          <w:i w:val="false"/>
          <w:color w:val="000000"/>
          <w:sz w:val="22"/>
        </w:rPr>
        <w:t>, the city or county which has enforced the civil penalty shall report the following information to the Director, Iowa Division of Narcotics Enforcement, Wallace State Office Building, East 9th and Grand, Des Moines, Iowa 50319:</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retailer.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 and birth date of the employee, if the civil penalty was assessed against an employee. If the assessment was against more than one employee, the name and birth date of each employee subject to the assessment shall be reported.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the violation.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Amount of the civil penalty assessed.</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2005 Iowa Acts, Senate File 169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5/18/05—published 6/8/05, effective 5/21/05]</w:t>
      </w:r>
    </w:p>
    <w:p>
      <w:pPr>
        <w:spacing w:before="0" w:after="0"/>
        <w:ind w:left="120"/>
        <w:jc w:val="center"/>
      </w:pPr>
      <w:r>
        <w:rPr>
          <w:rFonts w:ascii="Times New Roman" w:hAnsi="Times New Roman"/>
          <w:b w:val="false"/>
          <w:i w:val="false"/>
          <w:color w:val="000000"/>
          <w:sz w:val="21"/>
        </w:rPr>
        <w:t>[Filed 11/3/05, Notice 6/8/05—published 11/23/05, effective 1/1/06]</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