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DIVISION OF CRIMINAL INVESTIGATION CRIMINALISTICS LABORATORY</w:t>
      </w:r>
    </w:p>
    <w:p>
      <w:pPr>
        <w:spacing w:before="0" w:after="0"/>
        <w:ind w:left="120"/>
        <w:jc w:val="center"/>
      </w:pPr>
      <w:r>
        <w:rPr>
          <w:rFonts w:ascii="Times New Roman" w:hAnsi="Times New Roman"/>
          <w:b w:val="false"/>
          <w:i w:val="false"/>
          <w:color w:val="000000"/>
          <w:sz w:val="14"/>
        </w:rPr>
        <w:t>[Prior to 11/22/06, see 661—Ch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661—150.1</w:t>
      </w:r>
      <w:r>
        <w:rPr>
          <w:rFonts w:ascii="Times New Roman" w:hAnsi="Times New Roman"/>
          <w:b/>
          <w:i w:val="false"/>
          <w:color w:val="000000"/>
          <w:sz w:val="22"/>
        </w:rPr>
        <w:t xml:space="preserve">(691) </w:t>
      </w:r>
      <w:r>
        <w:rPr>
          <w:rFonts w:ascii="Times New Roman" w:hAnsi="Times New Roman"/>
          <w:b/>
          <w:i w:val="false"/>
          <w:color w:val="000000"/>
          <w:sz w:val="22"/>
        </w:rPr>
        <w:t xml:space="preserve">Criminalistics laboratory. </w:t>
      </w:r>
      <w:r>
        <w:rPr>
          <w:rFonts w:ascii="Times New Roman" w:hAnsi="Times New Roman"/>
          <w:b w:val="false"/>
          <w:i w:val="false"/>
          <w:color w:val="000000"/>
          <w:sz w:val="22"/>
        </w:rPr>
        <w:t xml:space="preserve">The state criminalistics laboratory, created in Iowa Code section </w:t>
      </w:r>
      <w:hyperlink r:id="rId5">
        <w:r>
          <w:rPr>
            <w:rStyle w:val="Hyperlink"/>
            <w:rFonts w:ascii="Times New Roman" w:hAnsi="Times New Roman"/>
            <w:b w:val="false"/>
            <w:i w:val="false"/>
            <w:color w:val="000000"/>
            <w:sz w:val="22"/>
          </w:rPr>
          <w:t>691.1</w:t>
        </w:r>
      </w:hyperlink>
      <w:r>
        <w:rPr>
          <w:rFonts w:ascii="Times New Roman" w:hAnsi="Times New Roman"/>
          <w:b w:val="false"/>
          <w:i w:val="false"/>
          <w:color w:val="000000"/>
          <w:sz w:val="22"/>
        </w:rPr>
        <w:t>, is located, pursuant to that section, within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state criminalistics laboratory shall be known as the division of criminal investigation criminalistics laboratory. Unless the context clearly implies otherwise, the term “laboratory,” when used in this chapter, shall mean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laboratory shall be headed by an administrator who shall report to the director of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of the laboratory for receiving mail or shipped materials is:</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2240 South Ankeny Boulevard</w:t>
      </w:r>
    </w:p>
    <w:p>
      <w:pPr>
        <w:spacing w:before="0" w:after="0"/>
        <w:ind w:left="120"/>
        <w:jc w:val="both"/>
      </w:pPr>
      <w:r>
        <w:rPr>
          <w:rFonts w:ascii="Times New Roman" w:hAnsi="Times New Roman"/>
          <w:b w:val="false"/>
          <w:i w:val="false"/>
          <w:color w:val="000000"/>
          <w:sz w:val="22"/>
        </w:rPr>
        <w:t>Ankeny, Iowa 50023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of the laboratory is (515)725-1500.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laboratory may be obtained from the department Web site.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Currently, information about the laboratory may be found at </w:t>
      </w:r>
      <w:hyperlink r:id="rId6">
        <w:r>
          <w:rPr>
            <w:rStyle w:val="Hyperlink"/>
            <w:rFonts w:ascii="Times New Roman" w:hAnsi="Times New Roman"/>
            <w:b w:val="false"/>
            <w:i w:val="false"/>
            <w:color w:val="000000"/>
            <w:sz w:val="22"/>
            <w:u w:val="single"/>
          </w:rPr>
          <w:t>www.dps.state.ia.us/DCI/Crime_Lab/index.shtml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661—150.2</w:t>
      </w:r>
      <w:r>
        <w:rPr>
          <w:rFonts w:ascii="Times New Roman" w:hAnsi="Times New Roman"/>
          <w:b/>
          <w:i w:val="false"/>
          <w:color w:val="000000"/>
          <w:sz w:val="22"/>
        </w:rPr>
        <w:t xml:space="preserve">(691) </w:t>
      </w:r>
      <w:r>
        <w:rPr>
          <w:rFonts w:ascii="Times New Roman" w:hAnsi="Times New Roman"/>
          <w:b/>
          <w:i w:val="false"/>
          <w:color w:val="000000"/>
          <w:sz w:val="22"/>
        </w:rPr>
        <w:t xml:space="preserve">Purpose and scope of work. </w:t>
      </w:r>
      <w:r>
        <w:rPr>
          <w:rFonts w:ascii="Times New Roman" w:hAnsi="Times New Roman"/>
          <w:b w:val="false"/>
          <w:i w:val="false"/>
          <w:color w:val="000000"/>
          <w:sz w:val="22"/>
        </w:rPr>
        <w:t>The laboratory provides forensic science services to law enforcement agencies within the state of Iowa. The laboratory shall, within its capabilities, conduct analyses and comparative studies on physical evidence to aid in any criminal investigation, when requested by a prosecuting attorney, a medical examiner, or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150.2(1)</w:t>
      </w:r>
      <w:r>
        <w:rPr>
          <w:rFonts w:ascii="Times New Roman" w:hAnsi="Times New Roman"/>
          <w:b w:val="false"/>
          <w:i w:val="false"/>
          <w:color w:val="000000"/>
          <w:sz w:val="22"/>
        </w:rPr>
        <w:t> </w:t>
      </w:r>
      <w:r>
        <w:rPr>
          <w:rFonts w:ascii="Times New Roman" w:hAnsi="Times New Roman"/>
          <w:b w:val="false"/>
          <w:i/>
          <w:color w:val="000000"/>
          <w:sz w:val="22"/>
        </w:rPr>
        <w:t xml:space="preserve">Resource or capability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laboratory administrator may refuse any request to conduct an analysis when, in the judgment of the administrator, the laboratory is unable to adequately conduct the requested analysis, either because of resource limitations or because the analysis is not within the professional capabilities of laboratory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laboratory administrator may establish a policy excluding evidence of specific types or evidence arising from certain types of cases from being accepted by the laboratory, if the administrator finds that such a policy is necessary either due to resource constraints, safety concerns, or the professional capabilities of laboratory personnel. Any policy adopted pursuant to this paragraph shall be provided to all county attorneys, medical examiners, and law enforcement agencies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analysis by the laboratory of specific evidence arising from a criminal investigation in Iowa has been excluded pursuant to either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administrator may, at the administrator’s discretion, assist the agency requesting the analysis in locating the services of another laboratory able to perform the requested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150.2(2)</w:t>
      </w:r>
      <w:r>
        <w:rPr>
          <w:rFonts w:ascii="Times New Roman" w:hAnsi="Times New Roman"/>
          <w:b w:val="false"/>
          <w:i w:val="false"/>
          <w:color w:val="000000"/>
          <w:sz w:val="22"/>
        </w:rPr>
        <w:t> </w:t>
      </w:r>
      <w:r>
        <w:rPr>
          <w:rFonts w:ascii="Times New Roman" w:hAnsi="Times New Roman"/>
          <w:b w:val="false"/>
          <w:i/>
          <w:color w:val="000000"/>
          <w:sz w:val="22"/>
        </w:rPr>
        <w:t xml:space="preserve">Exclusion by law. </w:t>
      </w:r>
      <w:r>
        <w:rPr>
          <w:rFonts w:ascii="Times New Roman" w:hAnsi="Times New Roman"/>
          <w:b w:val="false"/>
          <w:i w:val="false"/>
          <w:color w:val="000000"/>
          <w:sz w:val="22"/>
        </w:rPr>
        <w:t>The laboratory shall only perform analyses which have arisen from, or will aid in, criminal investigations or which are otherwise provided for by law.</w:t>
      </w:r>
    </w:p>
    <w:p>
      <w:pPr>
        <w:spacing w:before="0" w:after="0"/>
        <w:ind w:left="120"/>
        <w:jc w:val="both"/>
      </w:pPr>
      <w:r>
        <w:rPr>
          <w:rFonts w:ascii="Times New Roman" w:hAnsi="Times New Roman"/>
          <w:b/>
          <w:i w:val="false"/>
          <w:color w:val="000000"/>
          <w:sz w:val="22"/>
        </w:rPr>
        <w:t>661—150.3</w:t>
      </w:r>
      <w:r>
        <w:rPr>
          <w:rFonts w:ascii="Times New Roman" w:hAnsi="Times New Roman"/>
          <w:b/>
          <w:i w:val="false"/>
          <w:color w:val="000000"/>
          <w:sz w:val="22"/>
        </w:rPr>
        <w:t xml:space="preserve">(691) </w:t>
      </w:r>
      <w:r>
        <w:rPr>
          <w:rFonts w:ascii="Times New Roman" w:hAnsi="Times New Roman"/>
          <w:b/>
          <w:i w:val="false"/>
          <w:color w:val="000000"/>
          <w:sz w:val="22"/>
        </w:rPr>
        <w:t xml:space="preserve">Laboratory capabilities. </w:t>
      </w:r>
      <w:r>
        <w:rPr>
          <w:rFonts w:ascii="Times New Roman" w:hAnsi="Times New Roman"/>
          <w:b w:val="false"/>
          <w:i w:val="false"/>
          <w:color w:val="000000"/>
          <w:sz w:val="22"/>
        </w:rPr>
        <w:t>The laboratory is capable of performing any forensic scientific analysis for which a laboratory staff member has received appropriate training and for which the necessary equipment and materials are available to the staff member performing the analysis.</w:t>
      </w:r>
    </w:p>
    <w:p>
      <w:pPr>
        <w:spacing w:before="0" w:after="0"/>
        <w:ind w:left="120"/>
        <w:jc w:val="both"/>
      </w:pPr>
      <w:r>
        <w:rPr>
          <w:rFonts w:ascii="Times New Roman" w:hAnsi="Times New Roman"/>
          <w:b w:val="false"/>
          <w:i w:val="false"/>
          <w:color w:val="000000"/>
          <w:sz w:val="22"/>
        </w:rPr>
        <w:t>The following subrules catalogue and explain specific laboratory capabilities. These descriptions and explanations are provided for informational purposes and in no way limit the authority of the laboratory to perform any analysis for which a staff person is appropriately trained and for which necessary equipment and materials are available. Further information regarding the current forensic science capabilities of the laboratory may be obtained in the Iowa Criminalistics Laboratory Quality Assurance Manual, published by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w:t>
      </w:r>
      <w:r>
        <w:rPr>
          <w:rFonts w:ascii="Times New Roman" w:hAnsi="Times New Roman"/>
          <w:b w:val="false"/>
          <w:i w:val="false"/>
          <w:color w:val="000000"/>
          <w:sz w:val="22"/>
        </w:rPr>
        <w:t> </w:t>
      </w:r>
      <w:r>
        <w:rPr>
          <w:rFonts w:ascii="Times New Roman" w:hAnsi="Times New Roman"/>
          <w:b w:val="false"/>
          <w:i/>
          <w:color w:val="000000"/>
          <w:sz w:val="22"/>
        </w:rPr>
        <w:t xml:space="preserve">Crime scene response. </w:t>
      </w:r>
      <w:r>
        <w:rPr>
          <w:rFonts w:ascii="Times New Roman" w:hAnsi="Times New Roman"/>
          <w:b w:val="false"/>
          <w:i w:val="false"/>
          <w:color w:val="000000"/>
          <w:sz w:val="22"/>
        </w:rPr>
        <w:t>The laboratory may assist law enforcement agencies, when appropriate, by responding to a crime scene and may examine, collect and preserve physical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150.3(2)</w:t>
      </w:r>
      <w:r>
        <w:rPr>
          <w:rFonts w:ascii="Times New Roman" w:hAnsi="Times New Roman"/>
          <w:b w:val="false"/>
          <w:i w:val="false"/>
          <w:color w:val="000000"/>
          <w:sz w:val="22"/>
        </w:rPr>
        <w:t> </w:t>
      </w:r>
      <w:r>
        <w:rPr>
          <w:rFonts w:ascii="Times New Roman" w:hAnsi="Times New Roman"/>
          <w:b w:val="false"/>
          <w:i/>
          <w:color w:val="000000"/>
          <w:sz w:val="22"/>
        </w:rPr>
        <w:t xml:space="preserve">Breath alcohol section. </w:t>
      </w:r>
      <w:r>
        <w:rPr>
          <w:rFonts w:ascii="Times New Roman" w:hAnsi="Times New Roman"/>
          <w:b w:val="false"/>
          <w:i w:val="false"/>
          <w:color w:val="000000"/>
          <w:sz w:val="22"/>
        </w:rPr>
        <w:t>The breath alcohol section provides testing, approval, repair, maintenance and certification of breath testing instruments, provides officer training and certification in the use of evidential breath testing equipment, and provides expert testimony in the area of breath testing instrumentation and the effects of alcohol on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150.3(3)</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identification. </w:t>
      </w:r>
      <w:r>
        <w:rPr>
          <w:rFonts w:ascii="Times New Roman" w:hAnsi="Times New Roman"/>
          <w:b w:val="false"/>
          <w:i w:val="false"/>
          <w:color w:val="000000"/>
          <w:sz w:val="22"/>
        </w:rPr>
        <w:t>The laboratory will identify and quantify, when appropriate, materials suspected to contain controlled substances, and will identify items of significance recovered from clandestine drug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150.3(4)</w:t>
      </w:r>
      <w:r>
        <w:rPr>
          <w:rFonts w:ascii="Times New Roman" w:hAnsi="Times New Roman"/>
          <w:b w:val="false"/>
          <w:i w:val="false"/>
          <w:color w:val="000000"/>
          <w:sz w:val="22"/>
        </w:rPr>
        <w:t> </w:t>
      </w:r>
      <w:r>
        <w:rPr>
          <w:rFonts w:ascii="Times New Roman" w:hAnsi="Times New Roman"/>
          <w:b w:val="false"/>
          <w:i/>
          <w:color w:val="000000"/>
          <w:sz w:val="22"/>
        </w:rPr>
        <w:t xml:space="preserve">DNA. </w:t>
      </w:r>
      <w:r>
        <w:rPr>
          <w:rFonts w:ascii="Times New Roman" w:hAnsi="Times New Roman"/>
          <w:b w:val="false"/>
          <w:i w:val="false"/>
          <w:color w:val="000000"/>
          <w:sz w:val="22"/>
        </w:rPr>
        <w:t>The laboratory will examine evidence for human biological samples and characterize the samples using DNA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150.3(5)</w:t>
      </w:r>
      <w:r>
        <w:rPr>
          <w:rFonts w:ascii="Times New Roman" w:hAnsi="Times New Roman"/>
          <w:b w:val="false"/>
          <w:i w:val="false"/>
          <w:color w:val="000000"/>
          <w:sz w:val="22"/>
        </w:rPr>
        <w:t> </w:t>
      </w:r>
      <w:r>
        <w:rPr>
          <w:rFonts w:ascii="Times New Roman" w:hAnsi="Times New Roman"/>
          <w:b w:val="false"/>
          <w:i/>
          <w:color w:val="000000"/>
          <w:sz w:val="22"/>
        </w:rPr>
        <w:t xml:space="preserve">DNA profiling. </w:t>
      </w:r>
      <w:r>
        <w:rPr>
          <w:rFonts w:ascii="Times New Roman" w:hAnsi="Times New Roman"/>
          <w:b w:val="false"/>
          <w:i w:val="false"/>
          <w:color w:val="000000"/>
          <w:sz w:val="22"/>
        </w:rPr>
        <w:t>The laboratory will generate and maintain DNA profiles from qualifying offenders.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150.3(6)</w:t>
      </w:r>
      <w:r>
        <w:rPr>
          <w:rFonts w:ascii="Times New Roman" w:hAnsi="Times New Roman"/>
          <w:b w:val="false"/>
          <w:i w:val="false"/>
          <w:color w:val="000000"/>
          <w:sz w:val="22"/>
        </w:rPr>
        <w:t> </w:t>
      </w:r>
      <w:r>
        <w:rPr>
          <w:rFonts w:ascii="Times New Roman" w:hAnsi="Times New Roman"/>
          <w:b w:val="false"/>
          <w:i/>
          <w:color w:val="000000"/>
          <w:sz w:val="22"/>
        </w:rPr>
        <w:t xml:space="preserve">Firearms. </w:t>
      </w:r>
      <w:r>
        <w:rPr>
          <w:rFonts w:ascii="Times New Roman" w:hAnsi="Times New Roman"/>
          <w:b w:val="false"/>
          <w:i w:val="false"/>
          <w:color w:val="000000"/>
          <w:sz w:val="22"/>
        </w:rPr>
        <w:t>The firearms section examines firearms, ammunition and ammunition components to determine whether a specific firearm fired a specific bullet or cartridge case or, lacking a specific firearm, to determine the possible type of firearm which could have fired the evidentiary bullets and cartridge cases. The firearms section also reconstructs shooting scenes to determine the distance from the muzzle of the firearm to the target, and examines firearms to determine if they function as designed or have been altered from the original design.</w:t>
      </w:r>
    </w:p>
    <w:p>
      <w:pPr>
        <w:spacing w:before="0" w:after="0"/>
        <w:ind w:left="120"/>
        <w:jc w:val="both"/>
      </w:pPr>
      <w:r>
        <w:rPr>
          <w:rFonts w:ascii="Times New Roman" w:hAnsi="Times New Roman"/>
          <w:b w:val="false"/>
          <w:i w:val="false"/>
          <w:color w:val="000000"/>
          <w:sz w:val="22"/>
        </w:rPr>
        <w:t>The firearms section also maintains a reference collection of firearms and ammunition for comparison purposes and is responsible for the inventory and destruction of firearms forfeited to the laboratory under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150.3(7)</w:t>
      </w:r>
      <w:r>
        <w:rPr>
          <w:rFonts w:ascii="Times New Roman" w:hAnsi="Times New Roman"/>
          <w:b w:val="false"/>
          <w:i w:val="false"/>
          <w:color w:val="000000"/>
          <w:sz w:val="22"/>
        </w:rPr>
        <w:t> </w:t>
      </w:r>
      <w:r>
        <w:rPr>
          <w:rFonts w:ascii="Times New Roman" w:hAnsi="Times New Roman"/>
          <w:b w:val="false"/>
          <w:i/>
          <w:color w:val="000000"/>
          <w:sz w:val="22"/>
        </w:rPr>
        <w:t xml:space="preserve">Latent prints and impressions. </w:t>
      </w:r>
      <w:r>
        <w:rPr>
          <w:rFonts w:ascii="Times New Roman" w:hAnsi="Times New Roman"/>
          <w:b w:val="false"/>
          <w:i w:val="false"/>
          <w:color w:val="000000"/>
          <w:sz w:val="22"/>
        </w:rPr>
        <w:t>The latent prints and impressions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Examines evidence for visible or latent prints.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Makes comparisons to known friction skin exemplars of the fingers, palms and soles of the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Examines footwear, tire tracks, and other impression evidence and compares the evidence to known exemplars.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150.3(8)</w:t>
      </w:r>
      <w:r>
        <w:rPr>
          <w:rFonts w:ascii="Times New Roman" w:hAnsi="Times New Roman"/>
          <w:b w:val="false"/>
          <w:i w:val="false"/>
          <w:color w:val="000000"/>
          <w:sz w:val="22"/>
        </w:rPr>
        <w:t> </w:t>
      </w:r>
      <w:r>
        <w:rPr>
          <w:rFonts w:ascii="Times New Roman" w:hAnsi="Times New Roman"/>
          <w:b w:val="false"/>
          <w:i/>
          <w:color w:val="000000"/>
          <w:sz w:val="22"/>
        </w:rPr>
        <w:t xml:space="preserve">Photography. </w:t>
      </w:r>
      <w:r>
        <w:rPr>
          <w:rFonts w:ascii="Times New Roman" w:hAnsi="Times New Roman"/>
          <w:b w:val="false"/>
          <w:i w:val="false"/>
          <w:color w:val="000000"/>
          <w:sz w:val="22"/>
        </w:rPr>
        <w:t>The photography section provides photographic and video processing services, both digital and film-based, required by all divisions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150.3(9)</w:t>
      </w:r>
      <w:r>
        <w:rPr>
          <w:rFonts w:ascii="Times New Roman" w:hAnsi="Times New Roman"/>
          <w:b w:val="false"/>
          <w:i w:val="false"/>
          <w:color w:val="000000"/>
          <w:sz w:val="22"/>
        </w:rPr>
        <w:t> </w:t>
      </w:r>
      <w:r>
        <w:rPr>
          <w:rFonts w:ascii="Times New Roman" w:hAnsi="Times New Roman"/>
          <w:b w:val="false"/>
          <w:i/>
          <w:color w:val="000000"/>
          <w:sz w:val="22"/>
        </w:rPr>
        <w:t xml:space="preserve">Questioned documents. </w:t>
      </w:r>
      <w:r>
        <w:rPr>
          <w:rFonts w:ascii="Times New Roman" w:hAnsi="Times New Roman"/>
          <w:b w:val="false"/>
          <w:i w:val="false"/>
          <w:color w:val="000000"/>
          <w:sz w:val="22"/>
        </w:rPr>
        <w:t>The questioned documents section characterizes and compares handwritten and machine-produced documents to determine facts about their origins.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150.3(10)</w:t>
      </w:r>
      <w:r>
        <w:rPr>
          <w:rFonts w:ascii="Times New Roman" w:hAnsi="Times New Roman"/>
          <w:b w:val="false"/>
          <w:i w:val="false"/>
          <w:color w:val="000000"/>
          <w:sz w:val="22"/>
        </w:rPr>
        <w:t> </w:t>
      </w:r>
      <w:r>
        <w:rPr>
          <w:rFonts w:ascii="Times New Roman" w:hAnsi="Times New Roman"/>
          <w:b w:val="false"/>
          <w:i/>
          <w:color w:val="000000"/>
          <w:sz w:val="22"/>
        </w:rPr>
        <w:t xml:space="preserve">Tool marks. </w:t>
      </w:r>
      <w:r>
        <w:rPr>
          <w:rFonts w:ascii="Times New Roman" w:hAnsi="Times New Roman"/>
          <w:b w:val="false"/>
          <w:i w:val="false"/>
          <w:color w:val="000000"/>
          <w:sz w:val="22"/>
        </w:rPr>
        <w:t>The tool marks section examines tools and tool marks to determine whether a specific tool produced a specific mark on an item of evidence or, lacking the tool, what type of tool produced a specific mark.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150.3(11)</w:t>
      </w:r>
      <w:r>
        <w:rPr>
          <w:rFonts w:ascii="Times New Roman" w:hAnsi="Times New Roman"/>
          <w:b w:val="false"/>
          <w:i w:val="false"/>
          <w:color w:val="000000"/>
          <w:sz w:val="22"/>
        </w:rPr>
        <w:t> </w:t>
      </w:r>
      <w:r>
        <w:rPr>
          <w:rFonts w:ascii="Times New Roman" w:hAnsi="Times New Roman"/>
          <w:b w:val="false"/>
          <w:i/>
          <w:color w:val="000000"/>
          <w:sz w:val="22"/>
        </w:rPr>
        <w:t xml:space="preserve">Toxicology. </w:t>
      </w:r>
      <w:r>
        <w:rPr>
          <w:rFonts w:ascii="Times New Roman" w:hAnsi="Times New Roman"/>
          <w:b w:val="false"/>
          <w:i w:val="false"/>
          <w:color w:val="000000"/>
          <w:sz w:val="22"/>
        </w:rPr>
        <w:t>The toxicology section examines biological samples for the presence of ethyl alcohol and common drugs of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150.3(12)</w:t>
      </w:r>
      <w:r>
        <w:rPr>
          <w:rFonts w:ascii="Times New Roman" w:hAnsi="Times New Roman"/>
          <w:b w:val="false"/>
          <w:i w:val="false"/>
          <w:color w:val="000000"/>
          <w:sz w:val="22"/>
        </w:rPr>
        <w:t> </w:t>
      </w:r>
      <w:r>
        <w:rPr>
          <w:rFonts w:ascii="Times New Roman" w:hAnsi="Times New Roman"/>
          <w:b w:val="false"/>
          <w:i/>
          <w:color w:val="000000"/>
          <w:sz w:val="22"/>
        </w:rPr>
        <w:t xml:space="preserve">Trace and arson. </w:t>
      </w:r>
      <w:r>
        <w:rPr>
          <w:rFonts w:ascii="Times New Roman" w:hAnsi="Times New Roman"/>
          <w:b w:val="false"/>
          <w:i w:val="false"/>
          <w:color w:val="000000"/>
          <w:sz w:val="22"/>
        </w:rPr>
        <w:t>The trace and arson section examines submitted materials to characterize, identify, or compare them using various analytical techniques. Examples of materials include but are not limited to: ignitable liquids, glass, paint, soil, building materials, explosives, and fibers.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661—150.4</w:t>
      </w:r>
      <w:r>
        <w:rPr>
          <w:rFonts w:ascii="Times New Roman" w:hAnsi="Times New Roman"/>
          <w:b/>
          <w:i w:val="false"/>
          <w:color w:val="000000"/>
          <w:sz w:val="22"/>
        </w:rPr>
        <w:t xml:space="preserve">(691) </w:t>
      </w:r>
      <w:r>
        <w:rPr>
          <w:rFonts w:ascii="Times New Roman" w:hAnsi="Times New Roman"/>
          <w:b/>
          <w:i w:val="false"/>
          <w:color w:val="000000"/>
          <w:sz w:val="22"/>
        </w:rPr>
        <w:t xml:space="preserve">Evidence submission to the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val="false"/>
          <w:color w:val="000000"/>
          <w:sz w:val="22"/>
        </w:rPr>
        <w:t>Evidence may be submitted to the laboratory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law enforcement agency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criminal or juvenile justice agency, with the approval of the laboratory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state agency, with the approval of the laboratory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val="false"/>
          <w:color w:val="000000"/>
          <w:sz w:val="22"/>
        </w:rPr>
        <w:t>Evidence may be submitted to the laboratory via regular, certified, or registered mail or personal service. Any evidence to be submitted to the laboratory shall be entered electronically into the laboratory information management system prior to submission. Each entry shall include a description of each item to be submitted and an examination request for each item to be submitted.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Access to the laboratory information management system is restricted to authorized users representing agencies authorized to submit evidence to the laboratory. Authorized users should contact the laboratory for instructions regarding access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val="false"/>
          <w:color w:val="000000"/>
          <w:sz w:val="22"/>
        </w:rPr>
        <w:t>Evidence submitted to the laboratory which is not personally delivered shall be packaged in such a manner that laboratory personnel can determine that the package has not been opened while in transit. If the laboratory receives an unsealed or damaged package, the laboratory may refuse to process such evidence, if the integrity of the evidence has been compromised.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661—150.5</w:t>
      </w:r>
      <w:r>
        <w:rPr>
          <w:rFonts w:ascii="Times New Roman" w:hAnsi="Times New Roman"/>
          <w:b/>
          <w:i w:val="false"/>
          <w:color w:val="000000"/>
          <w:sz w:val="22"/>
        </w:rPr>
        <w:t xml:space="preserve">(17A,691) </w:t>
      </w:r>
      <w:r>
        <w:rPr>
          <w:rFonts w:ascii="Times New Roman" w:hAnsi="Times New Roman"/>
          <w:b/>
          <w:i w:val="false"/>
          <w:color w:val="000000"/>
          <w:sz w:val="22"/>
        </w:rPr>
        <w:t xml:space="preserve">Distribution of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val="false"/>
          <w:color w:val="000000"/>
          <w:sz w:val="22"/>
        </w:rPr>
        <w:t>A copy of each completed report of analyses performed by the laboratory shall be provided to the submitting officer and to the prosecuting attorney. The prosecuting attorney shall be responsible for providing copies of any laboratory report to the defendant or defendants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val="false"/>
          <w:color w:val="000000"/>
          <w:sz w:val="22"/>
        </w:rPr>
        <w:t>Results of laboratory analyses shall not be made available to any unauthorized person or organization.</w:t>
      </w:r>
    </w:p>
    <w:p>
      <w:pPr>
        <w:spacing w:before="0" w:after="0"/>
        <w:ind w:left="120"/>
        <w:jc w:val="both"/>
      </w:pPr>
      <w:r>
        <w:rPr>
          <w:rFonts w:ascii="Times New Roman" w:hAnsi="Times New Roman"/>
          <w:b/>
          <w:i w:val="false"/>
          <w:color w:val="000000"/>
          <w:sz w:val="22"/>
        </w:rPr>
        <w:t>661—150.6</w:t>
      </w:r>
      <w:r>
        <w:rPr>
          <w:rFonts w:ascii="Times New Roman" w:hAnsi="Times New Roman"/>
          <w:b/>
          <w:i w:val="false"/>
          <w:color w:val="000000"/>
          <w:sz w:val="22"/>
        </w:rPr>
        <w:t xml:space="preserve">(17A,691) </w:t>
      </w:r>
      <w:r>
        <w:rPr>
          <w:rFonts w:ascii="Times New Roman" w:hAnsi="Times New Roman"/>
          <w:b/>
          <w:i w:val="false"/>
          <w:color w:val="000000"/>
          <w:sz w:val="22"/>
        </w:rPr>
        <w:t xml:space="preserve">Disposition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val="false"/>
          <w:color w:val="000000"/>
          <w:sz w:val="22"/>
        </w:rPr>
        <w:t>Evidence will be returned to the submitting agency, unless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Retention of the evidence would be beneficial for future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Returning the evidence presents a hazard to health or safety. Any required notice to the defendant of destruction of evidence pursuant to this paragraph is the responsibility of the prosecuting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val="false"/>
          <w:color w:val="000000"/>
          <w:sz w:val="22"/>
        </w:rPr>
        <w:t>Evidence shall not be transferred or submitted to any person or agency other than the submitting agency without an applicable court order, unless authorized by the submitting agency.</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4/12/76, Notice 3/8/76—published 5/3/76, effective 6/7/76]</w:t>
      </w:r>
    </w:p>
    <w:p>
      <w:pPr>
        <w:spacing w:before="0" w:after="0"/>
        <w:ind w:left="120"/>
        <w:jc w:val="center"/>
      </w:pPr>
      <w:r>
        <w:rPr>
          <w:rFonts w:ascii="Times New Roman" w:hAnsi="Times New Roman"/>
          <w:b w:val="false"/>
          <w:i w:val="false"/>
          <w:color w:val="000000"/>
          <w:sz w:val="21"/>
        </w:rPr>
        <w:t>[Filed emergency 6/4/76—published 6/28/76, effective 6/4/76]</w:t>
      </w:r>
    </w:p>
    <w:p>
      <w:pPr>
        <w:spacing w:before="0" w:after="0"/>
        <w:ind w:left="120"/>
        <w:jc w:val="center"/>
      </w:pPr>
      <w:r>
        <w:rPr>
          <w:rFonts w:ascii="Times New Roman" w:hAnsi="Times New Roman"/>
          <w:b w:val="false"/>
          <w:i w:val="false"/>
          <w:color w:val="000000"/>
          <w:sz w:val="21"/>
        </w:rPr>
        <w:t>[Filed 2/28/78, Notice 1/11/78—published 3/22/78, effective 4/26/78]</w:t>
      </w:r>
    </w:p>
    <w:p>
      <w:pPr>
        <w:spacing w:before="0" w:after="0"/>
        <w:ind w:left="120"/>
        <w:jc w:val="center"/>
      </w:pPr>
      <w:r>
        <w:rPr>
          <w:rFonts w:ascii="Times New Roman" w:hAnsi="Times New Roman"/>
          <w:b w:val="false"/>
          <w:i w:val="false"/>
          <w:color w:val="000000"/>
          <w:sz w:val="21"/>
        </w:rPr>
        <w:t>[Filed emergency 1/25/79—published 2/21/79, effective 1/25/79]</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1.pdf" Type="http://schemas.openxmlformats.org/officeDocument/2006/relationships/hyperlink" Id="rId5"/>
    <Relationship TargetMode="External" Target="www.dps.state.ia.us/DCI/Crime_Lab/index.shtml" Type="http://schemas.openxmlformats.org/officeDocument/2006/relationships/hyperlink" Id="rId6"/>
    <Relationship TargetMode="External" Target="https://www.legis.iowa.gov/docs/ico/chapter/69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