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PRACTICE AND PROCEDURE BEFORE THE DEPARTMENT OF PUBLIC SAFETY</w:t>
      </w:r>
    </w:p>
    <w:p>
      <w:pPr>
        <w:spacing w:before="0" w:after="0"/>
        <w:ind w:left="120"/>
        <w:jc w:val="center"/>
      </w:pPr>
      <w:r>
        <w:rPr>
          <w:rFonts w:ascii="Times New Roman" w:hAnsi="Times New Roman"/>
          <w:b w:val="false"/>
          <w:i w:val="false"/>
          <w:color w:val="000000"/>
          <w:sz w:val="14"/>
        </w:rPr>
        <w:t>[Ch 10 as appeared in 1973 IDR, transferred to Transportation Department]</w:t>
      </w:r>
    </w:p>
    <w:p>
      <w:pPr>
        <w:spacing w:before="0" w:after="0"/>
        <w:ind w:left="120"/>
        <w:jc w:val="center"/>
      </w:pPr>
      <w:r>
        <w:rPr>
          <w:rFonts w:ascii="Times New Roman" w:hAnsi="Times New Roman"/>
          <w:b w:val="false"/>
          <w:i w:val="false"/>
          <w:color w:val="000000"/>
          <w:sz w:val="14"/>
        </w:rPr>
        <w:t>[Prior to 4/20/88, see Public Safety Department, 680—Ch 10]</w:t>
      </w:r>
      <w:r>
        <w:br/>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661—10.1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“variance” </w:t>
      </w:r>
      <w:r>
        <w:rPr>
          <w:rFonts w:ascii="Times New Roman" w:hAnsi="Times New Roman"/>
          <w:b w:val="false"/>
          <w:i w:val="false"/>
          <w:color w:val="000000"/>
          <w:sz w:val="22"/>
        </w:rPr>
        <w:t>means an action by the department which suspends, in whole or in part, the requirements or provisions of a rule as applied to an identified person on the basis of the particular circumstances of that person. For simplicity, the term “waiver” shall include both a “waiver” and a “variance.”</w:t>
      </w:r>
    </w:p>
    <w:p>
      <w:pPr>
        <w:spacing w:before="210" w:after="0"/>
        <w:ind w:left="120"/>
        <w:jc w:val="both"/>
      </w:pPr>
      <w:r>
        <w:rPr>
          <w:rFonts w:ascii="Times New Roman" w:hAnsi="Times New Roman"/>
          <w:b/>
          <w:i w:val="false"/>
          <w:color w:val="000000"/>
          <w:sz w:val="22"/>
        </w:rPr>
        <w:t>661—10.2</w:t>
      </w:r>
      <w:r>
        <w:rPr>
          <w:rFonts w:ascii="Times New Roman" w:hAnsi="Times New Roman"/>
          <w:b w:val="false"/>
          <w:i w:val="false"/>
          <w:color w:val="000000"/>
          <w:sz w:val="22"/>
        </w:rPr>
        <w:t xml:space="preserve"> to </w:t>
      </w:r>
      <w:r>
        <w:rPr>
          <w:rFonts w:ascii="Times New Roman" w:hAnsi="Times New Roman"/>
          <w:b/>
          <w:i w:val="false"/>
          <w:color w:val="000000"/>
          <w:sz w:val="22"/>
        </w:rPr>
        <w:t>10.100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DECLARATORY ORDERS</w:t>
      </w:r>
    </w:p>
    <w:p>
      <w:pPr>
        <w:spacing w:before="0" w:after="0"/>
        <w:ind w:left="120"/>
        <w:jc w:val="both"/>
      </w:pPr>
      <w:r>
        <w:rPr>
          <w:rFonts w:ascii="Times New Roman" w:hAnsi="Times New Roman"/>
          <w:b/>
          <w:i w:val="false"/>
          <w:color w:val="000000"/>
          <w:sz w:val="22"/>
        </w:rPr>
        <w:t>661—10.101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department for a declaratory order as to the applicability to specified circumstances of a statute, rule, or order within the primary jurisdiction of the department, at the Office of the Commissioner, Department of Public Safety, State Public Safety Headquarters Building, 215 East 7th Street, Des Moines, Iowa 50319. A petition is deemed filed when it is received by that office. The department shall provide the petitioner with a file-stamped copy of the petition if the petitioner provides the agency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DEPARTMENT OF PUBLIC SAFETY</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661—10.107(17A)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661—10.102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department shall give notice of the petition to all persons not served by the petitioner pursuant to </w:t>
      </w:r>
      <w:hyperlink r:id="rId6">
        <w:r>
          <w:rPr>
            <w:rStyle w:val="Hyperlink"/>
            <w:rFonts w:ascii="Times New Roman" w:hAnsi="Times New Roman"/>
            <w:b w:val="false"/>
            <w:i w:val="false"/>
            <w:color w:val="000000"/>
            <w:sz w:val="22"/>
          </w:rPr>
          <w:t>661—10.106(17A)</w:t>
        </w:r>
      </w:hyperlink>
      <w:r>
        <w:rPr>
          <w:rFonts w:ascii="Times New Roman" w:hAnsi="Times New Roman"/>
          <w:b w:val="false"/>
          <w:i w:val="false"/>
          <w:color w:val="000000"/>
          <w:sz w:val="22"/>
        </w:rPr>
        <w:t xml:space="preserve"> to whom notice is required by any provision of law. The department may also give notice to any other persons.</w:t>
      </w:r>
    </w:p>
    <w:p>
      <w:pPr>
        <w:spacing w:before="0" w:after="0"/>
        <w:ind w:left="120"/>
        <w:jc w:val="both"/>
      </w:pPr>
      <w:r>
        <w:rPr>
          <w:rFonts w:ascii="Times New Roman" w:hAnsi="Times New Roman"/>
          <w:b/>
          <w:i w:val="false"/>
          <w:color w:val="000000"/>
          <w:sz w:val="22"/>
        </w:rPr>
        <w:t>661—10.103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10.103(1)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qualifies under any applicable provision of law as an intervenor and who files a petition for intervention within 20 days of the filing of a petition for declaratory order (after time for notice under </w:t>
      </w:r>
      <w:hyperlink r:id="rId7">
        <w:r>
          <w:rPr>
            <w:rStyle w:val="Hyperlink"/>
            <w:rFonts w:ascii="Times New Roman" w:hAnsi="Times New Roman"/>
            <w:b w:val="false"/>
            <w:i w:val="false"/>
            <w:color w:val="000000"/>
            <w:sz w:val="22"/>
          </w:rPr>
          <w:t>661—10.102(17A)</w:t>
        </w:r>
      </w:hyperlink>
      <w:r>
        <w:rPr>
          <w:rFonts w:ascii="Times New Roman" w:hAnsi="Times New Roman"/>
          <w:b w:val="false"/>
          <w:i w:val="false"/>
          <w:color w:val="000000"/>
          <w:sz w:val="22"/>
        </w:rPr>
        <w:t xml:space="preserve"> and before 30-day time for agency action under </w:t>
      </w:r>
      <w:hyperlink r:id="rId8">
        <w:r>
          <w:rPr>
            <w:rStyle w:val="Hyperlink"/>
            <w:rFonts w:ascii="Times New Roman" w:hAnsi="Times New Roman"/>
            <w:b w:val="false"/>
            <w:i w:val="false"/>
            <w:color w:val="000000"/>
            <w:sz w:val="22"/>
          </w:rPr>
          <w:t>661—10.108(17A))</w:t>
        </w:r>
      </w:hyperlink>
      <w:r>
        <w:rPr>
          <w:rFonts w:ascii="Times New Roman" w:hAnsi="Times New Roman"/>
          <w:b w:val="false"/>
          <w:i w:val="false"/>
          <w:color w:val="000000"/>
          <w:sz w:val="22"/>
        </w:rPr>
        <w:t xml:space="preserve">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Office of the Commissioner, Department of Public Safety, State Public Safety Headquarters Building, 215 East 7th Street, Des Moines, Iowa 50319. Such a petition is deemed filed when it is received by that office. The department shall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DEPARTMENT OF PUBLIC SAFETY</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 (Cite 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661—10.104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department may request a brief from the petitioner, any intervenor, or any other person concerning the questions raised.</w:t>
      </w:r>
    </w:p>
    <w:p>
      <w:pPr>
        <w:spacing w:before="0" w:after="0"/>
        <w:ind w:left="120"/>
        <w:jc w:val="both"/>
      </w:pPr>
      <w:r>
        <w:rPr>
          <w:rFonts w:ascii="Times New Roman" w:hAnsi="Times New Roman"/>
          <w:b/>
          <w:i w:val="false"/>
          <w:color w:val="000000"/>
          <w:sz w:val="22"/>
        </w:rPr>
        <w:t>661—10.105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Agency Rules Administrator, Office of the Commissioner, Department of Public Safety, State Public Safety Headquarters Building, 215 East 7th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661—10.106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Office of the Commissioner, Department of Public Safety, State Public Safety Headquarters Building, 215 East 7th Street, Des Moines, Iowa 50319. All petitions, briefs, or other papers that are required to be served upon a party shall be filed simultaneously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w:t>
      </w:r>
      <w:hyperlink r:id="rId9">
        <w:r>
          <w:rPr>
            <w:rStyle w:val="Hyperlink"/>
            <w:rFonts w:ascii="Times New Roman" w:hAnsi="Times New Roman"/>
            <w:b w:val="false"/>
            <w:i w:val="false"/>
            <w:color w:val="000000"/>
            <w:sz w:val="22"/>
          </w:rPr>
          <w:t>rule 661—10.312(17A)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661—10.107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department may schedule a brief and informal meeting between the original petitioner, all intervenors, and the department, a member of the department, or a member of the staff of the department, to discuss the questions raised. The department may solicit comments from any person on the questions raised. Also, comments on the questions raised may be submitted to the department by any person.</w:t>
      </w:r>
    </w:p>
    <w:p>
      <w:pPr>
        <w:spacing w:before="0" w:after="0"/>
        <w:ind w:left="120"/>
        <w:jc w:val="both"/>
      </w:pPr>
      <w:r>
        <w:rPr>
          <w:rFonts w:ascii="Times New Roman" w:hAnsi="Times New Roman"/>
          <w:b/>
          <w:i w:val="false"/>
          <w:color w:val="000000"/>
          <w:sz w:val="22"/>
        </w:rPr>
        <w:t>661—10.108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13(5), after receipt of a petition for a declaratory order, the commissioner of public safety or the commissioner’s designee shall take action on the petition as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w:t>
      </w:r>
      <w:hyperlink r:id="rId10">
        <w:r>
          <w:rPr>
            <w:rStyle w:val="Hyperlink"/>
            <w:rFonts w:ascii="Times New Roman" w:hAnsi="Times New Roman"/>
            <w:b w:val="false"/>
            <w:i w:val="false"/>
            <w:color w:val="000000"/>
            <w:sz w:val="22"/>
          </w:rPr>
          <w:t>rule 661—10.302(17A)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661—10.109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issue a declaratory order where prohibited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13(1),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department to determine whether a statute is unconstitutional on its face.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petition relates to any criminal investigation.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The petition concerns any procedure or practice of the department or any other agency related to initiation or conduct of criminal investigations or referral of matters for possible criminal investigation or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shall indicate the specific grounds for the refusal, unless it pertains to a matter under criminal investigation, or which has been referred for possible criminal prosecution, in which event no information which might compromise the investigation or prosecution shall be released to the petitioner or any intervenor. A refusal to issue a declaratory order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661—10.110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661—10.111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each original petitioner and to each intervenor.</w:t>
      </w:r>
    </w:p>
    <w:p>
      <w:pPr>
        <w:spacing w:before="210" w:after="0"/>
        <w:ind w:left="120"/>
        <w:jc w:val="both"/>
      </w:pPr>
      <w:r>
        <w:rPr>
          <w:rFonts w:ascii="Times New Roman" w:hAnsi="Times New Roman"/>
          <w:b/>
          <w:i w:val="false"/>
          <w:color w:val="000000"/>
          <w:sz w:val="22"/>
        </w:rPr>
        <w:t>661—10.112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department,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department. The issuance of a declaratory order constitutes final agency action on the petition.</w:t>
      </w:r>
    </w:p>
    <w:p>
      <w:pPr>
        <w:spacing w:before="210" w:after="0"/>
        <w:ind w:left="120"/>
        <w:jc w:val="both"/>
      </w:pPr>
      <w:r>
        <w:rPr>
          <w:rFonts w:ascii="Times New Roman" w:hAnsi="Times New Roman"/>
          <w:b/>
          <w:i w:val="false"/>
          <w:color w:val="000000"/>
          <w:sz w:val="22"/>
        </w:rPr>
        <w:t>661—10.113</w:t>
      </w:r>
      <w:r>
        <w:rPr>
          <w:rFonts w:ascii="Times New Roman" w:hAnsi="Times New Roman"/>
          <w:b w:val="false"/>
          <w:i w:val="false"/>
          <w:color w:val="000000"/>
          <w:sz w:val="22"/>
        </w:rPr>
        <w:t xml:space="preserve"> to </w:t>
      </w:r>
      <w:r>
        <w:rPr>
          <w:rFonts w:ascii="Times New Roman" w:hAnsi="Times New Roman"/>
          <w:b/>
          <w:i w:val="false"/>
          <w:color w:val="000000"/>
          <w:sz w:val="22"/>
        </w:rPr>
        <w:t>10.200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AGENCY PROCEDURE FOR RULE MAKING</w:t>
      </w:r>
    </w:p>
    <w:p>
      <w:pPr>
        <w:spacing w:before="210" w:after="0"/>
        <w:ind w:left="120"/>
        <w:jc w:val="both"/>
      </w:pPr>
      <w:r>
        <w:rPr>
          <w:rFonts w:ascii="Times New Roman" w:hAnsi="Times New Roman"/>
          <w:b/>
          <w:i w:val="false"/>
          <w:color w:val="000000"/>
          <w:sz w:val="22"/>
        </w:rPr>
        <w:t>661—10.201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department are subject to the provisions of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661—10.202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department may, before publication of a Notice of Intended Action under Iowa Code section </w:t>
      </w:r>
      <w:hyperlink r:id="rId12">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department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661—10.203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department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department, with the approval of the commissioner of public safety. For each anticipated rule-making proceeding the docket shall contain a listing of the precise subject matter which may be submitted for consideration by the rule-making authority for subsequent proposal under the provisions of Iowa Code section </w:t>
      </w:r>
      <w:hyperlink r:id="rId13">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department personnel with whom persons may communicate with respect to the matter, and an indication of the present status within the department of that possible rule. The department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14">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department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department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661—10.204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department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department shall include in the notice a statement fully describing the specific subject matter of the omitted portion of the text of the proposed rule, the specific issues to be addressed by that omitted text of the proposed rule, and the range of possible choices being considered by the department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w:t>
      </w:r>
      <w:hyperlink r:id="rId15">
        <w:r>
          <w:rPr>
            <w:rStyle w:val="Hyperlink"/>
            <w:rFonts w:ascii="Times New Roman" w:hAnsi="Times New Roman"/>
            <w:b w:val="false"/>
            <w:i w:val="false"/>
            <w:color w:val="000000"/>
            <w:sz w:val="22"/>
          </w:rPr>
          <w:t>subrule 10.212(2)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 xml:space="preserve">Persons desiring to receive copies of future Notices of Intended Action by subscription must file with the Agency Rules Administrator, Office of the Commissioner, Department of Public Safety, State Public Safety Headquarters Building, 215 East 7th Street, Des Moines, Iowa 50319, a written request indicating the name and address to which such notices should be sent. Within seven days after submission of a Notice of Intended Action to the administrative rules coordinator for publication in the Iowa Administrative Bulletin, the department shall mail or electronically transmit a copy of that notice to subscribers who have filed a written request for either mailing or electronic transmittal with the department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year. The price for such a subscription can be obtained from the Agency Rules Administrator, Office of the Commissioner, Department of Public Safety, at the address above, by telephone at (515)725-6185, or by electronic mail via the Internet at </w:t>
      </w:r>
      <w:hyperlink r:id="rId16">
        <w:r>
          <w:rPr>
            <w:rStyle w:val="Hyperlink"/>
            <w:rFonts w:ascii="Times New Roman" w:hAnsi="Times New Roman"/>
            <w:b w:val="false"/>
            <w:i w:val="false"/>
            <w:color w:val="000000"/>
            <w:sz w:val="22"/>
            <w:u w:val="single"/>
          </w:rPr>
          <w:t>admrule@dps.state.ia.us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661—10.205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Agency Rules Administrator, Office of the Commissioner, Department of Public Safety, State Public Safety Headquarters Building, 215 East 7th Street, Des Moines, Iowa 50319, or the person or office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department may, at any time, schedule an oral proceeding on a proposed rule. The department shall schedule an oral proceeding on a proposed rule if, within 20 days after the published Notice of Intended Action, a written request for an opportunity to make oral presentations is submitted to the department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commissioner of public safety or the commissioner’s designee shall preside at the oral proceeding on a proposed rule. If the commissioner does not preside, the presiding officer shall prepare a memorandum for consideration by the department summarizing the contents of the presentations made at the oral proceeding unless the commissioner determines that such a memorandum is unnecessary. If the oral proceeding relates to rule making which falls within the authority of an official other than the commissioner, the oral proceeding shall be presided over by the official with rule-making authority or that official’s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agency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agency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summarize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representatives of the department who may be present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department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department shall schedule oral proceedings in rooms accessible to and functional for persons with physical disabilities. Persons who have special requirements should contact the Agency Rules Administrator, Office of the Commissioner, Department of Public Safety, State Public Safety Headquarters Building, 215 East 7th Street, Des Moines, Iowa 50319, in advance to arrange access or other needed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661—10.206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department’s small business impact list by making a written application addressed to Agency Rules Coordinator, Office of the Commissioner, Department of Public Safety, State Public Safety Headquarters Building, 215 East 7th Street, Des Moines, Iowa 50319.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department may at any time request additional information from the applicant to determine whether the applicant is qualified as a small business or as an organization of 25 or more small businesses. The department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department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8">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department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department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 business impact. </w:t>
      </w:r>
      <w:r>
        <w:rPr>
          <w:rFonts w:ascii="Times New Roman" w:hAnsi="Times New Roman"/>
          <w:b w:val="false"/>
          <w:i w:val="false"/>
          <w:color w:val="000000"/>
          <w:sz w:val="22"/>
        </w:rPr>
        <w:t xml:space="preserve">The department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department shall adhere to the time lines described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Agency Rules Administrator, Office of the Commissioner, Department of Public Safety, State Public Safety Headquarters Building, 215 East 7th Street, Des Moines, Iowa 50319. The request shall be in writing and satisfy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department shall make available, to the maximum extent feasible, copies of the published summary in conformance with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10(2a),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661—10.207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19">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10.207(2)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at the time it adopts a rule that the fiscal impact statement upon which the rule is based contains errors, the department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661—10.208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department shall not adopt a rule until the period for making written submissions and oral presentations has expired. Within 180 days after the later of the publication of the Notice of Intended Action, or the end of oral proceedings thereon, the department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department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10.208(3)</w:t>
      </w:r>
      <w:r>
        <w:rPr>
          <w:rFonts w:ascii="Times New Roman" w:hAnsi="Times New Roman"/>
          <w:b w:val="false"/>
          <w:i w:val="false"/>
          <w:color w:val="000000"/>
          <w:sz w:val="22"/>
        </w:rPr>
        <w:t> </w:t>
      </w:r>
      <w:r>
        <w:rPr>
          <w:rFonts w:ascii="Times New Roman" w:hAnsi="Times New Roman"/>
          <w:b w:val="false"/>
          <w:i/>
          <w:color w:val="000000"/>
          <w:sz w:val="22"/>
        </w:rPr>
        <w:t xml:space="preserve">Reliance on department expertise. </w:t>
      </w:r>
      <w:r>
        <w:rPr>
          <w:rFonts w:ascii="Times New Roman" w:hAnsi="Times New Roman"/>
          <w:b w:val="false"/>
          <w:i w:val="false"/>
          <w:color w:val="000000"/>
          <w:sz w:val="22"/>
        </w:rPr>
        <w:t>Except as otherwise provided by law, the department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661—10.209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10.209(1)</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department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subject matter of the rule or the issues determined by the rule are different from the subject matter or issues contained in the Notice of Intended Action;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10.209(3)</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commence a rule-making proceeding within 60 days of its receipt of a petition for rule making seeking the amendment or repeal of a rule that differs from the proposed rule contained in the Notice of Intended Action upon which the rule is based, unless the department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department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661—10.210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department for good cause finds that public notice and participation are unnecessary, impracticable, or contrary to the public interest in the process of adopting a particular rule, the department may adopt that rule without publishing advance Notice of Intended Action in the Iowa Administrative Bulletin and without providing for written or oral public submissions prior to its adoption. The department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10.210(3)</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department may, at any time, commence a standard rule-making proceeding for the adoption of a rule that is identical or similar to a rule it adopts in reliance upon </w:t>
      </w:r>
      <w:hyperlink r:id="rId20">
        <w:r>
          <w:rPr>
            <w:rStyle w:val="Hyperlink"/>
            <w:rFonts w:ascii="Times New Roman" w:hAnsi="Times New Roman"/>
            <w:b w:val="false"/>
            <w:i w:val="false"/>
            <w:color w:val="000000"/>
            <w:sz w:val="22"/>
          </w:rPr>
          <w:t>subrule 10.210(1)</w:t>
        </w:r>
      </w:hyperlink>
      <w:r>
        <w:rPr>
          <w:rFonts w:ascii="Times New Roman" w:hAnsi="Times New Roman"/>
          <w:b w:val="false"/>
          <w:i w:val="false"/>
          <w:color w:val="000000"/>
          <w:sz w:val="22"/>
        </w:rPr>
        <w:t xml:space="preserve">. Upon written petition by a governmental subdivision, the administrative rules review committee, the department, the administrative rules coordinator, an association having not less than 25 members, or at least 25 persons, the department shall commence a standard rule-making proceeding for any rule specified in the petition that was adopted in reliance upon </w:t>
      </w:r>
      <w:hyperlink r:id="rId21">
        <w:r>
          <w:rPr>
            <w:rStyle w:val="Hyperlink"/>
            <w:rFonts w:ascii="Times New Roman" w:hAnsi="Times New Roman"/>
            <w:b w:val="false"/>
            <w:i w:val="false"/>
            <w:color w:val="000000"/>
            <w:sz w:val="22"/>
          </w:rPr>
          <w:t>subrule 10.210(1)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department may either readopt the rule it adopted without benefit of all usual procedures on the basis of </w:t>
      </w:r>
      <w:hyperlink r:id="rId22">
        <w:r>
          <w:rPr>
            <w:rStyle w:val="Hyperlink"/>
            <w:rFonts w:ascii="Times New Roman" w:hAnsi="Times New Roman"/>
            <w:b w:val="false"/>
            <w:i w:val="false"/>
            <w:color w:val="000000"/>
            <w:sz w:val="22"/>
          </w:rPr>
          <w:t>subrule 10.210(1)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661—10.211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department shall issue a concise statement of reasons for the rule. Requests for such a statement must be in writing and be delivered to the Agency Rules Administrator, Office of the Commissioner, Department of Public Safety, State Public Safety Headquarters Building, 215 East 7th Street, Des Moines, Iowa 50319.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department’s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department shall issue a concise statement of reasons by the later of the time the rule is adopted or 35 days after receipt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661—10.212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department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department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the department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department may incorporate by reference in a proposed or adopted rule, and without causing publication of the incorporated matter in full, all or any part of a code, standard, rule, or other matter if the department finds that the incorporation of its text in the department proposed or adopted rule would be unduly cumbersome, expensive, or otherwise inexpedient. The reference in the department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department may incorporate such matter by reference in a proposed or adopted rule only if the department makes copies of it readily available to the public. The rule shall state how and where copies of the incorporated matter may be obtained at cost from the department, and how and where copies may be obtained from the agency, organization, association, or persons originally issuing that matter. The department shall retain permanently a copy of any materials incorporated by reference in a rule of the department.</w:t>
      </w:r>
    </w:p>
    <w:p>
      <w:pPr>
        <w:spacing w:before="0" w:after="0"/>
        <w:ind w:left="120"/>
        <w:jc w:val="both"/>
      </w:pPr>
      <w:r>
        <w:rPr>
          <w:rFonts w:ascii="Times New Roman" w:hAnsi="Times New Roman"/>
          <w:b w:val="false"/>
          <w:i w:val="false"/>
          <w:color w:val="000000"/>
          <w:sz w:val="22"/>
        </w:rPr>
        <w:t>If the department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department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department. The department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department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department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661—10.213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department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department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department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department’s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department, and all other written materials of a factual nature as distinguished from opinion that are relevant to the merits of the rule and that were created or compiled by the department and considered by the commissioner of public safety or other official with rule-making authority, in connection with the formulation, proposal, or adoption of the rule or the proceeding upon which the rule is based, except to the extent the department is authorized by law to keep them confidential; provided, however, that when any such materials are deleted because they are authorized by law to be kept confidential, the department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23">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24">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department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department rule-making record required by this rule need not constitute the exclusive basis for department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department shall maintain the rule-making record for a period of not less than five years from the later of the date the rule to which it pertains became effective, the date of the Notice of Intended Action, or the date of any written criticism as described in </w:t>
      </w:r>
      <w:hyperlink r:id="rId25">
        <w:r>
          <w:rPr>
            <w:rStyle w:val="Hyperlink"/>
            <w:rFonts w:ascii="Times New Roman" w:hAnsi="Times New Roman"/>
            <w:b w:val="false"/>
            <w:i w:val="false"/>
            <w:color w:val="000000"/>
            <w:sz w:val="22"/>
          </w:rPr>
          <w:t>10.213(2)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210" w:after="0"/>
        <w:ind w:left="120"/>
        <w:jc w:val="both"/>
      </w:pPr>
      <w:r>
        <w:rPr>
          <w:rFonts w:ascii="Times New Roman" w:hAnsi="Times New Roman"/>
          <w:b/>
          <w:i w:val="false"/>
          <w:color w:val="000000"/>
          <w:sz w:val="22"/>
        </w:rPr>
        <w:t>661—10.214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department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department shall use the standard form prescribed by the administrative rules coordinator.</w:t>
      </w:r>
    </w:p>
    <w:p>
      <w:pPr>
        <w:spacing w:before="0" w:after="0"/>
        <w:ind w:left="120"/>
        <w:jc w:val="both"/>
      </w:pPr>
      <w:r>
        <w:rPr>
          <w:rFonts w:ascii="Times New Roman" w:hAnsi="Times New Roman"/>
          <w:b/>
          <w:i w:val="false"/>
          <w:color w:val="000000"/>
          <w:sz w:val="22"/>
        </w:rPr>
        <w:t>661—10.215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department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department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department makes a rule effective prior to its indexing and publication in reliance upon the provisions of Iowa Code section </w:t>
      </w:r>
      <w:hyperlink r:id="rId26">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department shall employ all reasonable efforts to make its contents known to the persons who may be affected by that rule prior to the rule’s indexing and publication. The term “all reasonable efforts” requires the department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department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27">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w:t>
      </w:r>
      <w:hyperlink r:id="rId28">
        <w:r>
          <w:rPr>
            <w:rStyle w:val="Hyperlink"/>
            <w:rFonts w:ascii="Times New Roman" w:hAnsi="Times New Roman"/>
            <w:b w:val="false"/>
            <w:i w:val="false"/>
            <w:color w:val="000000"/>
            <w:sz w:val="22"/>
          </w:rPr>
          <w:t>subrule 10.215(2)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661—10.216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department shall maintain an official, current, and dated compilation that is indexed by subject, containing all of its general statements of policy within the scope of Iowa Code section </w:t>
      </w:r>
      <w:hyperlink r:id="rId29">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“a,” “c,” “f,” “g,” “h,” “k.”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30">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department to the detriment of any person who does not have actual, timely knowledge of the contents of the statement until the requirements of </w:t>
      </w:r>
      <w:hyperlink r:id="rId31">
        <w:r>
          <w:rPr>
            <w:rStyle w:val="Hyperlink"/>
            <w:rFonts w:ascii="Times New Roman" w:hAnsi="Times New Roman"/>
            <w:b w:val="false"/>
            <w:i w:val="false"/>
            <w:color w:val="000000"/>
            <w:sz w:val="22"/>
          </w:rPr>
          <w:t>subrule 10.216(1)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661—10.217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department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department to conduct a formal review of a specified rule. Upon approval of that request by the administrative rules coordinator, the department shall conduct a formal review of a specified rule to determine whether a new rule should be adopted instead or the rule should be amended or repealed. The department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department shall prepare within a reasonable time a written report summarizing its findings, its supporting reasons, and any proposed course of action. The report must include a concise statement of the department’s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department or granted by the department. The report shall describe alternative solutions to resolve the criticisms of the rule, the reasons any were rejected, and any changes made in the rule in response to the criticisms as well as the reasons for the changes. A copy of the department’s report shall be sent to the administrative rules review committee and the administrative rules coordinator. The report must also be available for public inspection.</w:t>
      </w:r>
    </w:p>
    <w:p>
      <w:pPr>
        <w:spacing w:before="0" w:after="0"/>
        <w:ind w:left="120"/>
        <w:jc w:val="both"/>
      </w:pPr>
      <w:r>
        <w:rPr>
          <w:rFonts w:ascii="Times New Roman" w:hAnsi="Times New Roman"/>
          <w:b/>
          <w:i w:val="false"/>
          <w:color w:val="000000"/>
          <w:sz w:val="22"/>
        </w:rPr>
        <w:t>661—10.218</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or agency may file a petition for rule making with the department at the Agency Rules Administrator, Office of the Commissioner, Department of Public Safety, State Public Safety Headquarters Building, 215 East 7th Street, Des Moines, Iowa 50319. A petition is deemed filed when it is received by that office. The agency must provide the petitioner with a file-stamped copy of the petition if the petitioner provides the agency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66"/>
        <w:gridCol w:w="1459"/>
        <w:gridCol w:w="4865"/>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DEPARTMENT OF PUBLIC SAFETY</w:t>
            </w:r>
          </w:p>
        </w:tc>
      </w:tr>
      <w:tr>
        <w:trPr>
          <w:trHeight w:val="855" w:hRule="atLeast"/>
        </w:trPr>
        <w:tc>
          <w:tcPr>
            <w:tcW w:w="4866"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 for the</w:t>
            </w:r>
          </w:p>
          <w:p>
            <w:pPr>
              <w:spacing w:before="0" w:after="0"/>
              <w:ind w:left="160"/>
              <w:jc w:val="left"/>
            </w:pPr>
            <w:r>
              <w:rPr>
                <w:rFonts w:ascii="Times New Roman" w:hAnsi="Times New Roman"/>
                <w:b w:val="false"/>
                <w:i w:val="false"/>
                <w:color w:val="000000"/>
                <w:sz w:val="16"/>
              </w:rPr>
              <w:t>(adoption, amendment, or repeal)</w:t>
            </w:r>
          </w:p>
          <w:p>
            <w:pPr>
              <w:spacing w:before="0" w:after="0"/>
              <w:ind w:left="160"/>
              <w:jc w:val="left"/>
            </w:pPr>
            <w:r>
              <w:rPr>
                <w:rFonts w:ascii="Times New Roman" w:hAnsi="Times New Roman"/>
                <w:b w:val="false"/>
                <w:i w:val="false"/>
                <w:color w:val="000000"/>
                <w:sz w:val="16"/>
              </w:rPr>
              <w:t>of rules relating to (state subject matter).</w:t>
            </w:r>
          </w:p>
        </w:tc>
        <w:tc>
          <w:tcPr>
            <w:tcW w:w="145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65"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agency’s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w:t>
      </w:r>
      <w:hyperlink r:id="rId32">
        <w:r>
          <w:rPr>
            <w:rStyle w:val="Hyperlink"/>
            <w:rFonts w:ascii="Times New Roman" w:hAnsi="Times New Roman"/>
            <w:b w:val="false"/>
            <w:i w:val="false"/>
            <w:color w:val="000000"/>
            <w:sz w:val="22"/>
          </w:rPr>
          <w:t>subrule 10.221(1)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10.218(1)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10.218(2)</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a petition because it does not substantially conform to the required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661—10.219</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department may request a brief from the petitioner or from any other person concerning the substance of the petition.</w:t>
      </w:r>
    </w:p>
    <w:p>
      <w:pPr>
        <w:spacing w:before="0" w:after="0"/>
        <w:ind w:left="120"/>
        <w:jc w:val="both"/>
      </w:pPr>
      <w:r>
        <w:rPr>
          <w:rFonts w:ascii="Times New Roman" w:hAnsi="Times New Roman"/>
          <w:b/>
          <w:i w:val="false"/>
          <w:color w:val="000000"/>
          <w:sz w:val="22"/>
        </w:rPr>
        <w:t>661—10.220</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Agency Rules Administrator, Office of the Commissioner, Department of Public Safety, State Public Safety Headquarters Building, 215 East 7th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661—10.221</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10.221(1)</w:t>
      </w:r>
      <w:r>
        <w:rPr>
          <w:rFonts w:ascii="Times New Roman" w:hAnsi="Times New Roman"/>
          <w:b w:val="false"/>
          <w:i w:val="false"/>
          <w:color w:val="000000"/>
          <w:sz w:val="22"/>
        </w:rPr>
        <w:t> </w:t>
      </w:r>
      <w:r>
        <w:rPr>
          <w:rFonts w:ascii="Times New Roman" w:hAnsi="Times New Roman"/>
          <w:b w:val="false"/>
          <w:i w:val="false"/>
          <w:color w:val="000000"/>
          <w:sz w:val="22"/>
        </w:rPr>
        <w:t>Within 14 days after the filing of a petition, the department must submit a copy of the petition and any accompanying brief to the administrative rules coordinator and to the administrative rules review committee. Upon request by petitioner in the petition, the department may schedule a brief and informal meeting between the petitioner and the agency, a member of the agency, or a member of the staff of the agency, to discuss the petition. The department may request the petitioner to submit additional information or argument concerning the petition. The department may also solicit comments from any person on the substance of the petition. Also, comments on the substance of the petition may be submitted to the department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department must, in writing, deny the petition, and notify petitioner of its action and the specific grounds for the denial, or grant the petition and notify petitioner that it has instituted rule-making proceedings on the subject of the petition. Petitioner shall be deemed notified of the denial or grant of the petition on the date when the agency mails or delivers the required notification to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10.221(3)</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agency’s rejection of the petition.</w:t>
      </w:r>
    </w:p>
    <w:p>
      <w:pPr>
        <w:spacing w:before="0" w:after="0"/>
        <w:ind w:left="120"/>
        <w:jc w:val="both"/>
      </w:pPr>
      <w:r>
        <w:rPr>
          <w:rFonts w:ascii="Times New Roman" w:hAnsi="Times New Roman"/>
          <w:b/>
          <w:i w:val="false"/>
          <w:color w:val="000000"/>
          <w:sz w:val="22"/>
        </w:rPr>
        <w:t>661—10.222</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Waivers of rules. </w:t>
      </w:r>
      <w:r>
        <w:rPr>
          <w:rFonts w:ascii="Times New Roman" w:hAnsi="Times New Roman"/>
          <w:b w:val="false"/>
          <w:i w:val="false"/>
          <w:color w:val="000000"/>
          <w:sz w:val="22"/>
        </w:rPr>
        <w:t>This rule outlines generally applicable standards and a uniform process for the granting of individual waivers from rules adopted by the department of public safety in situations where no other more specific procedure provides for waivers. To the extent another more specific provision of law governs the issuance of a waiver from a particular rule, the more specific provision shall supersede this rule with respect to any waiver from that rule. Generally, more specific procedures exist for considering waivers from rules of the state fire marshal and from provisions of the state of Iowa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10.222(1)</w:t>
      </w:r>
      <w:r>
        <w:rPr>
          <w:rFonts w:ascii="Times New Roman" w:hAnsi="Times New Roman"/>
          <w:b w:val="false"/>
          <w:i w:val="false"/>
          <w:color w:val="000000"/>
          <w:sz w:val="22"/>
        </w:rPr>
        <w:t> </w:t>
      </w:r>
      <w:r>
        <w:rPr>
          <w:rFonts w:ascii="Times New Roman" w:hAnsi="Times New Roman"/>
          <w:b w:val="false"/>
          <w:i w:val="false"/>
          <w:color w:val="000000"/>
          <w:sz w:val="22"/>
        </w:rPr>
        <w:t>Applicability of rule. The department may grant a waiver from a rule only if the department has jurisdiction over the rule and the requested waiver is consistent with applicable statutes, constitutional provisions, or other provisions of law. The department may not waive requirements created or duties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10.222(2)</w:t>
      </w:r>
      <w:r>
        <w:rPr>
          <w:rFonts w:ascii="Times New Roman" w:hAnsi="Times New Roman"/>
          <w:b w:val="false"/>
          <w:i w:val="false"/>
          <w:color w:val="000000"/>
          <w:sz w:val="22"/>
        </w:rPr>
        <w:t> </w:t>
      </w:r>
      <w:r>
        <w:rPr>
          <w:rFonts w:ascii="Times New Roman" w:hAnsi="Times New Roman"/>
          <w:b w:val="false"/>
          <w:i w:val="false"/>
          <w:color w:val="000000"/>
          <w:sz w:val="22"/>
        </w:rPr>
        <w:t>Criteria for waiver. In response to a petition completed pursuant to this rule, the department may, in its sole discretion, issue an order waiving, in whole or in part, the requirements of a rule if the department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10.222(3)</w:t>
      </w:r>
      <w:r>
        <w:rPr>
          <w:rFonts w:ascii="Times New Roman" w:hAnsi="Times New Roman"/>
          <w:b w:val="false"/>
          <w:i w:val="false"/>
          <w:color w:val="000000"/>
          <w:sz w:val="22"/>
        </w:rPr>
        <w:t> </w:t>
      </w:r>
      <w:r>
        <w:rPr>
          <w:rFonts w:ascii="Times New Roman" w:hAnsi="Times New Roman"/>
          <w:b w:val="false"/>
          <w:i w:val="false"/>
          <w:color w:val="000000"/>
          <w:sz w:val="22"/>
        </w:rPr>
        <w:t>Filing of petition. A petition for a waiver must be submitted in writing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If the petition relates to a license application, the petition shall be made in accordance with the filing requirements for the license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application or a pending contested case, the petition may be submitted with a caption containing the name of the entity or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File petition. </w:t>
      </w:r>
      <w:r>
        <w:rPr>
          <w:rFonts w:ascii="Times New Roman" w:hAnsi="Times New Roman"/>
          <w:b w:val="false"/>
          <w:i w:val="false"/>
          <w:color w:val="000000"/>
          <w:sz w:val="22"/>
        </w:rPr>
        <w:t>A petition is deemed filed when it is received in the department’s office. A petition should be sent to the Iowa Department of Public Safety, Attention: Agency Rules Administrator, State Public Safety Headquarters Building,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10.222(4)</w:t>
      </w:r>
      <w:r>
        <w:rPr>
          <w:rFonts w:ascii="Times New Roman" w:hAnsi="Times New Roman"/>
          <w:b w:val="false"/>
          <w:i w:val="false"/>
          <w:color w:val="000000"/>
          <w:sz w:val="22"/>
        </w:rPr>
        <w:t> </w:t>
      </w:r>
      <w:r>
        <w:rPr>
          <w:rFonts w:ascii="Times New Roman" w:hAnsi="Times New Roman"/>
          <w:b w:val="false"/>
          <w:i w:val="false"/>
          <w:color w:val="000000"/>
          <w:sz w:val="22"/>
        </w:rPr>
        <w:t>Content of petition. 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or person for whom a waiver is being requested; the case number of or other reference to any related contested case; and the name, address, and telephone number of the petitioner’s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and citation to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described in </w:t>
      </w:r>
      <w:hyperlink r:id="rId33">
        <w:r>
          <w:rPr>
            <w:rStyle w:val="Hyperlink"/>
            <w:rFonts w:ascii="Times New Roman" w:hAnsi="Times New Roman"/>
            <w:b w:val="false"/>
            <w:i w:val="false"/>
            <w:color w:val="000000"/>
            <w:sz w:val="22"/>
          </w:rPr>
          <w:t>subrule 10.222(2)</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department, other departments or agencies of the state of Iowa, or political subdivisions and the petitioner relating to the regulated activity or license affected by the proposed waiver, including a description of each affected license or certificate held by the requester, any formal charges filed, notices of violation, contested case hearings, or investigations relating to the regulated activity or license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department’s action in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entity or person who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department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10.222(5)</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Prior to issuing an order granting or denying a waiver, the department may request additional information from the petitioner relative to the petition and surrounding circumstances. If the petition was not filed in a contested case, the department may, on its own motion or at the petitioner’s request, schedule a telephonic or in-person meeting between the petitioner and a representative or representatives of the department related to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10.222(6)</w:t>
      </w:r>
      <w:r>
        <w:rPr>
          <w:rFonts w:ascii="Times New Roman" w:hAnsi="Times New Roman"/>
          <w:b w:val="false"/>
          <w:i w:val="false"/>
          <w:color w:val="000000"/>
          <w:sz w:val="22"/>
        </w:rPr>
        <w:t> </w:t>
      </w:r>
      <w:r>
        <w:rPr>
          <w:rFonts w:ascii="Times New Roman" w:hAnsi="Times New Roman"/>
          <w:b w:val="false"/>
          <w:i w:val="false"/>
          <w:color w:val="000000"/>
          <w:sz w:val="22"/>
        </w:rPr>
        <w:t>Notice. The department shall acknowledge a petition upon receipt. The department shall ensure that, within 30 days of the receipt of the petition, notice of the pending petition and a concise summary of its contents have been provided to all persons to whom notice is required by any provision of law, including the petitioner. In addition, the department may give notice to other persons. To accomplish this notice provision, the department may require the petitioner to serve the notice on all persons to whom notice is required by any provision of law, and provide a written statement to the department attesting that notice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10.222(7)</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 procedures. The provisions of Iowa Code sections </w:t>
      </w:r>
      <w:hyperlink r:id="rId34">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department proceedings for a waiver only when the department so provides by rule or order or is required to do so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10.222(8)</w:t>
      </w:r>
      <w:r>
        <w:rPr>
          <w:rFonts w:ascii="Times New Roman" w:hAnsi="Times New Roman"/>
          <w:b w:val="false"/>
          <w:i w:val="false"/>
          <w:color w:val="000000"/>
          <w:sz w:val="22"/>
        </w:rPr>
        <w:t> </w:t>
      </w:r>
      <w:r>
        <w:rPr>
          <w:rFonts w:ascii="Times New Roman" w:hAnsi="Times New Roman"/>
          <w:b w:val="false"/>
          <w:i w:val="false"/>
          <w:color w:val="000000"/>
          <w:sz w:val="22"/>
        </w:rPr>
        <w:t>Ruling. An order granting or denying a waiver shall be in writing and shall contain a reference to the particular person or legal entity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Departmental discretion. </w:t>
      </w:r>
      <w:r>
        <w:rPr>
          <w:rFonts w:ascii="Times New Roman" w:hAnsi="Times New Roman"/>
          <w:b w:val="false"/>
          <w:i w:val="false"/>
          <w:color w:val="000000"/>
          <w:sz w:val="22"/>
        </w:rPr>
        <w:t>The final decision on whether the circumstances justify the granting of a waiver shall be made at the sole discretion of the department, upon consideration of all relevant factors. Each petition for a waiver shall be evaluated by the department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department should exercise its discretion to grant a waiver from a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department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department may place on a waiver any condition that the department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department, a waiver may be renewed if the department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department shall grant or deny a petition for a waiver as soon as practicable but, in any event, shall do so within 120 days of its receipt, unless the petitioner agrees to a later date. However, if a petition is filed in a contested case, the department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department to grant or deny a petition within the required time period shall be deemed a denial of that petition by the department. However, the department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rule shall be transmitted or delivered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10.222(9)</w:t>
      </w:r>
      <w:r>
        <w:rPr>
          <w:rFonts w:ascii="Times New Roman" w:hAnsi="Times New Roman"/>
          <w:b w:val="false"/>
          <w:i w:val="false"/>
          <w:color w:val="000000"/>
          <w:sz w:val="22"/>
        </w:rPr>
        <w:t>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3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3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department is authorized or required to keep confidential. The department may accordingly redact confidential information from petitions or orders prior to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10.222(10)</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waiver information. When the department grants a waiver, the department shall submit information required by Iowa Code section </w:t>
      </w:r>
      <w:hyperlink r:id="rId37">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in the manner prescribed by Iowa Code section </w:t>
      </w:r>
      <w:hyperlink r:id="rId38">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within 60 days. The Internet site shall identify the rules for which a waiver has been granted or denied, the number of times a waiver was granted or denied for each rule, a citation to the statutory provisions implemented by these rules, and a general summary of the reasons justifying the department’s actions on waiver requests. If practicable, the department shall include information detailing the extent to which the granting of a waiver has affected the general applicability of the rule itself.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10.222(11)</w:t>
      </w:r>
      <w:r>
        <w:rPr>
          <w:rFonts w:ascii="Times New Roman" w:hAnsi="Times New Roman"/>
          <w:b w:val="false"/>
          <w:i w:val="false"/>
          <w:color w:val="000000"/>
          <w:sz w:val="22"/>
        </w:rPr>
        <w:t> </w:t>
      </w:r>
      <w:r>
        <w:rPr>
          <w:rFonts w:ascii="Times New Roman" w:hAnsi="Times New Roman"/>
          <w:b w:val="false"/>
          <w:i w:val="false"/>
          <w:color w:val="000000"/>
          <w:sz w:val="22"/>
        </w:rPr>
        <w:t>Cancellation of a waiver. A waiver issued by the department pursuant to this chapter may be withdrawn, canceled, or modified if, after appropriate notice and hearing, the department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10.222(12)</w:t>
      </w:r>
      <w:r>
        <w:rPr>
          <w:rFonts w:ascii="Times New Roman" w:hAnsi="Times New Roman"/>
          <w:b w:val="false"/>
          <w:i w:val="false"/>
          <w:color w:val="000000"/>
          <w:sz w:val="22"/>
        </w:rPr>
        <w:t> </w:t>
      </w:r>
      <w:r>
        <w:rPr>
          <w:rFonts w:ascii="Times New Roman" w:hAnsi="Times New Roman"/>
          <w:b w:val="false"/>
          <w:i w:val="false"/>
          <w:color w:val="000000"/>
          <w:sz w:val="22"/>
        </w:rPr>
        <w:t>Violations. 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10.222(13)</w:t>
      </w:r>
      <w:r>
        <w:rPr>
          <w:rFonts w:ascii="Times New Roman" w:hAnsi="Times New Roman"/>
          <w:b w:val="false"/>
          <w:i w:val="false"/>
          <w:color w:val="000000"/>
          <w:sz w:val="22"/>
        </w:rPr>
        <w:t> </w:t>
      </w:r>
      <w:r>
        <w:rPr>
          <w:rFonts w:ascii="Times New Roman" w:hAnsi="Times New Roman"/>
          <w:b w:val="false"/>
          <w:i w:val="false"/>
          <w:color w:val="000000"/>
          <w:sz w:val="22"/>
        </w:rPr>
        <w:t>Defense. After the department issues an order granting a waiver, the order is a defense within its terms and the specific facts indicated therein only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10.222(14)</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Judicial review of the department’s decision to grant or deny a waiver petition may be taken in accordance with Iowa Code chapter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10.222(15)</w:t>
      </w:r>
      <w:r>
        <w:rPr>
          <w:rFonts w:ascii="Times New Roman" w:hAnsi="Times New Roman"/>
          <w:b w:val="false"/>
          <w:i w:val="false"/>
          <w:color w:val="000000"/>
          <w:sz w:val="22"/>
        </w:rPr>
        <w:t> </w:t>
      </w:r>
      <w:r>
        <w:rPr>
          <w:rFonts w:ascii="Times New Roman" w:hAnsi="Times New Roman"/>
          <w:b w:val="false"/>
          <w:i w:val="false"/>
          <w:color w:val="000000"/>
          <w:sz w:val="22"/>
        </w:rPr>
        <w:t>Sample petition for waiver. A petition for waiver filed in accordance with this chapter must meet the requirements specified herein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IOWA DEPARTMENT OF PUBLIC SAFETY</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 xml:space="preserve">Petition by (name of petitioner) for the </w:t>
            </w:r>
          </w:p>
          <w:p>
            <w:pPr>
              <w:spacing w:before="0" w:after="0"/>
              <w:ind w:left="160"/>
              <w:jc w:val="left"/>
            </w:pPr>
            <w:r>
              <w:rPr>
                <w:rFonts w:ascii="Times New Roman" w:hAnsi="Times New Roman"/>
                <w:b w:val="false"/>
                <w:i w:val="false"/>
                <w:color w:val="000000"/>
                <w:sz w:val="16"/>
              </w:rPr>
              <w:t>waiver of (insert rule citation)</w:t>
            </w:r>
          </w:p>
          <w:p>
            <w:pPr>
              <w:spacing w:before="0" w:after="0"/>
              <w:ind w:left="160"/>
              <w:jc w:val="left"/>
            </w:pPr>
            <w:r>
              <w:rPr>
                <w:rFonts w:ascii="Times New Roman" w:hAnsi="Times New Roman"/>
                <w:b w:val="false"/>
                <w:i w:val="false"/>
                <w:color w:val="000000"/>
                <w:sz w:val="16"/>
              </w:rPr>
              <w:t>relating to (insert the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WAIVER</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the name, address, and telephone number of the petitioner (person asking for a waiver). Also provide the name, address, and telephone number of the petitioner’s legal representative, if applicable,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the specific waiver requested, including the precise scope and time period for which the waiver will extend.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Explain the relevant facts and reasons that the petitioner believes justify a waiver. Include in the answer all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Why applying the rule would result in undue hardship to the petitioner;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Why waiving the rule would not prejudice the substantial legal rights of any person;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provisions of the rule subject to the waiver are specifically mandated by statute or another provision of law;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a history of any prior contacts between the department, other departments or agencies of the state of Iowa, or political subdivisions and petitioner relating to the regulated activity or license that would be affected by the waiver. Include a description of each affected license held by the petitioner, any formal charges filed, any notices of violation, any contested case hearings held, or any investigations related to the regulated activity, license, registration, certification, or permit.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information known to the petitioner regarding the department’s action in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Provide the name, address, and telephone number of any public agency or political subdivision that also regulates the activity in question or that might be affected by the granting of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Provide the name, address, and telephone number of any person or entity that would be adversely affected by the granting of the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Provide 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Provide signed releases of information authorizing persons with knowledge regarding the request to furnish the department with information relevant to the waiver.</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tbl>
      <w:tblPr>
        <w:tblW w:w="5000" w:type="pct"/>
        <w:tblCellSpacing w:w="0" w:type="auto"/>
        <w:tblBorders>
          <w:top w:val="none"/>
          <w:left w:val="none"/>
          <w:bottom w:val="none"/>
          <w:right w:val="none"/>
          <w:insideH w:val="none"/>
          <w:insideV w:val="none"/>
        </w:tblBorders>
        <w:tblLayout w:type="fixed"/>
      </w:tblPr>
      <w:tblGrid>
        <w:gridCol w:w="6708"/>
        <w:gridCol w:w="441"/>
        <w:gridCol w:w="4041"/>
      </w:tblGrid>
      <w:tr>
        <w:trPr>
          <w:trHeight w:val="270" w:hRule="atLeast"/>
        </w:trPr>
        <w:tc>
          <w:tcPr>
            <w:tcW w:w="6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 xml:space="preserve">; </w:t>
      </w:r>
      <w:r>
        <w:rPr>
          <w:rFonts w:ascii="Times New Roman" w:hAnsi="Times New Roman"/>
          <w:b/>
          <w:i w:val="false"/>
          <w:color w:val="000000"/>
          <w:sz w:val="16"/>
        </w:rPr>
        <w:t>ARC 5975C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661—10.223</w:t>
      </w:r>
      <w:r>
        <w:rPr>
          <w:rFonts w:ascii="Times New Roman" w:hAnsi="Times New Roman"/>
          <w:b w:val="false"/>
          <w:i w:val="false"/>
          <w:color w:val="000000"/>
          <w:sz w:val="22"/>
        </w:rPr>
        <w:t xml:space="preserve"> to </w:t>
      </w:r>
      <w:r>
        <w:rPr>
          <w:rFonts w:ascii="Times New Roman" w:hAnsi="Times New Roman"/>
          <w:b/>
          <w:i w:val="false"/>
          <w:color w:val="000000"/>
          <w:sz w:val="22"/>
        </w:rPr>
        <w:t>10.300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CONTESTED CASES</w:t>
      </w:r>
    </w:p>
    <w:p>
      <w:pPr>
        <w:spacing w:before="210" w:after="0"/>
        <w:ind w:left="120"/>
        <w:jc w:val="both"/>
      </w:pPr>
      <w:r>
        <w:rPr>
          <w:rFonts w:ascii="Times New Roman" w:hAnsi="Times New Roman"/>
          <w:b/>
          <w:i w:val="false"/>
          <w:color w:val="000000"/>
          <w:sz w:val="22"/>
        </w:rPr>
        <w:t>661—10.301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hyperlink r:id="rId41">
        <w:r>
          <w:rPr>
            <w:rStyle w:val="Hyperlink"/>
            <w:rFonts w:ascii="Times New Roman" w:hAnsi="Times New Roman"/>
            <w:b w:val="false"/>
            <w:i w:val="false"/>
            <w:color w:val="000000"/>
            <w:sz w:val="22"/>
          </w:rPr>
          <w:t>Rules 661—10.301(17A)</w:t>
        </w:r>
      </w:hyperlink>
      <w:r>
        <w:rPr>
          <w:rFonts w:ascii="Times New Roman" w:hAnsi="Times New Roman"/>
          <w:b w:val="false"/>
          <w:i w:val="false"/>
          <w:color w:val="000000"/>
          <w:sz w:val="22"/>
        </w:rPr>
        <w:t xml:space="preserve"> to </w:t>
      </w:r>
      <w:hyperlink r:id="rId42">
        <w:r>
          <w:rPr>
            <w:rStyle w:val="Hyperlink"/>
            <w:rFonts w:ascii="Times New Roman" w:hAnsi="Times New Roman"/>
            <w:b w:val="false"/>
            <w:i w:val="false"/>
            <w:color w:val="000000"/>
            <w:sz w:val="22"/>
          </w:rPr>
          <w:t>661—10.332(17A)</w:t>
        </w:r>
      </w:hyperlink>
      <w:r>
        <w:rPr>
          <w:rFonts w:ascii="Times New Roman" w:hAnsi="Times New Roman"/>
          <w:b w:val="false"/>
          <w:i w:val="false"/>
          <w:color w:val="000000"/>
          <w:sz w:val="22"/>
        </w:rPr>
        <w:t xml:space="preserve"> apply to contested case proceedings conducted by the department.</w:t>
      </w:r>
    </w:p>
    <w:p>
      <w:pPr>
        <w:spacing w:before="0" w:after="0"/>
        <w:ind w:left="120"/>
        <w:jc w:val="both"/>
      </w:pPr>
      <w:r>
        <w:rPr>
          <w:rFonts w:ascii="Times New Roman" w:hAnsi="Times New Roman"/>
          <w:b/>
          <w:i w:val="false"/>
          <w:color w:val="000000"/>
          <w:sz w:val="22"/>
        </w:rPr>
        <w:t>661—10.302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43">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commissioner of public safety or other person designated by the commissioner to preside over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commissioner of public safety did not preside.</w:t>
      </w:r>
    </w:p>
    <w:p>
      <w:pPr>
        <w:spacing w:before="0" w:after="0"/>
        <w:ind w:left="120"/>
        <w:jc w:val="both"/>
      </w:pPr>
      <w:r>
        <w:rPr>
          <w:rFonts w:ascii="Times New Roman" w:hAnsi="Times New Roman"/>
          <w:b/>
          <w:i w:val="false"/>
          <w:color w:val="000000"/>
          <w:sz w:val="22"/>
        </w:rPr>
        <w:t>661—10.303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44">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other provision of law.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661—10.304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agency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agency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val="false"/>
          <w:i w:val="false"/>
          <w:color w:val="000000"/>
          <w:sz w:val="22"/>
        </w:rPr>
        <w:t>Requests for contested case proceedings shall be filed with the Office of the Commissioner, Department of Public Safety, State Public Safety Headquarters Building, 215 East 7th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661—10.305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department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department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15(1), and </w:t>
      </w:r>
      <w:hyperlink r:id="rId45">
        <w:r>
          <w:rPr>
            <w:rStyle w:val="Hyperlink"/>
            <w:rFonts w:ascii="Times New Roman" w:hAnsi="Times New Roman"/>
            <w:b w:val="false"/>
            <w:i w:val="false"/>
            <w:color w:val="000000"/>
            <w:sz w:val="22"/>
          </w:rPr>
          <w:t>rule 661—10.306(17A)</w:t>
        </w:r>
      </w:hyperlink>
      <w:r>
        <w:rPr>
          <w:rFonts w:ascii="Times New Roman" w:hAnsi="Times New Roman"/>
          <w:b w:val="false"/>
          <w:i w:val="false"/>
          <w:color w:val="000000"/>
          <w:sz w:val="22"/>
        </w:rPr>
        <w:t>, that the presiding officer be an administrative law judge.</w:t>
      </w:r>
    </w:p>
    <w:p>
      <w:pPr>
        <w:spacing w:before="0" w:after="0"/>
        <w:ind w:left="120"/>
        <w:jc w:val="both"/>
      </w:pPr>
      <w:r>
        <w:rPr>
          <w:rFonts w:ascii="Times New Roman" w:hAnsi="Times New Roman"/>
          <w:b/>
          <w:i w:val="false"/>
          <w:color w:val="000000"/>
          <w:sz w:val="22"/>
        </w:rPr>
        <w:t>661—10.306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agency 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10.306(2)</w:t>
      </w:r>
      <w:r>
        <w:rPr>
          <w:rFonts w:ascii="Times New Roman" w:hAnsi="Times New Roman"/>
          <w:b w:val="false"/>
          <w:i w:val="false"/>
          <w:color w:val="000000"/>
          <w:sz w:val="22"/>
        </w:rPr>
        <w:t> </w:t>
      </w:r>
      <w:r>
        <w:rPr>
          <w:rFonts w:ascii="Times New Roman" w:hAnsi="Times New Roman"/>
          <w:b w:val="false"/>
          <w:i w:val="false"/>
          <w:color w:val="000000"/>
          <w:sz w:val="22"/>
        </w:rPr>
        <w:t>The commissioner of public safety or the commissioner’s designee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department nor any officer of the agency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or the commissioner’s designee shall issue a written ruling specifying the grounds for its decision within 20 days after a request for an administrative law judge is filed. If the ruling is contingent upon the availability of an administrative law judge with the qualifications identified in </w:t>
      </w:r>
      <w:hyperlink r:id="rId46">
        <w:r>
          <w:rPr>
            <w:rStyle w:val="Hyperlink"/>
            <w:rFonts w:ascii="Times New Roman" w:hAnsi="Times New Roman"/>
            <w:b w:val="false"/>
            <w:i w:val="false"/>
            <w:color w:val="000000"/>
            <w:sz w:val="22"/>
          </w:rPr>
          <w:t>subrule 10.306(4)</w:t>
        </w:r>
      </w:hyperlink>
      <w:r>
        <w:rPr>
          <w:rFonts w:ascii="Times New Roman" w:hAnsi="Times New Roman"/>
          <w:b w:val="false"/>
          <w:i w:val="false"/>
          <w:color w:val="000000"/>
          <w:sz w:val="22"/>
        </w:rPr>
        <w:t>,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agency.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commissioner, when reviewing a proposed decision upon intra-agency appeal, shall have the powers of and shall comply with the provisions of this chapter which apply to presiding officers.</w:t>
      </w:r>
    </w:p>
    <w:p>
      <w:pPr>
        <w:spacing w:before="210" w:after="0"/>
        <w:ind w:left="120"/>
        <w:jc w:val="both"/>
      </w:pPr>
      <w:r>
        <w:rPr>
          <w:rFonts w:ascii="Times New Roman" w:hAnsi="Times New Roman"/>
          <w:b/>
          <w:i w:val="false"/>
          <w:color w:val="000000"/>
          <w:sz w:val="22"/>
        </w:rPr>
        <w:t>661—10.307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department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661—10.308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p>
      <w:pPr>
        <w:spacing w:before="0" w:after="0"/>
        <w:ind w:left="120"/>
        <w:jc w:val="both"/>
      </w:pPr>
      <w:r>
        <w:rPr>
          <w:rFonts w:ascii="Times New Roman" w:hAnsi="Times New Roman"/>
          <w:b/>
          <w:i w:val="false"/>
          <w:color w:val="000000"/>
          <w:sz w:val="22"/>
        </w:rPr>
        <w:t>661—10.309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47">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19, and </w:t>
      </w:r>
      <w:hyperlink r:id="rId48">
        <w:r>
          <w:rPr>
            <w:rStyle w:val="Hyperlink"/>
            <w:rFonts w:ascii="Times New Roman" w:hAnsi="Times New Roman"/>
            <w:b w:val="false"/>
            <w:i w:val="false"/>
            <w:color w:val="000000"/>
            <w:sz w:val="22"/>
          </w:rPr>
          <w:t>subrules 10.309(3)</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10.323(9)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w:t>
      </w:r>
      <w:hyperlink r:id="rId50">
        <w:r>
          <w:rPr>
            <w:rStyle w:val="Hyperlink"/>
            <w:rFonts w:ascii="Times New Roman" w:hAnsi="Times New Roman"/>
            <w:b w:val="false"/>
            <w:i w:val="false"/>
            <w:color w:val="000000"/>
            <w:sz w:val="22"/>
          </w:rPr>
          <w:t>subrule 10.309(1)</w:t>
        </w:r>
      </w:hyperlink>
      <w:r>
        <w:rPr>
          <w:rFonts w:ascii="Times New Roman" w:hAnsi="Times New Roman"/>
          <w:b w:val="false"/>
          <w:i w:val="false"/>
          <w:color w:val="000000"/>
          <w:sz w:val="22"/>
        </w:rPr>
        <w:t xml:space="preserve">, the party shall file a motion supported by an affidavit pursuant to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19(7).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w:t>
      </w:r>
      <w:hyperlink r:id="rId51">
        <w:r>
          <w:rPr>
            <w:rStyle w:val="Hyperlink"/>
            <w:rFonts w:ascii="Times New Roman" w:hAnsi="Times New Roman"/>
            <w:b w:val="false"/>
            <w:i w:val="false"/>
            <w:color w:val="000000"/>
            <w:sz w:val="22"/>
          </w:rPr>
          <w:t>rule 661—10.325(17A)</w:t>
        </w:r>
      </w:hyperlink>
      <w:r>
        <w:rPr>
          <w:rFonts w:ascii="Times New Roman" w:hAnsi="Times New Roman"/>
          <w:b w:val="false"/>
          <w:i w:val="false"/>
          <w:color w:val="000000"/>
          <w:sz w:val="22"/>
        </w:rPr>
        <w:t xml:space="preserve"> and seek a stay under </w:t>
      </w:r>
      <w:hyperlink r:id="rId52">
        <w:r>
          <w:rPr>
            <w:rStyle w:val="Hyperlink"/>
            <w:rFonts w:ascii="Times New Roman" w:hAnsi="Times New Roman"/>
            <w:b w:val="false"/>
            <w:i w:val="false"/>
            <w:color w:val="000000"/>
            <w:sz w:val="22"/>
          </w:rPr>
          <w:t>rule 661—10.329(17A)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661—10.310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210" w:after="0"/>
        <w:ind w:left="120"/>
        <w:jc w:val="both"/>
      </w:pPr>
      <w:r>
        <w:rPr>
          <w:rFonts w:ascii="Times New Roman" w:hAnsi="Times New Roman"/>
          <w:b/>
          <w:i w:val="false"/>
          <w:color w:val="000000"/>
          <w:sz w:val="22"/>
        </w:rPr>
        <w:t>661—10.311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r>
        <w:rPr>
          <w:rFonts w:ascii="Times New Roman" w:hAnsi="Times New Roman"/>
          <w:b w:val="false"/>
          <w:i w:val="false"/>
          <w:color w:val="000000"/>
          <w:sz w:val="22"/>
        </w:rPr>
        <w:t>Formal pleadings are not required in cases initiated by a notice of appeal or a notice of claim. However, the presiding officer may order the parties to file formal pleadings in any case.</w:t>
      </w:r>
    </w:p>
    <w:p>
      <w:pPr>
        <w:spacing w:before="0" w:after="0"/>
        <w:ind w:left="120"/>
        <w:jc w:val="both"/>
      </w:pPr>
      <w:r>
        <w:rPr>
          <w:rFonts w:ascii="Times New Roman" w:hAnsi="Times New Roman"/>
          <w:b/>
          <w:i w:val="false"/>
          <w:color w:val="000000"/>
          <w:sz w:val="22"/>
        </w:rPr>
        <w:t>661—10.312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department, simultaneously with their filing. Except for the original notice of hearing and an application for rehearing as provided in Iowa Code section </w:t>
      </w:r>
      <w:hyperlink r:id="rId53">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Office of the Commissioner, Department of Public Safety, State Public Safety Headquarters Building, 215 East 7th Street, Des Moines, Iowa 50319. All pleadings, motions, documents or other papers that are required to be served upon a party shall be filed simultaneously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Office of the Commissioner, Department of Public Safety, State Public Safety Headquarters Building, 215 East 7th Street, Des Moines, Iowa 50319,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44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Office of the Commissioner, Department of Public Safety, State Public Safety Headquarters Building, 215 East 7th Street, Des Moines, Iowa 50319,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661—10.313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w:t>
      </w:r>
      <w:hyperlink r:id="rId54">
        <w:r>
          <w:rPr>
            <w:rStyle w:val="Hyperlink"/>
            <w:rFonts w:ascii="Times New Roman" w:hAnsi="Times New Roman"/>
            <w:b w:val="false"/>
            <w:i w:val="false"/>
            <w:color w:val="000000"/>
            <w:sz w:val="22"/>
          </w:rPr>
          <w:t>subrule 10.313(1)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661—10.314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661—10.315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department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administrative rule or an order of the presiding officer.</w:t>
      </w:r>
    </w:p>
    <w:p>
      <w:pPr>
        <w:spacing w:before="0" w:after="0"/>
        <w:ind w:left="120"/>
        <w:jc w:val="both"/>
      </w:pPr>
      <w:r>
        <w:rPr>
          <w:rFonts w:ascii="Times New Roman" w:hAnsi="Times New Roman"/>
          <w:b/>
          <w:i w:val="false"/>
          <w:color w:val="000000"/>
          <w:sz w:val="22"/>
        </w:rPr>
        <w:t>661—10.316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w:t>
      </w:r>
      <w:hyperlink r:id="rId55">
        <w:r>
          <w:rPr>
            <w:rStyle w:val="Hyperlink"/>
            <w:rFonts w:ascii="Times New Roman" w:hAnsi="Times New Roman"/>
            <w:b w:val="false"/>
            <w:i w:val="false"/>
            <w:color w:val="000000"/>
            <w:sz w:val="22"/>
          </w:rPr>
          <w:t>subrule 10.316(2)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661—10.317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department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661—10.318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Unless otherwise provided, a withdrawal shall be with prejudice.</w:t>
      </w:r>
    </w:p>
    <w:p>
      <w:pPr>
        <w:spacing w:before="0" w:after="0"/>
        <w:ind w:left="120"/>
        <w:jc w:val="both"/>
      </w:pPr>
      <w:r>
        <w:rPr>
          <w:rFonts w:ascii="Times New Roman" w:hAnsi="Times New Roman"/>
          <w:b/>
          <w:i w:val="false"/>
          <w:color w:val="000000"/>
          <w:sz w:val="22"/>
        </w:rPr>
        <w:t>661—10.319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661—10.320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661—10.321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661—10.322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or other period of time specified by statute or rule, after the date of notification or mailing of the decision, a motion to vacate is filed and served on all parties or an appeal of a decision on the merits is timely initiated within the time provided by </w:t>
      </w:r>
      <w:hyperlink r:id="rId56">
        <w:r>
          <w:rPr>
            <w:rStyle w:val="Hyperlink"/>
            <w:rFonts w:ascii="Times New Roman" w:hAnsi="Times New Roman"/>
            <w:b w:val="false"/>
            <w:i w:val="false"/>
            <w:color w:val="000000"/>
            <w:sz w:val="22"/>
          </w:rPr>
          <w:t>rule 661—10.327(17A)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or other time specified by the presiding officer,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236.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w:t>
      </w:r>
      <w:hyperlink r:id="rId57">
        <w:r>
          <w:rPr>
            <w:rStyle w:val="Hyperlink"/>
            <w:rFonts w:ascii="Times New Roman" w:hAnsi="Times New Roman"/>
            <w:b w:val="false"/>
            <w:i w:val="false"/>
            <w:color w:val="000000"/>
            <w:sz w:val="22"/>
          </w:rPr>
          <w:t>rule 661—10.325(17A)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w:t>
      </w:r>
      <w:hyperlink r:id="rId58">
        <w:r>
          <w:rPr>
            <w:rStyle w:val="Hyperlink"/>
            <w:rFonts w:ascii="Times New Roman" w:hAnsi="Times New Roman"/>
            <w:b w:val="false"/>
            <w:i w:val="false"/>
            <w:color w:val="000000"/>
            <w:sz w:val="22"/>
          </w:rPr>
          <w:t>rule 661—10.329(17A)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661—10.323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agency or seeking the advice or help of persons other than those with a personal interest in, or those engaged in personally investigating as defined in </w:t>
      </w:r>
      <w:hyperlink r:id="rId59">
        <w:r>
          <w:rPr>
            <w:rStyle w:val="Hyperlink"/>
            <w:rFonts w:ascii="Times New Roman" w:hAnsi="Times New Roman"/>
            <w:b w:val="false"/>
            <w:i w:val="false"/>
            <w:color w:val="000000"/>
            <w:sz w:val="22"/>
          </w:rPr>
          <w:t>subrule 10.309(2)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w:t>
      </w:r>
      <w:hyperlink r:id="rId60">
        <w:r>
          <w:rPr>
            <w:rStyle w:val="Hyperlink"/>
            <w:rFonts w:ascii="Times New Roman" w:hAnsi="Times New Roman"/>
            <w:b w:val="false"/>
            <w:i w:val="false"/>
            <w:color w:val="000000"/>
            <w:sz w:val="22"/>
          </w:rPr>
          <w:t>rule 661—10.312(17A)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of public safety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w:t>
      </w:r>
      <w:hyperlink r:id="rId61">
        <w:r>
          <w:rPr>
            <w:rStyle w:val="Hyperlink"/>
            <w:rFonts w:ascii="Times New Roman" w:hAnsi="Times New Roman"/>
            <w:b w:val="false"/>
            <w:i w:val="false"/>
            <w:color w:val="000000"/>
            <w:sz w:val="22"/>
          </w:rPr>
          <w:t>subrule 10.323(1)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w:t>
      </w:r>
      <w:hyperlink r:id="rId62">
        <w:r>
          <w:rPr>
            <w:rStyle w:val="Hyperlink"/>
            <w:rFonts w:ascii="Times New Roman" w:hAnsi="Times New Roman"/>
            <w:b w:val="false"/>
            <w:i w:val="false"/>
            <w:color w:val="000000"/>
            <w:sz w:val="22"/>
          </w:rPr>
          <w:t>rule 661—10.317(17A)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or disclosed, as determined by the presiding officer.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63">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agency. Violation of ex parte communication prohibitions by department personnel shall be reported to the Professional Standards Bureau, Department of Public Safety, State Public Safety Headquarters Building, 215 East 7th Street, Des Moines, Iowa 50319,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661—10.324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department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661—10.325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the commissioner’s own motion, the commissioner of public safety may review an interlocutory order of the presiding officer. In determining whether to do so, the commissioner shall weigh the extent to which its granting the interlocutory appeal would expedite final resolution of the case and the extent to which review of that interlocutory order by the agency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661—10.326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10.326(1)</w:t>
      </w:r>
      <w:r>
        <w:rPr>
          <w:rFonts w:ascii="Times New Roman" w:hAnsi="Times New Roman"/>
          <w:b w:val="false"/>
          <w:i w:val="false"/>
          <w:color w:val="000000"/>
          <w:sz w:val="22"/>
        </w:rPr>
        <w:t> </w:t>
      </w:r>
      <w:r>
        <w:rPr>
          <w:rFonts w:ascii="Times New Roman" w:hAnsi="Times New Roman"/>
          <w:b w:val="false"/>
          <w:i w:val="false"/>
          <w:color w:val="000000"/>
          <w:sz w:val="22"/>
        </w:rPr>
        <w:t>When commissioner of public safety presides over the reception of evidence at the hearing, the commissioner’s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commissioner does not preside at the reception of evidence, the presiding officer shall make a proposed decision. The proposed decision becomes the final decision of the agency without further proceedings unless there is an appeal to, or review on motion of, the department within the time provided in </w:t>
      </w:r>
      <w:hyperlink r:id="rId64">
        <w:r>
          <w:rPr>
            <w:rStyle w:val="Hyperlink"/>
            <w:rFonts w:ascii="Times New Roman" w:hAnsi="Times New Roman"/>
            <w:b w:val="false"/>
            <w:i w:val="false"/>
            <w:color w:val="000000"/>
            <w:sz w:val="22"/>
          </w:rPr>
          <w:t>rule 661—10.327(17A)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661—10.327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commissioner of public safety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commissioner may initiate review of a proposed decision on the commissioner’s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Office of the Commissioner, Department of Public Safety, State Public Safety Headquarters Building, 215 East 7th Street, Des Moines, Iowa 50319.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commissioner may remand a case to the presiding officer for further hearing or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department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commissioner may resolve the appeal on the briefs or provide an opportunity for oral argument. The commissioner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661—10.328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w:t>
      </w:r>
      <w:hyperlink r:id="rId65">
        <w:r>
          <w:rPr>
            <w:rStyle w:val="Hyperlink"/>
            <w:rFonts w:ascii="Times New Roman" w:hAnsi="Times New Roman"/>
            <w:b w:val="false"/>
            <w:i w:val="false"/>
            <w:color w:val="000000"/>
            <w:sz w:val="22"/>
          </w:rPr>
          <w:t>subrule 10.327(4)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the reasons for requesting a rehearing and each and every error which the party alleges to have been committed during the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all relevant facts upon which the party relies;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 to any particular statute or statutes and any rule or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party or that of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Office of the Commissioner, Department of Public Safety, State Public Safety Headquarters Building, 215 East 7th Street, Des Moines, Iowa 50319,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department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agency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661—10.329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department for a stay of an order issued in that proceeding or for other temporary remedies, pending review by the agency. The petition shall be filed with the notice of appeal and shall state the reasons justifying a stay or other temporary remedy. The commissioner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department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commissioner shall consider the factors listed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23(5c).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department or any other party.</w:t>
      </w:r>
    </w:p>
    <w:p>
      <w:pPr>
        <w:spacing w:before="210" w:after="0"/>
        <w:ind w:left="120"/>
        <w:jc w:val="both"/>
      </w:pPr>
      <w:r>
        <w:rPr>
          <w:rFonts w:ascii="Times New Roman" w:hAnsi="Times New Roman"/>
          <w:b/>
          <w:i w:val="false"/>
          <w:color w:val="000000"/>
          <w:sz w:val="22"/>
        </w:rPr>
        <w:t>661—10.330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661—10.331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department may issue a written order in compliance with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21, to suspend a license in whole or in part, order the cessation of any continuing activity, order affirmative action, or take other action within the jurisdiction of the agency by emergency adjudicative order. Before issuing an emergency adjudicative order the agency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department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department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department’s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department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department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department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department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agency proceedings are scheduled for completion. After issuance of an emergency adjudicative order, continuance of further agency proceedings to a later date will be granted only in compelling circumstances upon application in writing.</w:t>
      </w:r>
    </w:p>
    <w:p>
      <w:pPr>
        <w:spacing w:before="210" w:after="0"/>
        <w:ind w:left="120"/>
        <w:jc w:val="both"/>
      </w:pPr>
      <w:r>
        <w:rPr>
          <w:rFonts w:ascii="Times New Roman" w:hAnsi="Times New Roman"/>
          <w:b/>
          <w:i w:val="false"/>
          <w:color w:val="000000"/>
          <w:sz w:val="22"/>
        </w:rPr>
        <w:t>661—10.332</w:t>
      </w:r>
      <w:r>
        <w:rPr>
          <w:rFonts w:ascii="Times New Roman" w:hAnsi="Times New Roman"/>
          <w:b/>
          <w:i w:val="false"/>
          <w:color w:val="000000"/>
          <w:sz w:val="22"/>
        </w:rPr>
        <w:t xml:space="preserve">(17A) </w:t>
      </w:r>
      <w:r>
        <w:rPr>
          <w:rFonts w:ascii="Times New Roman" w:hAnsi="Times New Roman"/>
          <w:b/>
          <w:i w:val="false"/>
          <w:color w:val="000000"/>
          <w:sz w:val="22"/>
        </w:rPr>
        <w:t xml:space="preserve">Burden of proof. </w:t>
      </w:r>
      <w:r>
        <w:rPr>
          <w:rFonts w:ascii="Times New Roman" w:hAnsi="Times New Roman"/>
          <w:b w:val="false"/>
          <w:i w:val="false"/>
          <w:color w:val="000000"/>
          <w:sz w:val="22"/>
        </w:rPr>
        <w:t>Unless otherwise provided by law, the burden of proof in all contested case proceedings in which the department is a party shall be on the petitioner.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30, 1975]</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10/5/01, Notice 5/30/01—published 10/31/01, effective 1/1/02]</w:t>
      </w:r>
    </w:p>
    <w:p>
      <w:pPr>
        <w:spacing w:before="0" w:after="0"/>
        <w:ind w:left="120"/>
        <w:jc w:val="center"/>
      </w:pPr>
      <w:r>
        <w:rPr>
          <w:rFonts w:ascii="Times New Roman" w:hAnsi="Times New Roman"/>
          <w:b w:val="false"/>
          <w:i w:val="false"/>
          <w:color w:val="000000"/>
          <w:sz w:val="21"/>
        </w:rPr>
        <w:t>[Editorial change: IAC Supplement 2/11/09]</w:t>
      </w:r>
    </w:p>
    <w:p>
      <w:pPr>
        <w:spacing w:before="0" w:after="0"/>
        <w:ind w:left="120"/>
        <w:jc w:val="center"/>
      </w:pPr>
      <w:r>
        <w:rPr>
          <w:rFonts w:ascii="Times New Roman" w:hAnsi="Times New Roman"/>
          <w:b w:val="false"/>
          <w:i w:val="false"/>
          <w:color w:val="000000"/>
          <w:sz w:val="21"/>
        </w:rPr>
        <w:t>[Filed ARC 5975C</w:t>
      </w:r>
      <w:r>
        <w:rPr>
          <w:rFonts w:ascii="Times New Roman" w:hAnsi="Times New Roman"/>
          <w:b w:val="false"/>
          <w:i w:val="false"/>
          <w:color w:val="000000"/>
          <w:sz w:val="21"/>
        </w:rPr>
        <w:t xml:space="preserve"> (Notice ARC 5654C, IAB 6/2/21)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10.107.pdf" Type="http://schemas.openxmlformats.org/officeDocument/2006/relationships/hyperlink" Id="rId5"/>
    <Relationship TargetMode="External" Target="https://www.legis.iowa.gov/docs/iac/rule/661.10.106.pdf" Type="http://schemas.openxmlformats.org/officeDocument/2006/relationships/hyperlink" Id="rId6"/>
    <Relationship TargetMode="External" Target="https://www.legis.iowa.gov/docs/iac/rule/661.10.102.pdf" Type="http://schemas.openxmlformats.org/officeDocument/2006/relationships/hyperlink" Id="rId7"/>
    <Relationship TargetMode="External" Target="https://www.legis.iowa.gov/docs/iac/rule/661.10.108.pdf" Type="http://schemas.openxmlformats.org/officeDocument/2006/relationships/hyperlink" Id="rId8"/>
    <Relationship TargetMode="External" Target="https://www.legis.iowa.gov/docs/iac/rule/661.10.312.pdf" Type="http://schemas.openxmlformats.org/officeDocument/2006/relationships/hyperlink" Id="rId9"/>
    <Relationship TargetMode="External" Target="https://www.legis.iowa.gov/docs/iac/rule/661.10.302.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pdf" Type="http://schemas.openxmlformats.org/officeDocument/2006/relationships/hyperlink" Id="rId13"/>
    <Relationship TargetMode="External" Target="https://www.legis.iowa.gov/docs/ico/chapter/17A.4.pdf" Type="http://schemas.openxmlformats.org/officeDocument/2006/relationships/hyperlink" Id="rId14"/>
    <Relationship TargetMode="External" Target="https://www.legis.iowa.gov/docs/iac/rule/661.10.212.pdf" Type="http://schemas.openxmlformats.org/officeDocument/2006/relationships/hyperlink" Id="rId15"/>
    <Relationship TargetMode="External" Target="mailto:admrule@dps.state.ia.us" Type="http://schemas.openxmlformats.org/officeDocument/2006/relationships/hyperlink" Id="rId16"/>
    <Relationship TargetMode="External" Target="https://www.legis.iowa.gov/docs/ico/chapter/17A.4.pdf" Type="http://schemas.openxmlformats.org/officeDocument/2006/relationships/hyperlink" Id="rId17"/>
    <Relationship TargetMode="External" Target="https://www.legis.iowa.gov/docs/ico/chapter/17A.4.pdf" Type="http://schemas.openxmlformats.org/officeDocument/2006/relationships/hyperlink" Id="rId18"/>
    <Relationship TargetMode="External" Target="https://www.legis.iowa.gov/docs/ico/chapter/25B.6.pdf" Type="http://schemas.openxmlformats.org/officeDocument/2006/relationships/hyperlink" Id="rId19"/>
    <Relationship TargetMode="External" Target="https://www.legis.iowa.gov/docs/iac/rule/661.10.210.pdf" Type="http://schemas.openxmlformats.org/officeDocument/2006/relationships/hyperlink" Id="rId20"/>
    <Relationship TargetMode="External" Target="https://www.legis.iowa.gov/docs/iac/rule/661.10.210.pdf" Type="http://schemas.openxmlformats.org/officeDocument/2006/relationships/hyperlink" Id="rId21"/>
    <Relationship TargetMode="External" Target="https://www.legis.iowa.gov/docs/iac/rule/661.10.210.pdf" Type="http://schemas.openxmlformats.org/officeDocument/2006/relationships/hyperlink" Id="rId22"/>
    <Relationship TargetMode="External" Target="https://www.legis.iowa.gov/docs/ico/chapter/17A.4.pdf" Type="http://schemas.openxmlformats.org/officeDocument/2006/relationships/hyperlink" Id="rId23"/>
    <Relationship TargetMode="External" Target="https://www.legis.iowa.gov/docs/ico/chapter/17A.4.pdf" Type="http://schemas.openxmlformats.org/officeDocument/2006/relationships/hyperlink" Id="rId24"/>
    <Relationship TargetMode="External" Target="https://www.legis.iowa.gov/docs/iac/rule/661.10.213.pdf" Type="http://schemas.openxmlformats.org/officeDocument/2006/relationships/hyperlink" Id="rId25"/>
    <Relationship TargetMode="External" Target="https://www.legis.iowa.gov/docs/ico/chapter/17A.5.pdf" Type="http://schemas.openxmlformats.org/officeDocument/2006/relationships/hyperlink" Id="rId26"/>
    <Relationship TargetMode="External" Target="https://www.legis.iowa.gov/docs/ico/chapter/17A.5.pdf" Type="http://schemas.openxmlformats.org/officeDocument/2006/relationships/hyperlink" Id="rId27"/>
    <Relationship TargetMode="External" Target="https://www.legis.iowa.gov/docs/iac/rule/661.10.215.pdf" Type="http://schemas.openxmlformats.org/officeDocument/2006/relationships/hyperlink" Id="rId28"/>
    <Relationship TargetMode="External" Target="https://www.legis.iowa.gov/docs/ico/chapter/17A.2.pdf" Type="http://schemas.openxmlformats.org/officeDocument/2006/relationships/hyperlink" Id="rId29"/>
    <Relationship TargetMode="External" Target="https://www.legis.iowa.gov/docs/ico/chapter/17A.2.pdf" Type="http://schemas.openxmlformats.org/officeDocument/2006/relationships/hyperlink" Id="rId30"/>
    <Relationship TargetMode="External" Target="https://www.legis.iowa.gov/docs/iac/rule/661.10.216.pdf" Type="http://schemas.openxmlformats.org/officeDocument/2006/relationships/hyperlink" Id="rId31"/>
    <Relationship TargetMode="External" Target="https://www.legis.iowa.gov/docs/iac/rule/661.10.221.pdf" Type="http://schemas.openxmlformats.org/officeDocument/2006/relationships/hyperlink" Id="rId32"/>
    <Relationship TargetMode="External" Target="https://www.legis.iowa.gov/docs/iac/rule/661.10.222.pdf" Type="http://schemas.openxmlformats.org/officeDocument/2006/relationships/hyperlink" Id="rId33"/>
    <Relationship TargetMode="External" Target="https://www.legis.iowa.gov/docs/ico/chapter/17A.10-18A.pdf" Type="http://schemas.openxmlformats.org/officeDocument/2006/relationships/hyperlink" Id="rId34"/>
    <Relationship TargetMode="External" Target="https://www.legis.iowa.gov/docs/ico/chapter/17A.3.pdf" Type="http://schemas.openxmlformats.org/officeDocument/2006/relationships/hyperlink" Id="rId35"/>
    <Relationship TargetMode="External" Target="https://www.legis.iowa.gov/docs/ico/chapter/22.pdf" Type="http://schemas.openxmlformats.org/officeDocument/2006/relationships/hyperlink" Id="rId36"/>
    <Relationship TargetMode="External" Target="https://www.legis.iowa.gov/docs/ico/chapter/17A.9A.pdf" Type="http://schemas.openxmlformats.org/officeDocument/2006/relationships/hyperlink" Id="rId37"/>
    <Relationship TargetMode="External" Target="https://www.legis.iowa.gov/docs/ico/chapter/17A.9.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17A.22.pdf" Type="http://schemas.openxmlformats.org/officeDocument/2006/relationships/hyperlink" Id="rId40"/>
    <Relationship TargetMode="External" Target="https://www.legis.iowa.gov/docs/iac/rule/661.10.301.pdf" Type="http://schemas.openxmlformats.org/officeDocument/2006/relationships/hyperlink" Id="rId41"/>
    <Relationship TargetMode="External" Target="https://www.legis.iowa.gov/docs/iac/rule/661.10.332.pdf" Type="http://schemas.openxmlformats.org/officeDocument/2006/relationships/hyperlink" Id="rId42"/>
    <Relationship TargetMode="External" Target="https://www.legis.iowa.gov/docs/ico/chapter/17A.2.pdf" Type="http://schemas.openxmlformats.org/officeDocument/2006/relationships/hyperlink" Id="rId43"/>
    <Relationship TargetMode="External" Target="https://www.legis.iowa.gov/docs/ico/chapter/4.1.pdf" Type="http://schemas.openxmlformats.org/officeDocument/2006/relationships/hyperlink" Id="rId44"/>
    <Relationship TargetMode="External" Target="https://www.legis.iowa.gov/docs/iac/rule/661.10.306.pdf" Type="http://schemas.openxmlformats.org/officeDocument/2006/relationships/hyperlink" Id="rId45"/>
    <Relationship TargetMode="External" Target="https://www.legis.iowa.gov/docs/iac/rule/661.10.306.pdf" Type="http://schemas.openxmlformats.org/officeDocument/2006/relationships/hyperlink" Id="rId46"/>
    <Relationship TargetMode="External" Target="https://www.legis.iowa.gov/docs/ico/chapter/17A.17.pdf" Type="http://schemas.openxmlformats.org/officeDocument/2006/relationships/hyperlink" Id="rId47"/>
    <Relationship TargetMode="External" Target="https://www.legis.iowa.gov/docs/iac/rule/661.10.309.pdf" Type="http://schemas.openxmlformats.org/officeDocument/2006/relationships/hyperlink" Id="rId48"/>
    <Relationship TargetMode="External" Target="https://www.legis.iowa.gov/docs/iac/rule/661.10.323.pdf" Type="http://schemas.openxmlformats.org/officeDocument/2006/relationships/hyperlink" Id="rId49"/>
    <Relationship TargetMode="External" Target="https://www.legis.iowa.gov/docs/iac/rule/661.10.309.pdf" Type="http://schemas.openxmlformats.org/officeDocument/2006/relationships/hyperlink" Id="rId50"/>
    <Relationship TargetMode="External" Target="https://www.legis.iowa.gov/docs/iac/rule/661.10.325.pdf" Type="http://schemas.openxmlformats.org/officeDocument/2006/relationships/hyperlink" Id="rId51"/>
    <Relationship TargetMode="External" Target="https://www.legis.iowa.gov/docs/iac/rule/661.10.329.pdf" Type="http://schemas.openxmlformats.org/officeDocument/2006/relationships/hyperlink" Id="rId52"/>
    <Relationship TargetMode="External" Target="https://www.legis.iowa.gov/docs/ico/chapter/17A.16.pdf" Type="http://schemas.openxmlformats.org/officeDocument/2006/relationships/hyperlink" Id="rId53"/>
    <Relationship TargetMode="External" Target="https://www.legis.iowa.gov/docs/iac/rule/661.10.313.pdf" Type="http://schemas.openxmlformats.org/officeDocument/2006/relationships/hyperlink" Id="rId54"/>
    <Relationship TargetMode="External" Target="https://www.legis.iowa.gov/docs/iac/rule/661.10.316.pdf" Type="http://schemas.openxmlformats.org/officeDocument/2006/relationships/hyperlink" Id="rId55"/>
    <Relationship TargetMode="External" Target="https://www.legis.iowa.gov/docs/iac/rule/661.10.327.pdf" Type="http://schemas.openxmlformats.org/officeDocument/2006/relationships/hyperlink" Id="rId56"/>
    <Relationship TargetMode="External" Target="https://www.legis.iowa.gov/docs/iac/rule/661.10.325.pdf" Type="http://schemas.openxmlformats.org/officeDocument/2006/relationships/hyperlink" Id="rId57"/>
    <Relationship TargetMode="External" Target="https://www.legis.iowa.gov/docs/iac/rule/661.10.329.pdf" Type="http://schemas.openxmlformats.org/officeDocument/2006/relationships/hyperlink" Id="rId58"/>
    <Relationship TargetMode="External" Target="https://www.legis.iowa.gov/docs/iac/rule/661.10.309.pdf" Type="http://schemas.openxmlformats.org/officeDocument/2006/relationships/hyperlink" Id="rId59"/>
    <Relationship TargetMode="External" Target="https://www.legis.iowa.gov/docs/iac/rule/661.10.312.pdf" Type="http://schemas.openxmlformats.org/officeDocument/2006/relationships/hyperlink" Id="rId60"/>
    <Relationship TargetMode="External" Target="https://www.legis.iowa.gov/docs/iac/rule/661.10.323.pdf" Type="http://schemas.openxmlformats.org/officeDocument/2006/relationships/hyperlink" Id="rId61"/>
    <Relationship TargetMode="External" Target="https://www.legis.iowa.gov/docs/iac/rule/661.10.317.pdf" Type="http://schemas.openxmlformats.org/officeDocument/2006/relationships/hyperlink" Id="rId62"/>
    <Relationship TargetMode="External" Target="https://www.legis.iowa.gov/docs/ico/chapter/17A.13.pdf" Type="http://schemas.openxmlformats.org/officeDocument/2006/relationships/hyperlink" Id="rId63"/>
    <Relationship TargetMode="External" Target="https://www.legis.iowa.gov/docs/iac/rule/661.10.327.pdf" Type="http://schemas.openxmlformats.org/officeDocument/2006/relationships/hyperlink" Id="rId64"/>
    <Relationship TargetMode="External" Target="https://www.legis.iowa.gov/docs/iac/rule/661.10.327.pdf" Type="http://schemas.openxmlformats.org/officeDocument/2006/relationships/hyperlink" Id="rId65"/>
    <Relationship TargetMode="External" Target="https://www.legis.iowa.gov/docs/ico/chapter/17A.pdf" Type="http://schemas.openxmlformats.org/officeDocument/2006/relationships/hyperlink"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