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GENERAL PHARMACY PRACTICE</w:t>
      </w:r>
    </w:p>
    <w:p>
      <w:pPr>
        <w:spacing w:before="0" w:after="0"/>
        <w:ind w:left="120"/>
        <w:jc w:val="center"/>
      </w:pPr>
      <w:r>
        <w:rPr>
          <w:rFonts w:ascii="Times New Roman" w:hAnsi="Times New Roman"/>
          <w:b w:val="false"/>
          <w:i w:val="false"/>
          <w:color w:val="000000"/>
          <w:sz w:val="14"/>
        </w:rPr>
        <w:t>[Prior to 2/10/88, see Pharmacy Examiners[620]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657—6.1</w:t>
      </w:r>
      <w:r>
        <w:rPr>
          <w:rFonts w:ascii="Times New Roman" w:hAnsi="Times New Roman"/>
          <w:b/>
          <w:i w:val="false"/>
          <w:color w:val="000000"/>
          <w:sz w:val="22"/>
        </w:rPr>
        <w:t xml:space="preserve">(155A)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A general pharmacy is a location where a pharmacist provides pharmaceutical services or dispenses pharmaceutical products to patients in accordance with pharmacy laws. This chapter does not apply to a hospital pharmacy as defined in </w:t>
      </w:r>
      <w:hyperlink r:id="rId5">
        <w:r>
          <w:rPr>
            <w:rStyle w:val="Hyperlink"/>
            <w:rFonts w:ascii="Times New Roman" w:hAnsi="Times New Roman"/>
            <w:b w:val="false"/>
            <w:i w:val="false"/>
            <w:color w:val="000000"/>
            <w:sz w:val="22"/>
          </w:rPr>
          <w:t>657—Chapter 7</w:t>
        </w:r>
      </w:hyperlink>
      <w:r>
        <w:rPr>
          <w:rFonts w:ascii="Times New Roman" w:hAnsi="Times New Roman"/>
          <w:b w:val="false"/>
          <w:i w:val="false"/>
          <w:color w:val="000000"/>
          <w:sz w:val="22"/>
        </w:rPr>
        <w:t xml:space="preserve">. The requirements of these rules for general pharmacy practice are in addition to the requirements of </w:t>
      </w:r>
      <w:hyperlink r:id="rId6">
        <w:r>
          <w:rPr>
            <w:rStyle w:val="Hyperlink"/>
            <w:rFonts w:ascii="Times New Roman" w:hAnsi="Times New Roman"/>
            <w:b w:val="false"/>
            <w:i w:val="false"/>
            <w:color w:val="000000"/>
            <w:sz w:val="22"/>
          </w:rPr>
          <w:t>657—Chapter 8</w:t>
        </w:r>
      </w:hyperlink>
      <w:r>
        <w:rPr>
          <w:rFonts w:ascii="Times New Roman" w:hAnsi="Times New Roman"/>
          <w:b w:val="false"/>
          <w:i w:val="false"/>
          <w:color w:val="000000"/>
          <w:sz w:val="22"/>
        </w:rPr>
        <w:t xml:space="preserve"> and other rules of the board relating to services provided by the pharmacy.</w:t>
      </w:r>
    </w:p>
    <w:p>
      <w:pPr>
        <w:spacing w:before="0" w:after="0"/>
        <w:ind w:left="120"/>
        <w:jc w:val="both"/>
      </w:pPr>
      <w:r>
        <w:rPr>
          <w:rFonts w:ascii="Times New Roman" w:hAnsi="Times New Roman"/>
          <w:b/>
          <w:i w:val="false"/>
          <w:color w:val="000000"/>
          <w:sz w:val="22"/>
        </w:rPr>
        <w:t>657—6.2</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 in charge. </w:t>
      </w:r>
      <w:r>
        <w:rPr>
          <w:rFonts w:ascii="Times New Roman" w:hAnsi="Times New Roman"/>
          <w:b w:val="false"/>
          <w:i w:val="false"/>
          <w:color w:val="000000"/>
          <w:sz w:val="22"/>
        </w:rPr>
        <w:t xml:space="preserve">One professionally competent, legally qualified pharmacist in charge in each pharmacy shall be responsible for, at a minimum, the responsibilities identified in rule </w:t>
      </w:r>
      <w:hyperlink r:id="rId7">
        <w:r>
          <w:rPr>
            <w:rStyle w:val="Hyperlink"/>
            <w:rFonts w:ascii="Times New Roman" w:hAnsi="Times New Roman"/>
            <w:b w:val="false"/>
            <w:i w:val="false"/>
            <w:color w:val="000000"/>
            <w:sz w:val="22"/>
          </w:rPr>
          <w:t>657—8.3</w:t>
        </w:r>
      </w:hyperlink>
      <w:r>
        <w:rPr>
          <w:rFonts w:ascii="Times New Roman" w:hAnsi="Times New Roman"/>
          <w:b w:val="false"/>
          <w:i w:val="false"/>
          <w:color w:val="000000"/>
          <w:sz w:val="22"/>
        </w:rPr>
        <w:t>(155A).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0501C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1961C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657—6.3</w:t>
      </w:r>
      <w:r>
        <w:rPr>
          <w:rFonts w:ascii="Times New Roman" w:hAnsi="Times New Roman"/>
          <w:b/>
          <w:i w:val="false"/>
          <w:color w:val="000000"/>
          <w:sz w:val="22"/>
        </w:rPr>
        <w:t xml:space="preserve">(155A) </w:t>
      </w:r>
      <w:r>
        <w:rPr>
          <w:rFonts w:ascii="Times New Roman" w:hAnsi="Times New Roman"/>
          <w:b/>
          <w:i w:val="false"/>
          <w:color w:val="000000"/>
          <w:sz w:val="22"/>
        </w:rPr>
        <w:t xml:space="preserve">Reference library. </w:t>
      </w:r>
      <w:r>
        <w:rPr>
          <w:rFonts w:ascii="Times New Roman" w:hAnsi="Times New Roman"/>
          <w:b w:val="false"/>
          <w:i w:val="false"/>
          <w:color w:val="000000"/>
          <w:sz w:val="22"/>
        </w:rPr>
        <w:t>References may be printed or computer-accessed. A reference library shall be maintained which includes, at a minimum, one current reference from each of the following categories, including access to current periodic updates.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reference including all pertinent Iowa laws, rules, and regulations that impact the pharmacy’s practice.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patient information reference that includes or provides patient information in compliance with rule </w:t>
      </w:r>
      <w:hyperlink r:id="rId8">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reference on drug interactions.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general information reference.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drug equivalency reference.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 reference on natural or herbal medicines.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readily accessible telephone number of a poison control center that serves the area.</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Additional references as may be necessary for the pharmacist to adequately meet the needs of the patients 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2196C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657—6.4</w:t>
      </w:r>
      <w:r>
        <w:rPr>
          <w:rFonts w:ascii="Times New Roman" w:hAnsi="Times New Roman"/>
          <w:b/>
          <w:i w:val="false"/>
          <w:color w:val="000000"/>
          <w:sz w:val="22"/>
        </w:rPr>
        <w:t xml:space="preserve">(155A) </w:t>
      </w:r>
      <w:r>
        <w:rPr>
          <w:rFonts w:ascii="Times New Roman" w:hAnsi="Times New Roman"/>
          <w:b/>
          <w:i w:val="false"/>
          <w:color w:val="000000"/>
          <w:sz w:val="22"/>
        </w:rPr>
        <w:t xml:space="preserve">Exemption from duplicate requirements. </w:t>
      </w:r>
      <w:r>
        <w:rPr>
          <w:rFonts w:ascii="Times New Roman" w:hAnsi="Times New Roman"/>
          <w:b w:val="false"/>
          <w:i w:val="false"/>
          <w:color w:val="000000"/>
          <w:sz w:val="22"/>
        </w:rPr>
        <w:t xml:space="preserve">A pharmacy established in the same location as another licensed pharmacy and with direct and immediate access to required references, patient counseling area, refrigerator, or sink with hot and cold running water may utilize the references, counseling area, refrigerator, or sink of the other pharmacy to satisfy the requirements of rule </w:t>
      </w:r>
      <w:hyperlink r:id="rId9">
        <w:r>
          <w:rPr>
            <w:rStyle w:val="Hyperlink"/>
            <w:rFonts w:ascii="Times New Roman" w:hAnsi="Times New Roman"/>
            <w:b w:val="false"/>
            <w:i w:val="false"/>
            <w:color w:val="000000"/>
            <w:sz w:val="22"/>
          </w:rPr>
          <w:t>657—6.3</w:t>
        </w:r>
      </w:hyperlink>
      <w:r>
        <w:rPr>
          <w:rFonts w:ascii="Times New Roman" w:hAnsi="Times New Roman"/>
          <w:b w:val="false"/>
          <w:i w:val="false"/>
          <w:color w:val="000000"/>
          <w:sz w:val="22"/>
        </w:rPr>
        <w:t xml:space="preserve">(155A), subrule </w:t>
      </w:r>
      <w:hyperlink r:id="rId10">
        <w:r>
          <w:rPr>
            <w:rStyle w:val="Hyperlink"/>
            <w:rFonts w:ascii="Times New Roman" w:hAnsi="Times New Roman"/>
            <w:b w:val="false"/>
            <w:i w:val="false"/>
            <w:color w:val="000000"/>
            <w:sz w:val="22"/>
          </w:rPr>
          <w:t>6.14(3)</w:t>
        </w:r>
      </w:hyperlink>
      <w:r>
        <w:rPr>
          <w:rFonts w:ascii="Times New Roman" w:hAnsi="Times New Roman"/>
          <w:b w:val="false"/>
          <w:i w:val="false"/>
          <w:color w:val="000000"/>
          <w:sz w:val="22"/>
        </w:rPr>
        <w:t xml:space="preserve">, or rule </w:t>
      </w:r>
      <w:hyperlink r:id="rId11">
        <w:r>
          <w:rPr>
            <w:rStyle w:val="Hyperlink"/>
            <w:rFonts w:ascii="Times New Roman" w:hAnsi="Times New Roman"/>
            <w:b w:val="false"/>
            <w:i w:val="false"/>
            <w:color w:val="000000"/>
            <w:sz w:val="22"/>
          </w:rPr>
          <w:t>657—8.5</w:t>
        </w:r>
      </w:hyperlink>
      <w:r>
        <w:rPr>
          <w:rFonts w:ascii="Times New Roman" w:hAnsi="Times New Roman"/>
          <w:b w:val="false"/>
          <w:i w:val="false"/>
          <w:color w:val="000000"/>
          <w:sz w:val="22"/>
        </w:rPr>
        <w:t>(155A), paragraphs “1” and “2.”</w:t>
      </w:r>
    </w:p>
    <w:p>
      <w:pPr>
        <w:spacing w:before="210" w:after="0"/>
        <w:ind w:left="120"/>
        <w:jc w:val="both"/>
      </w:pPr>
      <w:r>
        <w:rPr>
          <w:rFonts w:ascii="Times New Roman" w:hAnsi="Times New Roman"/>
          <w:b/>
          <w:i w:val="false"/>
          <w:color w:val="000000"/>
          <w:sz w:val="22"/>
        </w:rPr>
        <w:t>657—6.5</w:t>
      </w:r>
      <w:r>
        <w:rPr>
          <w:rFonts w:ascii="Times New Roman" w:hAnsi="Times New Roman"/>
          <w:b w:val="false"/>
          <w:i w:val="false"/>
          <w:color w:val="000000"/>
          <w:sz w:val="22"/>
        </w:rPr>
        <w:t xml:space="preserve"> and </w:t>
      </w:r>
      <w:r>
        <w:rPr>
          <w:rFonts w:ascii="Times New Roman" w:hAnsi="Times New Roman"/>
          <w:b/>
          <w:i w:val="false"/>
          <w:color w:val="000000"/>
          <w:sz w:val="22"/>
        </w:rPr>
        <w:t>6.6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657—6.7</w:t>
      </w:r>
      <w:r>
        <w:rPr>
          <w:rFonts w:ascii="Times New Roman" w:hAnsi="Times New Roman"/>
          <w:b/>
          <w:i w:val="false"/>
          <w:color w:val="000000"/>
          <w:sz w:val="22"/>
        </w:rPr>
        <w:t xml:space="preserve">(124,155A) </w:t>
      </w:r>
      <w:r>
        <w:rPr>
          <w:rFonts w:ascii="Times New Roman" w:hAnsi="Times New Roman"/>
          <w:b/>
          <w:i w:val="false"/>
          <w:color w:val="000000"/>
          <w:sz w:val="22"/>
        </w:rPr>
        <w:t xml:space="preserve">Security. </w:t>
      </w:r>
      <w:r>
        <w:rPr>
          <w:rFonts w:ascii="Times New Roman" w:hAnsi="Times New Roman"/>
          <w:b w:val="false"/>
          <w:i w:val="false"/>
          <w:color w:val="000000"/>
          <w:sz w:val="22"/>
        </w:rPr>
        <w:t xml:space="preserve">While on duty, each pharmacist shall be responsible for the security of the prescription department and of the provisions for effective control against theft of, diversion of, or unauthorized access to prescription drugs, including those collected through an authorized collection program, records for such drugs and authorized collection program activities, and patient records as provided in </w:t>
      </w:r>
      <w:hyperlink r:id="rId12">
        <w:r>
          <w:rPr>
            <w:rStyle w:val="Hyperlink"/>
            <w:rFonts w:ascii="Times New Roman" w:hAnsi="Times New Roman"/>
            <w:b w:val="false"/>
            <w:i w:val="false"/>
            <w:color w:val="000000"/>
            <w:sz w:val="22"/>
          </w:rPr>
          <w:t>657—Chapters 10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federal regulations for authorized controlled substance collection programs, which can be found at </w:t>
      </w:r>
      <w:hyperlink r:id="rId14">
        <w:r>
          <w:rPr>
            <w:rStyle w:val="Hyperlink"/>
            <w:rFonts w:ascii="Times New Roman" w:hAnsi="Times New Roman"/>
            <w:b w:val="false"/>
            <w:i w:val="false"/>
            <w:color w:val="000000"/>
            <w:sz w:val="22"/>
            <w:u w:val="single"/>
          </w:rPr>
          <w:t>www.deadiversion.usdoj.gov/drug_disposal/</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6.7(1)</w:t>
      </w:r>
      <w:r>
        <w:rPr>
          <w:rFonts w:ascii="Times New Roman" w:hAnsi="Times New Roman"/>
          <w:b w:val="false"/>
          <w:i w:val="false"/>
          <w:color w:val="000000"/>
          <w:sz w:val="22"/>
        </w:rPr>
        <w:t> </w:t>
      </w:r>
      <w:r>
        <w:rPr>
          <w:rFonts w:ascii="Times New Roman" w:hAnsi="Times New Roman"/>
          <w:b w:val="false"/>
          <w:i/>
          <w:color w:val="000000"/>
          <w:sz w:val="22"/>
        </w:rPr>
        <w:t xml:space="preserve">Department locked. </w:t>
      </w:r>
      <w:r>
        <w:rPr>
          <w:rFonts w:ascii="Times New Roman" w:hAnsi="Times New Roman"/>
          <w:b w:val="false"/>
          <w:i w:val="false"/>
          <w:color w:val="000000"/>
          <w:sz w:val="22"/>
        </w:rPr>
        <w:t xml:space="preserve">The prescription department shall be locked by key or combination so as to prevent access when a pharmacist is not on site except as provided in subrules </w:t>
      </w:r>
      <w:hyperlink r:id="rId15">
        <w:r>
          <w:rPr>
            <w:rStyle w:val="Hyperlink"/>
            <w:rFonts w:ascii="Times New Roman" w:hAnsi="Times New Roman"/>
            <w:b w:val="false"/>
            <w:i w:val="false"/>
            <w:color w:val="000000"/>
            <w:sz w:val="22"/>
          </w:rPr>
          <w:t>6.7(2)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6.7(2)</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pharmacist. </w:t>
      </w:r>
      <w:r>
        <w:rPr>
          <w:rFonts w:ascii="Times New Roman" w:hAnsi="Times New Roman"/>
          <w:b w:val="false"/>
          <w:i w:val="false"/>
          <w:color w:val="000000"/>
          <w:sz w:val="22"/>
        </w:rPr>
        <w:t xml:space="preserve">In the temporary absence of the pharmacist, only the pharmacist in charge may designate pharmacy technicians or pharmacy support persons who may be present in the prescription department to perform technical or nontechnical functions, respectively, designated by the pharmacist in charge. Activities identified in subrule </w:t>
      </w:r>
      <w:hyperlink r:id="rId17">
        <w:r>
          <w:rPr>
            <w:rStyle w:val="Hyperlink"/>
            <w:rFonts w:ascii="Times New Roman" w:hAnsi="Times New Roman"/>
            <w:b w:val="false"/>
            <w:i w:val="false"/>
            <w:color w:val="000000"/>
            <w:sz w:val="22"/>
          </w:rPr>
          <w:t>6.7(3)</w:t>
        </w:r>
      </w:hyperlink>
      <w:r>
        <w:rPr>
          <w:rFonts w:ascii="Times New Roman" w:hAnsi="Times New Roman"/>
          <w:b w:val="false"/>
          <w:i w:val="false"/>
          <w:color w:val="000000"/>
          <w:sz w:val="22"/>
        </w:rPr>
        <w:t xml:space="preserve"> may not be performed during such temporary absence of the pharmacist. A temporary absence is an absence of short duration not to exceed two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absence of the pharmacist, the pharmacy shall be secured from public access and the pharmacy shall notify the public that the pharmacist is temporarily absent and that no prescriptions will be dispensed until the pharmacist returns. If the pharmacist in charge has authorized the presence in the pharmacy of a pharmacy technician or a pharmacy support person to perform designated functions when the pharmacy is closed, the pharmacy technician or the pharmacy support person may not dispense or deliver any drug, chemical, device, or prepared prescription to a patient or patient’s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pharmacy technician or a pharmacy support person who is present in the pharmacy when the pharmacy is closed shall prepare and maintain in the pharmacy a log identifying each period of time that the pharmacy technician or pharmacy support person worked in the pharmacy while the pharmacy was closed and identifying each activity performed during that time period. Each entry shall be dated, and each daily record shall be signed by the pharmacy technician or pharmacy support person who prepared the record. The log shall be periodically reviewed by the pharmacist in charge, and documentation of such review shall be maintained for two years from the date of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6.7(3)</w:t>
      </w:r>
      <w:r>
        <w:rPr>
          <w:rFonts w:ascii="Times New Roman" w:hAnsi="Times New Roman"/>
          <w:b w:val="false"/>
          <w:i w:val="false"/>
          <w:color w:val="000000"/>
          <w:sz w:val="22"/>
        </w:rPr>
        <w:t> </w:t>
      </w:r>
      <w:r>
        <w:rPr>
          <w:rFonts w:ascii="Times New Roman" w:hAnsi="Times New Roman"/>
          <w:b w:val="false"/>
          <w:i/>
          <w:color w:val="000000"/>
          <w:sz w:val="22"/>
        </w:rPr>
        <w:t xml:space="preserve">Activities prohibited in absence of pharmacist. </w:t>
      </w:r>
      <w:r>
        <w:rPr>
          <w:rFonts w:ascii="Times New Roman" w:hAnsi="Times New Roman"/>
          <w:b w:val="false"/>
          <w:i w:val="false"/>
          <w:color w:val="000000"/>
          <w:sz w:val="22"/>
        </w:rPr>
        <w:t>Activities which shall not be designated and shall not be performed during the temporary absence of the pharmacist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Dispensing or distributing any prescription drugs or devices to patients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the final verification for the accuracy, validity, completeness, or appropriateness of a filled prescription or medication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prospective drug use review or evaluating a patient’s medication record for purposes identified in rule </w:t>
      </w:r>
      <w:hyperlink r:id="rId18">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(155A).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patient counseling, consultation, or drug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Making decisions that require a pharmacist’s professional judgment such as interpreting or applying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Transferring prescriptions to or from other pharmacies.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6.7(4)</w:t>
      </w:r>
      <w:r>
        <w:rPr>
          <w:rFonts w:ascii="Times New Roman" w:hAnsi="Times New Roman"/>
          <w:b w:val="false"/>
          <w:i w:val="false"/>
          <w:color w:val="000000"/>
          <w:sz w:val="22"/>
        </w:rPr>
        <w:t> </w:t>
      </w:r>
      <w:r>
        <w:rPr>
          <w:rFonts w:ascii="Times New Roman" w:hAnsi="Times New Roman"/>
          <w:b w:val="false"/>
          <w:i/>
          <w:color w:val="000000"/>
          <w:sz w:val="22"/>
        </w:rPr>
        <w:t xml:space="preserve">Refill sales during pharmacist break. </w:t>
      </w:r>
      <w:r>
        <w:rPr>
          <w:rFonts w:ascii="Times New Roman" w:hAnsi="Times New Roman"/>
          <w:b w:val="false"/>
          <w:i w:val="false"/>
          <w:color w:val="000000"/>
          <w:sz w:val="22"/>
        </w:rPr>
        <w:t xml:space="preserve">At the discretion of the on-duty supervising pharmacist and pursuant to established policies and procedures, the pharmacist may delegate to a technician the dispensing of previously verified prescriptions which have been identified to not require pharmacist counseling pursuant to rule </w:t>
      </w:r>
      <w:hyperlink r:id="rId19">
        <w:r>
          <w:rPr>
            <w:rStyle w:val="Hyperlink"/>
            <w:rFonts w:ascii="Times New Roman" w:hAnsi="Times New Roman"/>
            <w:b w:val="false"/>
            <w:i w:val="false"/>
            <w:color w:val="000000"/>
            <w:sz w:val="22"/>
          </w:rPr>
          <w:t>657—6.14</w:t>
        </w:r>
      </w:hyperlink>
      <w:r>
        <w:rPr>
          <w:rFonts w:ascii="Times New Roman" w:hAnsi="Times New Roman"/>
          <w:b w:val="false"/>
          <w:i w:val="false"/>
          <w:color w:val="000000"/>
          <w:sz w:val="22"/>
        </w:rPr>
        <w:t>(155A) when the pharmacist is on a break of limited duration and is absent from the pharmacy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6.7(5)</w:t>
      </w:r>
      <w:r>
        <w:rPr>
          <w:rFonts w:ascii="Times New Roman" w:hAnsi="Times New Roman"/>
          <w:b w:val="false"/>
          <w:i w:val="false"/>
          <w:color w:val="000000"/>
          <w:sz w:val="22"/>
        </w:rPr>
        <w:t> </w:t>
      </w:r>
      <w:r>
        <w:rPr>
          <w:rFonts w:ascii="Times New Roman" w:hAnsi="Times New Roman"/>
          <w:b w:val="false"/>
          <w:i/>
          <w:color w:val="000000"/>
          <w:sz w:val="22"/>
        </w:rPr>
        <w:t xml:space="preserve">Minimum physical security and monitoring system requirements. </w:t>
      </w:r>
      <w:r>
        <w:rPr>
          <w:rFonts w:ascii="Times New Roman" w:hAnsi="Times New Roman"/>
          <w:b w:val="false"/>
          <w:i w:val="false"/>
          <w:color w:val="000000"/>
          <w:sz w:val="22"/>
        </w:rPr>
        <w:t>Each pharmacy located in Iowa shall develop and implement policies and procedures to ensure appropriate physical security and monitoring of the pharmacy to prevent unauthorized access to prescription drugs, including controlled substances, and pharmacy records. The physical security and monitoring shall include the components identified herein, and the policies and procedures shall establish the utilization of such components commensurate with the pharmacy operation. The policies and procedures shall establish the retention of documentation of activities or recordings retained from the alarm and video surveillance systems, as well as contingencies when the systems are temporarily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later than July 6, 2023, a basic alarm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later than July 6, 2023, a video surveillance system, except in areas where drugs are stored in an automated medication dispensing system or an alternative electronic storage unit which uses biometric restricted access or other electronic monitoring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Controlled access to computer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designated location that can be monitored, away from drug storage and handling areas, where personal items of pharmacy staff may be stored while on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8673B</w:t>
      </w:r>
      <w:r>
        <w:rPr>
          <w:rFonts w:ascii="Times New Roman" w:hAnsi="Times New Roman"/>
          <w:b w:val="false"/>
          <w:i w:val="false"/>
          <w:color w:val="000000"/>
          <w:sz w:val="16"/>
        </w:rPr>
        <w:t>, IAB 4/7/10, effective 6/1/10</w:t>
      </w:r>
      <w:r>
        <w:rPr>
          <w:rFonts w:ascii="Times New Roman" w:hAnsi="Times New Roman"/>
          <w:b w:val="false"/>
          <w:i w:val="false"/>
          <w:color w:val="000000"/>
          <w:sz w:val="16"/>
        </w:rPr>
        <w:t xml:space="preserve">; </w:t>
      </w:r>
      <w:r>
        <w:rPr>
          <w:rFonts w:ascii="Times New Roman" w:hAnsi="Times New Roman"/>
          <w:b/>
          <w:i w:val="false"/>
          <w:color w:val="000000"/>
          <w:sz w:val="16"/>
        </w:rPr>
        <w:t>ARC 1308C</w:t>
      </w:r>
      <w:r>
        <w:rPr>
          <w:rFonts w:ascii="Times New Roman" w:hAnsi="Times New Roman"/>
          <w:b w:val="false"/>
          <w:i w:val="false"/>
          <w:color w:val="000000"/>
          <w:sz w:val="16"/>
        </w:rPr>
        <w:t>, IAB 2/5/14, effective 3/12/14</w:t>
      </w:r>
      <w:r>
        <w:rPr>
          <w:rFonts w:ascii="Times New Roman" w:hAnsi="Times New Roman"/>
          <w:b w:val="false"/>
          <w:i w:val="false"/>
          <w:color w:val="000000"/>
          <w:sz w:val="16"/>
        </w:rPr>
        <w:t xml:space="preserve">; </w:t>
      </w:r>
      <w:r>
        <w:rPr>
          <w:rFonts w:ascii="Times New Roman" w:hAnsi="Times New Roman"/>
          <w:b/>
          <w:i w:val="false"/>
          <w:color w:val="000000"/>
          <w:sz w:val="16"/>
        </w:rPr>
        <w:t>ARC 2408C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4189C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6330C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657—6.8</w:t>
      </w:r>
      <w:r>
        <w:rPr>
          <w:rFonts w:ascii="Times New Roman" w:hAnsi="Times New Roman"/>
          <w:b/>
          <w:i w:val="false"/>
          <w:color w:val="000000"/>
          <w:sz w:val="22"/>
        </w:rPr>
        <w:t xml:space="preserve">(124,155A) </w:t>
      </w:r>
      <w:r>
        <w:rPr>
          <w:rFonts w:ascii="Times New Roman" w:hAnsi="Times New Roman"/>
          <w:b/>
          <w:i w:val="false"/>
          <w:color w:val="000000"/>
          <w:sz w:val="22"/>
        </w:rPr>
        <w:t xml:space="preserve">Prescription processing documentation. </w:t>
      </w:r>
      <w:r>
        <w:rPr>
          <w:rFonts w:ascii="Times New Roman" w:hAnsi="Times New Roman"/>
          <w:b w:val="false"/>
          <w:i w:val="false"/>
          <w:color w:val="000000"/>
          <w:sz w:val="22"/>
        </w:rPr>
        <w:t xml:space="preserve">All prescriptions shall be dated and assigned a unique identification number that shall be recorded on the original prescription, except as provided in </w:t>
      </w:r>
      <w:hyperlink r:id="rId20">
        <w:r>
          <w:rPr>
            <w:rStyle w:val="Hyperlink"/>
            <w:rFonts w:ascii="Times New Roman" w:hAnsi="Times New Roman"/>
            <w:b w:val="false"/>
            <w:i w:val="false"/>
            <w:color w:val="000000"/>
            <w:sz w:val="22"/>
          </w:rPr>
          <w:t>657—subrule 21.5(1)</w:t>
        </w:r>
      </w:hyperlink>
      <w:r>
        <w:rPr>
          <w:rFonts w:ascii="Times New Roman" w:hAnsi="Times New Roman"/>
          <w:b w:val="false"/>
          <w:i w:val="false"/>
          <w:color w:val="000000"/>
          <w:sz w:val="22"/>
        </w:rPr>
        <w:t>. The original prescription shall be retained by the pharmacy filling the prescription and shall be maintained in the original format as received by the pharmacy. Dispensing documentation shall include the date of fill or refill; the name, strength, and National Drug Code (NDC) of the actual drug product dispensed; and the initials or other unique identification of the pharmacist, pharmacist-intern, or technician in an approved technician product verification program. Dispensing documentation shall be maintained and be readily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657—6.9</w:t>
      </w:r>
      <w:r>
        <w:rPr>
          <w:rFonts w:ascii="Times New Roman" w:hAnsi="Times New Roman"/>
          <w:b/>
          <w:i w:val="false"/>
          <w:color w:val="000000"/>
          <w:sz w:val="22"/>
        </w:rPr>
        <w:t xml:space="preserve">(124,155A) </w:t>
      </w:r>
      <w:r>
        <w:rPr>
          <w:rFonts w:ascii="Times New Roman" w:hAnsi="Times New Roman"/>
          <w:b/>
          <w:i w:val="false"/>
          <w:color w:val="000000"/>
          <w:sz w:val="22"/>
        </w:rPr>
        <w:t xml:space="preserve">Transfer of prescription. </w:t>
      </w:r>
      <w:r>
        <w:rPr>
          <w:rFonts w:ascii="Times New Roman" w:hAnsi="Times New Roman"/>
          <w:b w:val="false"/>
          <w:i w:val="false"/>
          <w:color w:val="000000"/>
          <w:sz w:val="22"/>
        </w:rPr>
        <w:t xml:space="preserve">The transmission of a prescription drug order from a pharmacy to a pharmacy engaged in centralized prescription filling or processing on behalf of the originating pharmacy pursuant to the requirements of </w:t>
      </w:r>
      <w:hyperlink r:id="rId21">
        <w:r>
          <w:rPr>
            <w:rStyle w:val="Hyperlink"/>
            <w:rFonts w:ascii="Times New Roman" w:hAnsi="Times New Roman"/>
            <w:b w:val="false"/>
            <w:i w:val="false"/>
            <w:color w:val="000000"/>
            <w:sz w:val="22"/>
          </w:rPr>
          <w:t>657—Chapter 18</w:t>
        </w:r>
      </w:hyperlink>
      <w:r>
        <w:rPr>
          <w:rFonts w:ascii="Times New Roman" w:hAnsi="Times New Roman"/>
          <w:b w:val="false"/>
          <w:i w:val="false"/>
          <w:color w:val="000000"/>
          <w:sz w:val="22"/>
        </w:rPr>
        <w:t xml:space="preserve"> shall not constitute the transfer of a prescription. Upon the request of a patient or the patient’s caregiver, a pharmacy shall transfer original prescription drug order information and prescription refill information to a pharmacy designated by the patient or the patient’s caregiver, central fill or processing pharmacies excepted,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6.9(1)</w:t>
      </w:r>
      <w:r>
        <w:rPr>
          <w:rFonts w:ascii="Times New Roman" w:hAnsi="Times New Roman"/>
          <w:b w:val="false"/>
          <w:i w:val="false"/>
          <w:color w:val="000000"/>
          <w:sz w:val="22"/>
        </w:rPr>
        <w:t> </w:t>
      </w:r>
      <w:r>
        <w:rPr>
          <w:rFonts w:ascii="Times New Roman" w:hAnsi="Times New Roman"/>
          <w:b w:val="false"/>
          <w:i/>
          <w:color w:val="000000"/>
          <w:sz w:val="22"/>
        </w:rPr>
        <w:t xml:space="preserve">Schedule III, IV, or V prescriptions. </w:t>
      </w:r>
      <w:r>
        <w:rPr>
          <w:rFonts w:ascii="Times New Roman" w:hAnsi="Times New Roman"/>
          <w:b w:val="false"/>
          <w:i w:val="false"/>
          <w:color w:val="000000"/>
          <w:sz w:val="22"/>
        </w:rPr>
        <w:t xml:space="preserve">The transfer of original prescription drug order information for controlled substances listed in Schedule III, IV, or V is permissible between pharmacies on a one-time basis except as provided in subrule </w:t>
      </w:r>
      <w:hyperlink r:id="rId22">
        <w:r>
          <w:rPr>
            <w:rStyle w:val="Hyperlink"/>
            <w:rFonts w:ascii="Times New Roman" w:hAnsi="Times New Roman"/>
            <w:b w:val="false"/>
            <w:i w:val="false"/>
            <w:color w:val="000000"/>
            <w:sz w:val="22"/>
          </w:rPr>
          <w:t>6.9(8)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w:t>
      </w:r>
      <w:r>
        <w:rPr>
          <w:rFonts w:ascii="Times New Roman" w:hAnsi="Times New Roman"/>
          <w:b w:val="false"/>
          <w:i w:val="false"/>
          <w:color w:val="000000"/>
          <w:sz w:val="22"/>
        </w:rPr>
        <w:t> </w:t>
      </w:r>
      <w:r>
        <w:rPr>
          <w:rFonts w:ascii="Times New Roman" w:hAnsi="Times New Roman"/>
          <w:b w:val="false"/>
          <w:i/>
          <w:color w:val="000000"/>
          <w:sz w:val="22"/>
        </w:rPr>
        <w:t xml:space="preserve">Noncontrolled substances prescriptions. </w:t>
      </w:r>
      <w:r>
        <w:rPr>
          <w:rFonts w:ascii="Times New Roman" w:hAnsi="Times New Roman"/>
          <w:b w:val="false"/>
          <w:i w:val="false"/>
          <w:color w:val="000000"/>
          <w:sz w:val="22"/>
        </w:rPr>
        <w:t>The transfer of original prescription drug order information for noncontrolled prescription drugs between pharmacies is permissible as long as the number of transfers does not exceed the number of originally authorized refills and the original prescription is still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6.9(3)</w:t>
      </w:r>
      <w:r>
        <w:rPr>
          <w:rFonts w:ascii="Times New Roman" w:hAnsi="Times New Roman"/>
          <w:b w:val="false"/>
          <w:i w:val="false"/>
          <w:color w:val="000000"/>
          <w:sz w:val="22"/>
        </w:rPr>
        <w:t> </w:t>
      </w:r>
      <w:r>
        <w:rPr>
          <w:rFonts w:ascii="Times New Roman" w:hAnsi="Times New Roman"/>
          <w:b w:val="false"/>
          <w:i/>
          <w:color w:val="000000"/>
          <w:sz w:val="22"/>
        </w:rPr>
        <w:t xml:space="preserve">Authorized individuals and means of transmission. </w:t>
      </w:r>
      <w:r>
        <w:rPr>
          <w:rFonts w:ascii="Times New Roman" w:hAnsi="Times New Roman"/>
          <w:b w:val="false"/>
          <w:i w:val="false"/>
          <w:color w:val="000000"/>
          <w:sz w:val="22"/>
        </w:rPr>
        <w:t xml:space="preserve">Individuals authorized to engage in the transfer of prescriptions include a pharmacist, a pharmacist-intern under the direct supervision of a pharmacist, and a certified pharmacy technician, except as prohibited in </w:t>
      </w:r>
      <w:hyperlink r:id="rId23">
        <w:r>
          <w:rPr>
            <w:rStyle w:val="Hyperlink"/>
            <w:rFonts w:ascii="Times New Roman" w:hAnsi="Times New Roman"/>
            <w:b w:val="false"/>
            <w:i w:val="false"/>
            <w:color w:val="000000"/>
            <w:sz w:val="22"/>
          </w:rPr>
          <w:t>657—subrule 3.23(1)</w:t>
        </w:r>
      </w:hyperlink>
      <w:r>
        <w:rPr>
          <w:rFonts w:ascii="Times New Roman" w:hAnsi="Times New Roman"/>
          <w:b w:val="false"/>
          <w:i w:val="false"/>
          <w:color w:val="000000"/>
          <w:sz w:val="22"/>
        </w:rPr>
        <w:t xml:space="preserve">. The transferring individual may transmit the prescription and transfer information required under subrule </w:t>
      </w:r>
      <w:hyperlink r:id="rId24">
        <w:r>
          <w:rPr>
            <w:rStyle w:val="Hyperlink"/>
            <w:rFonts w:ascii="Times New Roman" w:hAnsi="Times New Roman"/>
            <w:b w:val="false"/>
            <w:i w:val="false"/>
            <w:color w:val="000000"/>
            <w:sz w:val="22"/>
          </w:rPr>
          <w:t>6.9(5)</w:t>
        </w:r>
      </w:hyperlink>
      <w:r>
        <w:rPr>
          <w:rFonts w:ascii="Times New Roman" w:hAnsi="Times New Roman"/>
          <w:b w:val="false"/>
          <w:i w:val="false"/>
          <w:color w:val="000000"/>
          <w:sz w:val="22"/>
        </w:rPr>
        <w:t xml:space="preserve"> from the transferring pharmacy via electronic means pursuant to </w:t>
      </w:r>
      <w:hyperlink r:id="rId25">
        <w:r>
          <w:rPr>
            <w:rStyle w:val="Hyperlink"/>
            <w:rFonts w:ascii="Times New Roman" w:hAnsi="Times New Roman"/>
            <w:b w:val="false"/>
            <w:i w:val="false"/>
            <w:color w:val="000000"/>
            <w:sz w:val="22"/>
          </w:rPr>
          <w:t>subrule 6.9(8)</w:t>
        </w:r>
      </w:hyperlink>
      <w:r>
        <w:rPr>
          <w:rFonts w:ascii="Times New Roman" w:hAnsi="Times New Roman"/>
          <w:b w:val="false"/>
          <w:i w:val="false"/>
          <w:color w:val="000000"/>
          <w:sz w:val="22"/>
        </w:rPr>
        <w:t xml:space="preserve"> or, following direct communication between authorized individuals, via oral or facsimile transmission. The receiving individual shall ensure the prescription transfer record maintained in the receiving pharmacy contains all of the information required under subrule </w:t>
      </w:r>
      <w:hyperlink r:id="rId26">
        <w:r>
          <w:rPr>
            <w:rStyle w:val="Hyperlink"/>
            <w:rFonts w:ascii="Times New Roman" w:hAnsi="Times New Roman"/>
            <w:b w:val="false"/>
            <w:i w:val="false"/>
            <w:color w:val="000000"/>
            <w:sz w:val="22"/>
          </w:rPr>
          <w:t>6.9(7)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6.9(4)</w:t>
      </w:r>
      <w:r>
        <w:rPr>
          <w:rFonts w:ascii="Times New Roman" w:hAnsi="Times New Roman"/>
          <w:b w:val="false"/>
          <w:i w:val="false"/>
          <w:color w:val="000000"/>
          <w:sz w:val="22"/>
        </w:rPr>
        <w:t> </w:t>
      </w:r>
      <w:r>
        <w:rPr>
          <w:rFonts w:ascii="Times New Roman" w:hAnsi="Times New Roman"/>
          <w:b w:val="false"/>
          <w:i/>
          <w:color w:val="000000"/>
          <w:sz w:val="22"/>
        </w:rPr>
        <w:t xml:space="preserve">Prescriptions maintained. </w:t>
      </w:r>
      <w:r>
        <w:rPr>
          <w:rFonts w:ascii="Times New Roman" w:hAnsi="Times New Roman"/>
          <w:b w:val="false"/>
          <w:i w:val="false"/>
          <w:color w:val="000000"/>
          <w:sz w:val="22"/>
        </w:rPr>
        <w:t>Both the original and the transferred prescription drug orders are maintained for a period of two years from the date of last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6.9(5)</w:t>
      </w:r>
      <w:r>
        <w:rPr>
          <w:rFonts w:ascii="Times New Roman" w:hAnsi="Times New Roman"/>
          <w:b w:val="false"/>
          <w:i w:val="false"/>
          <w:color w:val="000000"/>
          <w:sz w:val="22"/>
        </w:rPr>
        <w:t> </w:t>
      </w:r>
      <w:r>
        <w:rPr>
          <w:rFonts w:ascii="Times New Roman" w:hAnsi="Times New Roman"/>
          <w:b w:val="false"/>
          <w:i/>
          <w:color w:val="000000"/>
          <w:sz w:val="22"/>
        </w:rPr>
        <w:t xml:space="preserve">Record of transfer out. </w:t>
      </w:r>
      <w:r>
        <w:rPr>
          <w:rFonts w:ascii="Times New Roman" w:hAnsi="Times New Roman"/>
          <w:b w:val="false"/>
          <w:i w:val="false"/>
          <w:color w:val="000000"/>
          <w:sz w:val="22"/>
        </w:rPr>
        <w:t>The individual transferring the prescription drug order information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Invalidate the prescription drug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on or with the invalidated prescription drug order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for a controlled substance, the DEA registration number of the pharmacy to which such prescription is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receiving the prescription drug order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transferring the prescription drug order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6.9(6)</w:t>
      </w:r>
      <w:r>
        <w:rPr>
          <w:rFonts w:ascii="Times New Roman" w:hAnsi="Times New Roman"/>
          <w:b w:val="false"/>
          <w:i w:val="false"/>
          <w:color w:val="000000"/>
          <w:sz w:val="22"/>
        </w:rPr>
        <w:t> </w:t>
      </w:r>
      <w:r>
        <w:rPr>
          <w:rFonts w:ascii="Times New Roman" w:hAnsi="Times New Roman"/>
          <w:b w:val="false"/>
          <w:i/>
          <w:color w:val="000000"/>
          <w:sz w:val="22"/>
        </w:rPr>
        <w:t xml:space="preserve">Original prescription status. </w:t>
      </w:r>
      <w:r>
        <w:rPr>
          <w:rFonts w:ascii="Times New Roman" w:hAnsi="Times New Roman"/>
          <w:b w:val="false"/>
          <w:i w:val="false"/>
          <w:color w:val="000000"/>
          <w:sz w:val="22"/>
        </w:rPr>
        <w:t>The original prescription drug order shall be invalidated in the data processing system for purposes of filling or refilling, but shall be maintained in the data processing system for refill history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6.9(7)</w:t>
      </w:r>
      <w:r>
        <w:rPr>
          <w:rFonts w:ascii="Times New Roman" w:hAnsi="Times New Roman"/>
          <w:b w:val="false"/>
          <w:i w:val="false"/>
          <w:color w:val="000000"/>
          <w:sz w:val="22"/>
        </w:rPr>
        <w:t> </w:t>
      </w:r>
      <w:r>
        <w:rPr>
          <w:rFonts w:ascii="Times New Roman" w:hAnsi="Times New Roman"/>
          <w:b w:val="false"/>
          <w:i/>
          <w:color w:val="000000"/>
          <w:sz w:val="22"/>
        </w:rPr>
        <w:t xml:space="preserve">Record of transfer received. </w:t>
      </w:r>
      <w:r>
        <w:rPr>
          <w:rFonts w:ascii="Times New Roman" w:hAnsi="Times New Roman"/>
          <w:b w:val="false"/>
          <w:i w:val="false"/>
          <w:color w:val="000000"/>
          <w:sz w:val="22"/>
        </w:rPr>
        <w:t>The individual receiving the transferred prescription drug order information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Indicate that the prescription drug order has been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on or with the transferred prescription drug order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Original date of issuance and date of dispensing, if different from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Original prescription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valid refills remaining, the date of last refill, and, for a controlled substance, the dates and locations of all previous refills;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 address, and, for a controlled substance, the DEA registration number of the pharmacy from which such prescription drug order information is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date of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Name of the individual receiving the prescription drug order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the individual transferring the prescription drug order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If transferring a controlled substance prescription from a pharmacy utilizing a shared electronic database system as described in subrule </w:t>
      </w:r>
      <w:hyperlink r:id="rId27">
        <w:r>
          <w:rPr>
            <w:rStyle w:val="Hyperlink"/>
            <w:rFonts w:ascii="Times New Roman" w:hAnsi="Times New Roman"/>
            <w:b w:val="false"/>
            <w:i w:val="false"/>
            <w:color w:val="000000"/>
            <w:sz w:val="22"/>
          </w:rPr>
          <w:t>6.9(8)</w:t>
        </w:r>
      </w:hyperlink>
      <w:r>
        <w:rPr>
          <w:rFonts w:ascii="Times New Roman" w:hAnsi="Times New Roman"/>
          <w:b w:val="false"/>
          <w:i w:val="false"/>
          <w:color w:val="000000"/>
          <w:sz w:val="22"/>
        </w:rPr>
        <w:t xml:space="preserve"> to a pharmacy outside that shared system, the pharmacy name, location, DEA registration number, and prescription number from which the prescription was originally filled.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6.9(8)</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between pharmacies. </w:t>
      </w:r>
      <w:r>
        <w:rPr>
          <w:rFonts w:ascii="Times New Roman" w:hAnsi="Times New Roman"/>
          <w:b w:val="false"/>
          <w:i w:val="false"/>
          <w:color w:val="000000"/>
          <w:sz w:val="22"/>
        </w:rPr>
        <w:t>Pharmacies may electronically transfer prescription information, including controlled substance prescription information in compliance with federal regulations for controlled substances. For transfers of prescriptions for noncontrolled substances and controlled substances, pharmacies that share a real-time, online database may transfer up to the maximum refills permitted by law and the prescriber’s authorization. A prescription for a controlled substance transferred between two pharmacies which do not share a real-time, online database may only be transferred one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7634B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8169B</w:t>
      </w:r>
      <w:r>
        <w:rPr>
          <w:rFonts w:ascii="Times New Roman" w:hAnsi="Times New Roman"/>
          <w:b w:val="false"/>
          <w:i w:val="false"/>
          <w:color w:val="000000"/>
          <w:sz w:val="16"/>
        </w:rPr>
        <w:t>, IAB 9/23/09, effective 10/28/09</w:t>
      </w:r>
      <w:r>
        <w:rPr>
          <w:rFonts w:ascii="Times New Roman" w:hAnsi="Times New Roman"/>
          <w:b w:val="false"/>
          <w:i w:val="false"/>
          <w:color w:val="000000"/>
          <w:sz w:val="16"/>
        </w:rPr>
        <w:t xml:space="preserve">; </w:t>
      </w:r>
      <w:r>
        <w:rPr>
          <w:rFonts w:ascii="Times New Roman" w:hAnsi="Times New Roman"/>
          <w:b/>
          <w:i w:val="false"/>
          <w:color w:val="000000"/>
          <w:sz w:val="16"/>
        </w:rPr>
        <w:t>ARC 0343C</w:t>
      </w:r>
      <w:r>
        <w:rPr>
          <w:rFonts w:ascii="Times New Roman" w:hAnsi="Times New Roman"/>
          <w:b w:val="false"/>
          <w:i w:val="false"/>
          <w:color w:val="000000"/>
          <w:sz w:val="16"/>
        </w:rPr>
        <w:t>, IAB 10/3/12, effective 11/7/12</w:t>
      </w:r>
      <w:r>
        <w:rPr>
          <w:rFonts w:ascii="Times New Roman" w:hAnsi="Times New Roman"/>
          <w:b w:val="false"/>
          <w:i w:val="false"/>
          <w:color w:val="000000"/>
          <w:sz w:val="16"/>
        </w:rPr>
        <w:t xml:space="preserve">; </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4189C</w:t>
      </w:r>
      <w:r>
        <w:rPr>
          <w:rFonts w:ascii="Times New Roman" w:hAnsi="Times New Roman"/>
          <w:b w:val="false"/>
          <w:i w:val="false"/>
          <w:color w:val="000000"/>
          <w:sz w:val="16"/>
        </w:rPr>
        <w:t>, IAB 12/19/18, effective 1/23/19</w:t>
      </w:r>
      <w:r>
        <w:rPr>
          <w:rFonts w:ascii="Times New Roman" w:hAnsi="Times New Roman"/>
          <w:b w:val="false"/>
          <w:i w:val="false"/>
          <w:color w:val="000000"/>
          <w:sz w:val="16"/>
        </w:rPr>
        <w:t xml:space="preserve">; </w:t>
      </w:r>
      <w:r>
        <w:rPr>
          <w:rFonts w:ascii="Times New Roman" w:hAnsi="Times New Roman"/>
          <w:b/>
          <w:i w:val="false"/>
          <w:color w:val="000000"/>
          <w:sz w:val="16"/>
        </w:rPr>
        <w:t>ARC 5542C</w:t>
      </w:r>
      <w:r>
        <w:rPr>
          <w:rFonts w:ascii="Times New Roman" w:hAnsi="Times New Roman"/>
          <w:b w:val="false"/>
          <w:i w:val="false"/>
          <w:color w:val="000000"/>
          <w:sz w:val="16"/>
        </w:rPr>
        <w:t>, IAB 4/7/21, effective 5/12/21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657—6.10</w:t>
      </w:r>
      <w:r>
        <w:rPr>
          <w:rFonts w:ascii="Times New Roman" w:hAnsi="Times New Roman"/>
          <w:b/>
          <w:i w:val="false"/>
          <w:color w:val="000000"/>
          <w:sz w:val="22"/>
        </w:rPr>
        <w:t xml:space="preserve">(126,155A) </w:t>
      </w:r>
      <w:r>
        <w:rPr>
          <w:rFonts w:ascii="Times New Roman" w:hAnsi="Times New Roman"/>
          <w:b/>
          <w:i w:val="false"/>
          <w:color w:val="000000"/>
          <w:sz w:val="22"/>
        </w:rPr>
        <w:t xml:space="preserve">Prescription label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label affixed to or on the dispensing container of any prescription drug or device dispensed by a pharmacy pursuant to a prescription drug order shall bear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Serial number (a unique identification number of the prescription);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telephone number, and address of the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patient or, if such drug is prescribed for an animal, the species of the animal and the name of its owner, except as provided in </w:t>
      </w:r>
      <w:hyperlink r:id="rId28">
        <w:r>
          <w:rPr>
            <w:rStyle w:val="Hyperlink"/>
            <w:rFonts w:ascii="Times New Roman" w:hAnsi="Times New Roman"/>
            <w:b w:val="false"/>
            <w:i w:val="false"/>
            <w:color w:val="000000"/>
            <w:sz w:val="22"/>
          </w:rPr>
          <w:t>657—subrule 8.19(7)</w:t>
        </w:r>
      </w:hyperlink>
      <w:r>
        <w:rPr>
          <w:rFonts w:ascii="Times New Roman" w:hAnsi="Times New Roman"/>
          <w:b w:val="false"/>
          <w:i w:val="false"/>
          <w:color w:val="000000"/>
          <w:sz w:val="22"/>
        </w:rPr>
        <w:t xml:space="preserve"> for epinephrine auto-injectors, </w:t>
      </w:r>
      <w:hyperlink r:id="rId29">
        <w:r>
          <w:rPr>
            <w:rStyle w:val="Hyperlink"/>
            <w:rFonts w:ascii="Times New Roman" w:hAnsi="Times New Roman"/>
            <w:b w:val="false"/>
            <w:i w:val="false"/>
            <w:color w:val="000000"/>
            <w:sz w:val="22"/>
          </w:rPr>
          <w:t>657—subrule 8.19(8)</w:t>
        </w:r>
      </w:hyperlink>
      <w:r>
        <w:rPr>
          <w:rFonts w:ascii="Times New Roman" w:hAnsi="Times New Roman"/>
          <w:b w:val="false"/>
          <w:i w:val="false"/>
          <w:color w:val="000000"/>
          <w:sz w:val="22"/>
        </w:rPr>
        <w:t xml:space="preserve"> for opioid antagonists, </w:t>
      </w:r>
      <w:hyperlink r:id="rId30">
        <w:r>
          <w:rPr>
            <w:rStyle w:val="Hyperlink"/>
            <w:rFonts w:ascii="Times New Roman" w:hAnsi="Times New Roman"/>
            <w:b w:val="false"/>
            <w:i w:val="false"/>
            <w:color w:val="000000"/>
            <w:sz w:val="22"/>
          </w:rPr>
          <w:t>657—subrule 8.19(9)</w:t>
        </w:r>
      </w:hyperlink>
      <w:r>
        <w:rPr>
          <w:rFonts w:ascii="Times New Roman" w:hAnsi="Times New Roman"/>
          <w:b w:val="false"/>
          <w:i w:val="false"/>
          <w:color w:val="000000"/>
          <w:sz w:val="22"/>
        </w:rPr>
        <w:t xml:space="preserve"> for expedited partner therapy, or </w:t>
      </w:r>
      <w:hyperlink r:id="rId31">
        <w:r>
          <w:rPr>
            <w:rStyle w:val="Hyperlink"/>
            <w:rFonts w:ascii="Times New Roman" w:hAnsi="Times New Roman"/>
            <w:b w:val="false"/>
            <w:i w:val="false"/>
            <w:color w:val="000000"/>
            <w:sz w:val="22"/>
          </w:rPr>
          <w:t>657—subrule 8.19(10)</w:t>
        </w:r>
      </w:hyperlink>
      <w:r>
        <w:rPr>
          <w:rFonts w:ascii="Times New Roman" w:hAnsi="Times New Roman"/>
          <w:b w:val="false"/>
          <w:i w:val="false"/>
          <w:color w:val="000000"/>
          <w:sz w:val="22"/>
        </w:rPr>
        <w:t xml:space="preserve"> for bronchodilator canisters or bronchodilator canisters and spacers.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prescribing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the prescription is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directions or instructions for use, including precautions to be observed;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prescriber, the label shall bear the name, strength, and quantity of the drug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an equivalent drug product for a brand name drug product prescribed by a practitioner, the prescription container label shall identify the generic drug and may identify the brand name drug for which the selection is made, such as “(generic name) Generic for (brand name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 brand name drug product for a generic drug product prescribed by a practitioner, the prescription container label shall identify the brand name drug product dispensed and may identify the generic drug product ordered by the prescriber, such as “(brand name product) for (generic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pharmacist selects an interchangeable biological product for the biological product prescribed by a practitioner, the prescription container label shall identify the interchangeable biological product dispensed and may identify the biological product prescribed by the practitioner, such as “(interchangeable biological product) for (biological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initials or other unique identification of the dispensing pharmacist, unless the identification of the pharmacist involved in each step of the prescription filling process is electronically documented and retrievable.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requirements of subrule </w:t>
      </w:r>
      <w:hyperlink r:id="rId32">
        <w:r>
          <w:rPr>
            <w:rStyle w:val="Hyperlink"/>
            <w:rFonts w:ascii="Times New Roman" w:hAnsi="Times New Roman"/>
            <w:b w:val="false"/>
            <w:i w:val="false"/>
            <w:color w:val="000000"/>
            <w:sz w:val="22"/>
          </w:rPr>
          <w:t>6.10(1)</w:t>
        </w:r>
      </w:hyperlink>
      <w:r>
        <w:rPr>
          <w:rFonts w:ascii="Times New Roman" w:hAnsi="Times New Roman"/>
          <w:b w:val="false"/>
          <w:i w:val="false"/>
          <w:color w:val="000000"/>
          <w:sz w:val="22"/>
        </w:rPr>
        <w:t xml:space="preserve"> do not apply to unit dose dispensing systems, </w:t>
      </w:r>
      <w:hyperlink r:id="rId33">
        <w:r>
          <w:rPr>
            <w:rStyle w:val="Hyperlink"/>
            <w:rFonts w:ascii="Times New Roman" w:hAnsi="Times New Roman"/>
            <w:b w:val="false"/>
            <w:i w:val="false"/>
            <w:color w:val="000000"/>
            <w:sz w:val="22"/>
          </w:rPr>
          <w:t>657—22.1</w:t>
        </w:r>
      </w:hyperlink>
      <w:r>
        <w:rPr>
          <w:rFonts w:ascii="Times New Roman" w:hAnsi="Times New Roman"/>
          <w:b w:val="false"/>
          <w:i w:val="false"/>
          <w:color w:val="000000"/>
          <w:sz w:val="22"/>
        </w:rPr>
        <w:t xml:space="preserve">(155A), and patient med paks, </w:t>
      </w:r>
      <w:hyperlink r:id="rId34">
        <w:r>
          <w:rPr>
            <w:rStyle w:val="Hyperlink"/>
            <w:rFonts w:ascii="Times New Roman" w:hAnsi="Times New Roman"/>
            <w:b w:val="false"/>
            <w:i w:val="false"/>
            <w:color w:val="000000"/>
            <w:sz w:val="22"/>
          </w:rPr>
          <w:t>657—22.5</w:t>
        </w:r>
      </w:hyperlink>
      <w:r>
        <w:rPr>
          <w:rFonts w:ascii="Times New Roman" w:hAnsi="Times New Roman"/>
          <w:b w:val="false"/>
          <w:i w:val="false"/>
          <w:color w:val="000000"/>
          <w:sz w:val="22"/>
        </w:rPr>
        <w:t>(126,155A).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2194C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 xml:space="preserve">; </w:t>
      </w:r>
      <w:r>
        <w:rPr>
          <w:rFonts w:ascii="Times New Roman" w:hAnsi="Times New Roman"/>
          <w:b/>
          <w:i w:val="false"/>
          <w:color w:val="000000"/>
          <w:sz w:val="16"/>
        </w:rPr>
        <w:t>ARC 2414C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6953C</w:t>
      </w:r>
      <w:r>
        <w:rPr>
          <w:rFonts w:ascii="Times New Roman" w:hAnsi="Times New Roman"/>
          <w:b w:val="false"/>
          <w:i w:val="false"/>
          <w:color w:val="000000"/>
          <w:sz w:val="16"/>
        </w:rPr>
        <w:t>, IAB 3/22/23, effective 4/26/23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657—6.11</w:t>
      </w:r>
      <w:r>
        <w:rPr>
          <w:rFonts w:ascii="Times New Roman" w:hAnsi="Times New Roman"/>
          <w:b w:val="false"/>
          <w:i w:val="false"/>
          <w:color w:val="000000"/>
          <w:sz w:val="22"/>
        </w:rPr>
        <w:t xml:space="preserve"> and </w:t>
      </w:r>
      <w:r>
        <w:rPr>
          <w:rFonts w:ascii="Times New Roman" w:hAnsi="Times New Roman"/>
          <w:b/>
          <w:i w:val="false"/>
          <w:color w:val="000000"/>
          <w:sz w:val="22"/>
        </w:rPr>
        <w:t>6.12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657—6.13</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record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A patient record system shall be maintained by all pharmacies for patients for whom prescription drug orders are dispensed. The patient record system shall contain,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 and telephone number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Patient’s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Patient’s gender;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Known allergies;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prescription drug orders dispensed by the pharmacy during the two years immediately preceding the most recent entry showing the name of the drug or device, prescription number, name and strength of the drug, the quantity and date dispensed, and the name of the prescriber;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Pharmacist comments relevant to the patient’s health care,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Known drug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Identified idiosyncrasies,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chronic conditions or disease states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identity of any other drugs, over-the-counter drugs, herbals, supplements, other alternative medications, or devices currently being used by the patient that may relate to prospective drug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Record retained. </w:t>
      </w:r>
      <w:r>
        <w:rPr>
          <w:rFonts w:ascii="Times New Roman" w:hAnsi="Times New Roman"/>
          <w:b w:val="false"/>
          <w:i w:val="false"/>
          <w:color w:val="000000"/>
          <w:sz w:val="22"/>
        </w:rPr>
        <w:t>A patient record shall be maintained for a period of not less than two years from the date of the last entry in the patient record. This record may be a hard copy or a computerized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Confidential. </w:t>
      </w:r>
      <w:r>
        <w:rPr>
          <w:rFonts w:ascii="Times New Roman" w:hAnsi="Times New Roman"/>
          <w:b w:val="false"/>
          <w:i w:val="false"/>
          <w:color w:val="000000"/>
          <w:sz w:val="22"/>
        </w:rPr>
        <w:t xml:space="preserve">Information in the patient record shall be deemed to be confidential and may be released only as provided in rule </w:t>
      </w:r>
      <w:hyperlink r:id="rId35">
        <w:r>
          <w:rPr>
            <w:rStyle w:val="Hyperlink"/>
            <w:rFonts w:ascii="Times New Roman" w:hAnsi="Times New Roman"/>
            <w:b w:val="false"/>
            <w:i w:val="false"/>
            <w:color w:val="000000"/>
            <w:sz w:val="22"/>
          </w:rPr>
          <w:t>657—8.16</w:t>
        </w:r>
      </w:hyperlink>
      <w:r>
        <w:rPr>
          <w:rFonts w:ascii="Times New Roman" w:hAnsi="Times New Roman"/>
          <w:b w:val="false"/>
          <w:i w:val="false"/>
          <w:color w:val="000000"/>
          <w:sz w:val="22"/>
        </w:rPr>
        <w:t>(124,155A).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color w:val="000000"/>
          <w:sz w:val="22"/>
        </w:rPr>
        <w:t xml:space="preserve">Expedited partner therapy. </w:t>
      </w:r>
      <w:r>
        <w:rPr>
          <w:rFonts w:ascii="Times New Roman" w:hAnsi="Times New Roman"/>
          <w:b w:val="false"/>
          <w:i w:val="false"/>
          <w:color w:val="000000"/>
          <w:sz w:val="22"/>
        </w:rPr>
        <w:t xml:space="preserve">When a pharmacy dispenses a prescription drug pursuant to Iowa Code section </w:t>
      </w:r>
      <w:hyperlink r:id="rId36">
        <w:r>
          <w:rPr>
            <w:rStyle w:val="Hyperlink"/>
            <w:rFonts w:ascii="Times New Roman" w:hAnsi="Times New Roman"/>
            <w:b w:val="false"/>
            <w:i w:val="false"/>
            <w:color w:val="000000"/>
            <w:sz w:val="22"/>
          </w:rPr>
          <w:t>139A.41</w:t>
        </w:r>
      </w:hyperlink>
      <w:r>
        <w:rPr>
          <w:rFonts w:ascii="Times New Roman" w:hAnsi="Times New Roman"/>
          <w:b w:val="false"/>
          <w:i w:val="false"/>
          <w:color w:val="000000"/>
          <w:sz w:val="22"/>
        </w:rPr>
        <w:t xml:space="preserve"> and 657—subrule 8.19(9) for expedited partner therapy, a pharmacy is only required to maintain the information about the patient who is known to the pharmacy.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4903C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657—6.14</w:t>
      </w:r>
      <w:r>
        <w:rPr>
          <w:rFonts w:ascii="Times New Roman" w:hAnsi="Times New Roman"/>
          <w:b/>
          <w:i w:val="false"/>
          <w:color w:val="000000"/>
          <w:sz w:val="22"/>
        </w:rPr>
        <w:t xml:space="preserve">(155A) </w:t>
      </w:r>
      <w:r>
        <w:rPr>
          <w:rFonts w:ascii="Times New Roman" w:hAnsi="Times New Roman"/>
          <w:b/>
          <w:i w:val="false"/>
          <w:color w:val="000000"/>
          <w:sz w:val="22"/>
        </w:rPr>
        <w:t xml:space="preserve">Patient counseling and instruction. </w:t>
      </w:r>
      <w:r>
        <w:rPr>
          <w:rFonts w:ascii="Times New Roman" w:hAnsi="Times New Roman"/>
          <w:b w:val="false"/>
          <w:i w:val="false"/>
          <w:color w:val="000000"/>
          <w:sz w:val="22"/>
        </w:rPr>
        <w:t xml:space="preserve">Every pharmacy that is open to the public and located in Iowa shall post in every prescription pickup area, including in every drive-through prescription pickup lane, in a manner clearly visible to patients, a notice that Iowa law requires the pharmacist to discuss with the patient any prescriptions dispensed to the patient that are new or a change in drug therapy.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Counseling required. </w:t>
      </w:r>
      <w:r>
        <w:rPr>
          <w:rFonts w:ascii="Times New Roman" w:hAnsi="Times New Roman"/>
          <w:b w:val="false"/>
          <w:i w:val="false"/>
          <w:color w:val="000000"/>
          <w:sz w:val="22"/>
        </w:rPr>
        <w:t>Upon receipt of a new prescription drug order, or upon receipt of a change in drug therapy including but not limited to a change of dose, directions, or drug formulation, and following a prospective drug use review pursuant to rule </w:t>
      </w:r>
      <w:hyperlink r:id="rId37">
        <w:r>
          <w:rPr>
            <w:rStyle w:val="Hyperlink"/>
            <w:rFonts w:ascii="Times New Roman" w:hAnsi="Times New Roman"/>
            <w:b w:val="false"/>
            <w:i w:val="false"/>
            <w:color w:val="000000"/>
            <w:sz w:val="22"/>
          </w:rPr>
          <w:t>657—8.21</w:t>
        </w:r>
      </w:hyperlink>
      <w:r>
        <w:rPr>
          <w:rFonts w:ascii="Times New Roman" w:hAnsi="Times New Roman"/>
          <w:b w:val="false"/>
          <w:i w:val="false"/>
          <w:color w:val="000000"/>
          <w:sz w:val="22"/>
        </w:rPr>
        <w:t>(155A), a pharmacist or pharmacist-intern shall counsel each patient or patient’s caregiver. An offer to counsel shall not fulfill the requirements of this rule. Patient counseling shall be on matters which, in the pharmacist’s professional judgment, will enhance or optimize drug therapy. Appropriate elements of patient counseling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description of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dosage form, dose, route of administration, and duration of drug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Intended use of the drug, if known, and expected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Special directions and precautions for preparation, administration, and use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Common severe side effects or adverse effects or interactions and therapeutic contraindications that may be encountered, including their avoidance, and the action required if they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Techniques for self-monitoring drug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Proper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Prescription refill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Action to be taken in the event of a missed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Pharmacist comments relevant to the individual’s drug therapy including any other information peculiar to the specific patient or drug.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A pharmacist may instruct patients and demonstrate procedures for self-monitoring of medical conditions and for self-administration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Counseling area. </w:t>
      </w:r>
      <w:r>
        <w:rPr>
          <w:rFonts w:ascii="Times New Roman" w:hAnsi="Times New Roman"/>
          <w:b w:val="false"/>
          <w:i w:val="false"/>
          <w:color w:val="000000"/>
          <w:sz w:val="22"/>
        </w:rPr>
        <w:t>A pharmacy shall contain an area which is suitable for confidential patient counseling. Such area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easily accessible to both patient and pharmacists and not allow patient access to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designed to maintain the confidentiality and privacy of the pharmacist/patient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6.14(4)</w:t>
      </w:r>
      <w:r>
        <w:rPr>
          <w:rFonts w:ascii="Times New Roman" w:hAnsi="Times New Roman"/>
          <w:b w:val="false"/>
          <w:i w:val="false"/>
          <w:color w:val="000000"/>
          <w:sz w:val="22"/>
        </w:rPr>
        <w:t> </w:t>
      </w:r>
      <w:r>
        <w:rPr>
          <w:rFonts w:ascii="Times New Roman" w:hAnsi="Times New Roman"/>
          <w:b w:val="false"/>
          <w:i/>
          <w:color w:val="000000"/>
          <w:sz w:val="22"/>
        </w:rPr>
        <w:t xml:space="preserve">Remote counseling. </w:t>
      </w:r>
      <w:r>
        <w:rPr>
          <w:rFonts w:ascii="Times New Roman" w:hAnsi="Times New Roman"/>
          <w:b w:val="false"/>
          <w:i w:val="false"/>
          <w:color w:val="000000"/>
          <w:sz w:val="22"/>
        </w:rPr>
        <w:t>Patient counseling that is provided by the pharmacy via a pharmacist who is at a location other than the licensed pharmacy shall be provided via a real-time interactive communication mechanism.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6.14(5)</w:t>
      </w:r>
      <w:r>
        <w:rPr>
          <w:rFonts w:ascii="Times New Roman" w:hAnsi="Times New Roman"/>
          <w:b w:val="false"/>
          <w:i w:val="false"/>
          <w:color w:val="000000"/>
          <w:sz w:val="22"/>
        </w:rPr>
        <w:t> </w:t>
      </w:r>
      <w:r>
        <w:rPr>
          <w:rFonts w:ascii="Times New Roman" w:hAnsi="Times New Roman"/>
          <w:b w:val="false"/>
          <w:i/>
          <w:color w:val="000000"/>
          <w:sz w:val="22"/>
        </w:rPr>
        <w:t xml:space="preserve">Oral counseling not practicable. </w:t>
      </w:r>
      <w:r>
        <w:rPr>
          <w:rFonts w:ascii="Times New Roman" w:hAnsi="Times New Roman"/>
          <w:b w:val="false"/>
          <w:i w:val="false"/>
          <w:color w:val="000000"/>
          <w:sz w:val="22"/>
        </w:rPr>
        <w:t>If in the pharmacist’s professional judgment oral counseling is not practicable, the pharmacist may select and use alternative forms of patient information which shall include information for the patient or patient’s caregiver to contact the pharmacist for further consultation. The manner in which the patient or caregiver contacts the pharmacist shall not cause the patient to incur any expense. “Not practicable” refers to patient variables including, but not limited to, the absence of the patient or patient’s caregiver, the patient’s or caregiver’s hearing disorder, or a language barrier. “Not practicable” does not include pharmacy variables such as inadequate staffing, technology failure, or high prescription volume. A combination of oral counseling and alternative forms of counseling is encouraged.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6.14(6)</w:t>
      </w: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Patient counseling, as described above, shall not be required for inpatients of an institution where other licensed health care professionals are authorized to administer the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6.14(7)</w:t>
      </w:r>
      <w:r>
        <w:rPr>
          <w:rFonts w:ascii="Times New Roman" w:hAnsi="Times New Roman"/>
          <w:b w:val="false"/>
          <w:i w:val="false"/>
          <w:color w:val="000000"/>
          <w:sz w:val="22"/>
        </w:rPr>
        <w:t> </w:t>
      </w:r>
      <w:r>
        <w:rPr>
          <w:rFonts w:ascii="Times New Roman" w:hAnsi="Times New Roman"/>
          <w:b w:val="false"/>
          <w:i/>
          <w:color w:val="000000"/>
          <w:sz w:val="22"/>
        </w:rPr>
        <w:t xml:space="preserve">Refusal of consultation. </w:t>
      </w:r>
      <w:r>
        <w:rPr>
          <w:rFonts w:ascii="Times New Roman" w:hAnsi="Times New Roman"/>
          <w:b w:val="false"/>
          <w:i w:val="false"/>
          <w:color w:val="000000"/>
          <w:sz w:val="22"/>
        </w:rPr>
        <w:t>A pharmacist shall not be required to counsel a patient or caregiver when the patient or caregiver refuses such consultation. A patient’s or caregiver’s refusal of consultation shall be documented by the pharmacist. The absence of any record of a refusal of the pharmacist’s attempt to counsel shall be presumed to signify that counseling was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8540B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9910B</w:t>
      </w:r>
      <w:r>
        <w:rPr>
          <w:rFonts w:ascii="Times New Roman" w:hAnsi="Times New Roman"/>
          <w:b w:val="false"/>
          <w:i w:val="false"/>
          <w:color w:val="000000"/>
          <w:sz w:val="16"/>
        </w:rPr>
        <w:t>, IAB 12/14/11, effective 1/18/12</w:t>
      </w:r>
      <w:r>
        <w:rPr>
          <w:rFonts w:ascii="Times New Roman" w:hAnsi="Times New Roman"/>
          <w:b w:val="false"/>
          <w:i w:val="false"/>
          <w:color w:val="000000"/>
          <w:sz w:val="16"/>
        </w:rPr>
        <w:t xml:space="preserve">; </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5913C</w:t>
      </w:r>
      <w:r>
        <w:rPr>
          <w:rFonts w:ascii="Times New Roman" w:hAnsi="Times New Roman"/>
          <w:b w:val="false"/>
          <w:i w:val="false"/>
          <w:color w:val="000000"/>
          <w:sz w:val="16"/>
        </w:rPr>
        <w:t>, IAB 9/22/21, effective 10/27/21</w:t>
      </w:r>
      <w:r>
        <w:rPr>
          <w:rFonts w:ascii="Times New Roman" w:hAnsi="Times New Roman"/>
          <w:b w:val="false"/>
          <w:i w:val="false"/>
          <w:color w:val="000000"/>
          <w:sz w:val="16"/>
        </w:rPr>
        <w:t xml:space="preserve">; </w:t>
      </w:r>
      <w:r>
        <w:rPr>
          <w:rFonts w:ascii="Times New Roman" w:hAnsi="Times New Roman"/>
          <w:b/>
          <w:i w:val="false"/>
          <w:color w:val="000000"/>
          <w:sz w:val="16"/>
        </w:rPr>
        <w:t>ARC 6416C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657—6.15</w:t>
      </w:r>
      <w:r>
        <w:rPr>
          <w:rFonts w:ascii="Times New Roman" w:hAnsi="Times New Roman"/>
          <w:b/>
          <w:i w:val="false"/>
          <w:color w:val="000000"/>
          <w:sz w:val="22"/>
        </w:rPr>
        <w:t xml:space="preserve">(124,126) </w:t>
      </w:r>
      <w:r>
        <w:rPr>
          <w:rFonts w:ascii="Times New Roman" w:hAnsi="Times New Roman"/>
          <w:b/>
          <w:i w:val="false"/>
          <w:color w:val="000000"/>
          <w:sz w:val="22"/>
        </w:rPr>
        <w:t xml:space="preserve">Return of drugs and devices. </w:t>
      </w:r>
      <w:r>
        <w:rPr>
          <w:rFonts w:ascii="Times New Roman" w:hAnsi="Times New Roman"/>
          <w:b w:val="false"/>
          <w:i w:val="false"/>
          <w:color w:val="000000"/>
          <w:sz w:val="22"/>
        </w:rPr>
        <w:t>For the protection of the public health and safety, prescription drugs and devices may be returned to the pharmacy for reuse or resale only as herein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color w:val="000000"/>
          <w:sz w:val="22"/>
        </w:rPr>
        <w:t xml:space="preserve">Integrity maintained. </w:t>
      </w:r>
      <w:r>
        <w:rPr>
          <w:rFonts w:ascii="Times New Roman" w:hAnsi="Times New Roman"/>
          <w:b w:val="false"/>
          <w:i w:val="false"/>
          <w:color w:val="000000"/>
          <w:sz w:val="22"/>
        </w:rPr>
        <w:t>Prescription drugs and devices may be returned, exchanged, or resold only if, in the professional judgment of the pharmacist, the integrity of the prescription drug or device has not in any way been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substances. </w:t>
      </w:r>
      <w:r>
        <w:rPr>
          <w:rFonts w:ascii="Times New Roman" w:hAnsi="Times New Roman"/>
          <w:b w:val="false"/>
          <w:i w:val="false"/>
          <w:color w:val="000000"/>
          <w:sz w:val="22"/>
        </w:rPr>
        <w:t>Under no circumstances shall pharmacy personnel accept from a patient or a patient’s agent any controlled substances for return, exchange, or resale except to the same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color w:val="000000"/>
          <w:sz w:val="22"/>
        </w:rPr>
        <w:t xml:space="preserve">Unit dose returns. </w:t>
      </w:r>
      <w:r>
        <w:rPr>
          <w:rFonts w:ascii="Times New Roman" w:hAnsi="Times New Roman"/>
          <w:b w:val="false"/>
          <w:i w:val="false"/>
          <w:color w:val="000000"/>
          <w:sz w:val="22"/>
        </w:rPr>
        <w:t xml:space="preserve">Prescription drugs dispensed in unit dose packaging, excluding controlled substances, may be returned and reused as authorized in </w:t>
      </w:r>
      <w:hyperlink r:id="rId38">
        <w:r>
          <w:rPr>
            <w:rStyle w:val="Hyperlink"/>
            <w:rFonts w:ascii="Times New Roman" w:hAnsi="Times New Roman"/>
            <w:b w:val="false"/>
            <w:i w:val="false"/>
            <w:color w:val="000000"/>
            <w:sz w:val="22"/>
          </w:rPr>
          <w:t>657—subrule 22.1(6)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657—6.16</w:t>
      </w:r>
      <w:r>
        <w:rPr>
          <w:rFonts w:ascii="Times New Roman" w:hAnsi="Times New Roman"/>
          <w:b/>
          <w:i w:val="false"/>
          <w:color w:val="000000"/>
          <w:sz w:val="22"/>
        </w:rPr>
        <w:t xml:space="preserve">(124,155A) </w:t>
      </w:r>
      <w:r>
        <w:rPr>
          <w:rFonts w:ascii="Times New Roman" w:hAnsi="Times New Roman"/>
          <w:b/>
          <w:i w:val="false"/>
          <w:color w:val="000000"/>
          <w:sz w:val="22"/>
        </w:rPr>
        <w:t xml:space="preserve">Records. </w:t>
      </w:r>
      <w:r>
        <w:rPr>
          <w:rFonts w:ascii="Times New Roman" w:hAnsi="Times New Roman"/>
          <w:b w:val="false"/>
          <w:i w:val="false"/>
          <w:color w:val="000000"/>
          <w:sz w:val="22"/>
        </w:rPr>
        <w:t xml:space="preserve">Every record required to be kept under Iowa Code chapters </w:t>
      </w:r>
      <w:hyperlink r:id="rId3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or rules of the board shall be kept by the pharmacy and be available for inspection and copying by the board or its representative for at least two years from the date of the record or last activity except as specifically identified by law or rule. Controlled substances records shall be maintained in a readily retrievable manner in accordance with federal requirements and </w:t>
      </w:r>
      <w:hyperlink r:id="rId41">
        <w:r>
          <w:rPr>
            <w:rStyle w:val="Hyperlink"/>
            <w:rFonts w:ascii="Times New Roman" w:hAnsi="Times New Roman"/>
            <w:b w:val="false"/>
            <w:i w:val="false"/>
            <w:color w:val="000000"/>
            <w:sz w:val="22"/>
          </w:rPr>
          <w:t>657—Chapter 10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Combined records. </w:t>
      </w:r>
      <w:r>
        <w:rPr>
          <w:rFonts w:ascii="Times New Roman" w:hAnsi="Times New Roman"/>
          <w:b w:val="false"/>
          <w:i w:val="false"/>
          <w:color w:val="000000"/>
          <w:sz w:val="22"/>
        </w:rPr>
        <w:t>If controlled substances, prescription drugs, or nonprescription drug items are listed on the same record, the controlled substances shall be asterisked, red-lined, or in some other manner made readily identifiable from all other items appearing on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 Storage of records. </w:t>
      </w:r>
      <w:r>
        <w:rPr>
          <w:rFonts w:ascii="Times New Roman" w:hAnsi="Times New Roman"/>
          <w:b w:val="false"/>
          <w:i w:val="false"/>
          <w:color w:val="000000"/>
          <w:sz w:val="22"/>
        </w:rPr>
        <w:t>Original hard-copy prescriptions and other pharmacy records shall be maintained by the pharmacy for a minimum of two years from the date of the record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maintained within the licensed pharmacy department for a minimum of 12 months, except as provided herein. Pharmacy records less than 12 months old may be stored in a secure storage area outside the licensed pharmacy department, including at a remote location, if the pharmacy has retained an electronic copy of the records in the pharmacy that is immediately available and if the original records are available within 72 hours of a request by the board or its authorized agent, unless such remote storage is prohibited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more than 12 months old may be maintained in a secure storage area outside the licensed pharmacy department, including at a remote location, if the records are retrievable within 72 hours of a request by the board or its authorized agent, unless such remote storage is prohibited under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Number imprinted. </w:t>
      </w:r>
      <w:r>
        <w:rPr>
          <w:rFonts w:ascii="Times New Roman" w:hAnsi="Times New Roman"/>
          <w:b w:val="false"/>
          <w:i w:val="false"/>
          <w:color w:val="000000"/>
          <w:sz w:val="22"/>
        </w:rPr>
        <w:t xml:space="preserve">The original hard-copy prescription shall be imprinted with the prescription or control number assigned to the prescription drug order, except as provided in </w:t>
      </w:r>
      <w:hyperlink r:id="rId42">
        <w:r>
          <w:rPr>
            <w:rStyle w:val="Hyperlink"/>
            <w:rFonts w:ascii="Times New Roman" w:hAnsi="Times New Roman"/>
            <w:b w:val="false"/>
            <w:i w:val="false"/>
            <w:color w:val="000000"/>
            <w:sz w:val="22"/>
          </w:rPr>
          <w:t>657—subrule 21.5(1)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Alternative data retention system. </w:t>
      </w:r>
      <w:r>
        <w:rPr>
          <w:rFonts w:ascii="Times New Roman" w:hAnsi="Times New Roman"/>
          <w:b w:val="false"/>
          <w:i w:val="false"/>
          <w:color w:val="000000"/>
          <w:sz w:val="22"/>
        </w:rPr>
        <w:t>Records, except when specifically required to be maintained in original or hard-copy form, may be maintained in an alternative data retention system, such as a data processing system or direct imaging system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records maintained in the alternative system contain all of the information required on the manual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data processing system is capable of producing a hard copy of the record, within two business days, upon the request of the board, its representative, or other authorized local, state, or federal law enforcement or regulatory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information maintained in the alternative system is not obscured or rendered illegible due to security features of the original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7636B</w:t>
      </w:r>
      <w:r>
        <w:rPr>
          <w:rFonts w:ascii="Times New Roman" w:hAnsi="Times New Roman"/>
          <w:b w:val="false"/>
          <w:i w:val="false"/>
          <w:color w:val="000000"/>
          <w:sz w:val="16"/>
        </w:rPr>
        <w:t>, IAB 3/11/09, effective 4/15/09</w:t>
      </w:r>
      <w:r>
        <w:rPr>
          <w:rFonts w:ascii="Times New Roman" w:hAnsi="Times New Roman"/>
          <w:b w:val="false"/>
          <w:i w:val="false"/>
          <w:color w:val="000000"/>
          <w:sz w:val="16"/>
        </w:rPr>
        <w:t xml:space="preserve">; </w:t>
      </w:r>
      <w:r>
        <w:rPr>
          <w:rFonts w:ascii="Times New Roman" w:hAnsi="Times New Roman"/>
          <w:b/>
          <w:i w:val="false"/>
          <w:color w:val="000000"/>
          <w:sz w:val="16"/>
        </w:rPr>
        <w:t>ARC 8539B</w:t>
      </w:r>
      <w:r>
        <w:rPr>
          <w:rFonts w:ascii="Times New Roman" w:hAnsi="Times New Roman"/>
          <w:b w:val="false"/>
          <w:i w:val="false"/>
          <w:color w:val="000000"/>
          <w:sz w:val="16"/>
        </w:rPr>
        <w:t>, IAB 2/24/10, effective 4/1/10</w:t>
      </w:r>
      <w:r>
        <w:rPr>
          <w:rFonts w:ascii="Times New Roman" w:hAnsi="Times New Roman"/>
          <w:b w:val="false"/>
          <w:i w:val="false"/>
          <w:color w:val="000000"/>
          <w:sz w:val="16"/>
        </w:rPr>
        <w:t xml:space="preserve">; </w:t>
      </w:r>
      <w:r>
        <w:rPr>
          <w:rFonts w:ascii="Times New Roman" w:hAnsi="Times New Roman"/>
          <w:b/>
          <w:i w:val="false"/>
          <w:color w:val="000000"/>
          <w:sz w:val="16"/>
        </w:rPr>
        <w:t>ARC 3638C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5007C</w:t>
      </w:r>
      <w:r>
        <w:rPr>
          <w:rFonts w:ascii="Times New Roman" w:hAnsi="Times New Roman"/>
          <w:b w:val="false"/>
          <w:i w:val="false"/>
          <w:color w:val="000000"/>
          <w:sz w:val="16"/>
        </w:rPr>
        <w:t>, IAB 3/25/20, effective 4/29/20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124.301</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124.303</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124.306</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126.10</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126.11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155A.6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155A.13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155A.27</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155A.28</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155A.31</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155A.33 through 155A.36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5/16/67; amended 11/14/73]</w:t>
      </w:r>
    </w:p>
    <w:p>
      <w:pPr>
        <w:spacing w:before="0" w:after="0"/>
        <w:ind w:left="120"/>
        <w:jc w:val="center"/>
      </w:pPr>
      <w:r>
        <w:rPr>
          <w:rFonts w:ascii="Times New Roman" w:hAnsi="Times New Roman"/>
          <w:b w:val="false"/>
          <w:i w:val="false"/>
          <w:color w:val="000000"/>
          <w:sz w:val="21"/>
        </w:rPr>
        <w:t>[Filed 6/1/84, Notice 3/14/84—published 6/20/84, effective 7/25/84]</w:t>
      </w:r>
    </w:p>
    <w:p>
      <w:pPr>
        <w:spacing w:before="0" w:after="0"/>
        <w:ind w:left="120"/>
        <w:jc w:val="center"/>
      </w:pPr>
      <w:r>
        <w:rPr>
          <w:rFonts w:ascii="Times New Roman" w:hAnsi="Times New Roman"/>
          <w:b w:val="false"/>
          <w:i w:val="false"/>
          <w:color w:val="000000"/>
          <w:sz w:val="21"/>
        </w:rPr>
        <w:t>[Filed 5/14/86, Notice 4/9/86—published 6/4/86, effective 7/9/86]</w:t>
      </w:r>
    </w:p>
    <w:p>
      <w:pPr>
        <w:spacing w:before="0" w:after="0"/>
        <w:ind w:left="120"/>
        <w:jc w:val="center"/>
      </w:pPr>
      <w:r>
        <w:rPr>
          <w:rFonts w:ascii="Times New Roman" w:hAnsi="Times New Roman"/>
          <w:b w:val="false"/>
          <w:i w:val="false"/>
          <w:color w:val="000000"/>
          <w:sz w:val="21"/>
        </w:rPr>
        <w:t>[Filed 1/28/87, Notice 11/19/86—published 2/25/87, effective 4/1/87]</w:t>
      </w:r>
    </w:p>
    <w:p>
      <w:pPr>
        <w:spacing w:before="0" w:after="0"/>
        <w:ind w:left="120"/>
        <w:jc w:val="center"/>
      </w:pPr>
      <w:r>
        <w:rPr>
          <w:rFonts w:ascii="Times New Roman" w:hAnsi="Times New Roman"/>
          <w:b w:val="false"/>
          <w:i w:val="false"/>
          <w:color w:val="000000"/>
          <w:sz w:val="21"/>
        </w:rPr>
        <w:t>[Filed 11/25/87, Notice 10/7/87—published 12/16/87, effective 1/20/88]</w:t>
      </w:r>
    </w:p>
    <w:p>
      <w:pPr>
        <w:spacing w:before="0" w:after="0"/>
        <w:ind w:left="120"/>
        <w:jc w:val="center"/>
      </w:pPr>
      <w:r>
        <w:rPr>
          <w:rFonts w:ascii="Times New Roman" w:hAnsi="Times New Roman"/>
          <w:b w:val="false"/>
          <w:i w:val="false"/>
          <w:color w:val="000000"/>
          <w:sz w:val="21"/>
        </w:rPr>
        <w:t>[Filed emergency 1/21/88—published 2/10/88, effective 1/22/88]</w:t>
      </w:r>
    </w:p>
    <w:p>
      <w:pPr>
        <w:spacing w:before="0" w:after="0"/>
        <w:ind w:left="120"/>
        <w:jc w:val="center"/>
      </w:pPr>
      <w:r>
        <w:rPr>
          <w:rFonts w:ascii="Times New Roman" w:hAnsi="Times New Roman"/>
          <w:b w:val="false"/>
          <w:i w:val="false"/>
          <w:color w:val="000000"/>
          <w:sz w:val="21"/>
        </w:rPr>
        <w:t>[Filed 11/17/88, Notice 8/24/88—published 12/14/88, effective 1/18/89]</w:t>
      </w:r>
    </w:p>
    <w:p>
      <w:pPr>
        <w:spacing w:before="0" w:after="0"/>
        <w:ind w:left="120"/>
        <w:jc w:val="center"/>
      </w:pPr>
      <w:r>
        <w:rPr>
          <w:rFonts w:ascii="Times New Roman" w:hAnsi="Times New Roman"/>
          <w:b w:val="false"/>
          <w:i w:val="false"/>
          <w:color w:val="000000"/>
          <w:sz w:val="21"/>
        </w:rPr>
        <w:t>[Filed emergency 5/16/89—published 6/14/89, effective 5/17/89]</w:t>
      </w:r>
    </w:p>
    <w:p>
      <w:pPr>
        <w:spacing w:before="0" w:after="0"/>
        <w:ind w:left="120"/>
        <w:jc w:val="center"/>
      </w:pPr>
      <w:r>
        <w:rPr>
          <w:rFonts w:ascii="Times New Roman" w:hAnsi="Times New Roman"/>
          <w:b w:val="false"/>
          <w:i w:val="false"/>
          <w:color w:val="000000"/>
          <w:sz w:val="21"/>
        </w:rPr>
        <w:t>[Filed 9/12/89, Notice 6/14/89—published 10/4/89, effective 11/8/89]</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7/30/91, Notice 5/29/91—published 8/21/91, effective 9/25/91]</w:t>
      </w:r>
    </w:p>
    <w:p>
      <w:pPr>
        <w:spacing w:before="0" w:after="0"/>
        <w:ind w:left="120"/>
        <w:jc w:val="center"/>
      </w:pPr>
      <w:r>
        <w:rPr>
          <w:rFonts w:ascii="Times New Roman" w:hAnsi="Times New Roman"/>
          <w:b w:val="false"/>
          <w:i w:val="false"/>
          <w:color w:val="000000"/>
          <w:sz w:val="21"/>
        </w:rPr>
        <w:t>[Filed 9/23/93, Notice 5/26/93—published 10/13/93, effective 11/17/93]</w:t>
      </w:r>
    </w:p>
    <w:p>
      <w:pPr>
        <w:spacing w:before="0" w:after="0"/>
        <w:ind w:left="120"/>
        <w:jc w:val="center"/>
      </w:pPr>
      <w:r>
        <w:rPr>
          <w:rFonts w:ascii="Times New Roman" w:hAnsi="Times New Roman"/>
          <w:b w:val="false"/>
          <w:i w:val="false"/>
          <w:color w:val="000000"/>
          <w:sz w:val="21"/>
        </w:rPr>
        <w:t>[Filed 3/21/94, Notice 10/13/93—published 4/13/94, effective 5/18/94]</w:t>
      </w:r>
    </w:p>
    <w:p>
      <w:pPr>
        <w:spacing w:before="0" w:after="0"/>
        <w:ind w:left="120"/>
        <w:jc w:val="center"/>
      </w:pPr>
      <w:r>
        <w:rPr>
          <w:rFonts w:ascii="Times New Roman" w:hAnsi="Times New Roman"/>
          <w:b w:val="false"/>
          <w:i w:val="false"/>
          <w:color w:val="000000"/>
          <w:sz w:val="21"/>
        </w:rPr>
        <w:t>[Filed 2/27/97, Notice 1/1/97—published 3/26/97, effective 4/30/97]</w:t>
      </w:r>
    </w:p>
    <w:p>
      <w:pPr>
        <w:spacing w:before="0" w:after="0"/>
        <w:ind w:left="120"/>
        <w:jc w:val="center"/>
      </w:pPr>
      <w:r>
        <w:rPr>
          <w:rFonts w:ascii="Times New Roman" w:hAnsi="Times New Roman"/>
          <w:b w:val="false"/>
          <w:i w:val="false"/>
          <w:color w:val="000000"/>
          <w:sz w:val="21"/>
        </w:rPr>
        <w:t>[Filed 9/16/97, Notice 7/16/97—published 10/8/97, effective 11/12/97]</w:t>
      </w:r>
    </w:p>
    <w:p>
      <w:pPr>
        <w:spacing w:before="0" w:after="0"/>
        <w:ind w:left="120"/>
        <w:jc w:val="center"/>
      </w:pPr>
      <w:r>
        <w:rPr>
          <w:rFonts w:ascii="Times New Roman" w:hAnsi="Times New Roman"/>
          <w:b w:val="false"/>
          <w:i w:val="false"/>
          <w:color w:val="000000"/>
          <w:sz w:val="21"/>
        </w:rPr>
        <w:t>[Filed 4/24/98, Notice 3/11/98—published 5/20/98, effective 6/24/98]</w:t>
      </w:r>
    </w:p>
    <w:p>
      <w:pPr>
        <w:spacing w:before="0" w:after="0"/>
        <w:ind w:left="120"/>
        <w:jc w:val="center"/>
      </w:pPr>
      <w:r>
        <w:rPr>
          <w:rFonts w:ascii="Times New Roman" w:hAnsi="Times New Roman"/>
          <w:b w:val="false"/>
          <w:i w:val="false"/>
          <w:color w:val="000000"/>
          <w:sz w:val="21"/>
        </w:rPr>
        <w:t>[Filed 2/22/99, Notices 10/21/98—published 3/10/99, effective 4/14/99]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4/22/99, Notice 3/10/99—published 5/19/99, effective 6/23/99]</w:t>
      </w:r>
    </w:p>
    <w:p>
      <w:pPr>
        <w:spacing w:before="0" w:after="0"/>
        <w:ind w:left="120"/>
        <w:jc w:val="center"/>
      </w:pPr>
      <w:r>
        <w:rPr>
          <w:rFonts w:ascii="Times New Roman" w:hAnsi="Times New Roman"/>
          <w:b w:val="false"/>
          <w:i w:val="false"/>
          <w:color w:val="000000"/>
          <w:sz w:val="21"/>
        </w:rPr>
        <w:t>[Filed 9/8/99, Notice 6/2/99—published 10/6/99, effective 11/10/99]</w:t>
      </w:r>
    </w:p>
    <w:p>
      <w:pPr>
        <w:spacing w:before="0" w:after="0"/>
        <w:ind w:left="120"/>
        <w:jc w:val="center"/>
      </w:pPr>
      <w:r>
        <w:rPr>
          <w:rFonts w:ascii="Times New Roman" w:hAnsi="Times New Roman"/>
          <w:b w:val="false"/>
          <w:i w:val="false"/>
          <w:color w:val="000000"/>
          <w:sz w:val="21"/>
        </w:rPr>
        <w:t>[Filed 2/7/01, Notice 10/18/00—published 3/7/01, effective 4/11/01]</w:t>
      </w:r>
    </w:p>
    <w:p>
      <w:pPr>
        <w:spacing w:before="0" w:after="0"/>
        <w:ind w:left="120"/>
        <w:jc w:val="center"/>
      </w:pPr>
      <w:r>
        <w:rPr>
          <w:rFonts w:ascii="Times New Roman" w:hAnsi="Times New Roman"/>
          <w:b w:val="false"/>
          <w:i w:val="false"/>
          <w:color w:val="000000"/>
          <w:sz w:val="21"/>
        </w:rPr>
        <w:t>[Filed 8/14/02, Notice 6/12/02—published 9/4/02, effective 10/9/02]</w:t>
      </w:r>
    </w:p>
    <w:p>
      <w:pPr>
        <w:spacing w:before="0" w:after="0"/>
        <w:ind w:left="120"/>
        <w:jc w:val="center"/>
      </w:pPr>
      <w:r>
        <w:rPr>
          <w:rFonts w:ascii="Times New Roman" w:hAnsi="Times New Roman"/>
          <w:b w:val="false"/>
          <w:i w:val="false"/>
          <w:color w:val="000000"/>
          <w:sz w:val="21"/>
        </w:rPr>
        <w:t>[Filed emergency 3/26/03 after Notice 11/13/02—published 4/16/03, effective 3/26/03]</w:t>
      </w:r>
    </w:p>
    <w:p>
      <w:pPr>
        <w:spacing w:before="0" w:after="0"/>
        <w:ind w:left="120"/>
        <w:jc w:val="center"/>
      </w:pPr>
      <w:r>
        <w:rPr>
          <w:rFonts w:ascii="Times New Roman" w:hAnsi="Times New Roman"/>
          <w:b w:val="false"/>
          <w:i w:val="false"/>
          <w:color w:val="000000"/>
          <w:sz w:val="21"/>
        </w:rPr>
        <w:t>[Filed 7/15/03, Notice 4/16/03—published 8/6/03, effective 9/10/03]</w:t>
      </w:r>
    </w:p>
    <w:p>
      <w:pPr>
        <w:spacing w:before="0" w:after="0"/>
        <w:ind w:left="120"/>
        <w:jc w:val="center"/>
      </w:pPr>
      <w:r>
        <w:rPr>
          <w:rFonts w:ascii="Times New Roman" w:hAnsi="Times New Roman"/>
          <w:b w:val="false"/>
          <w:i w:val="false"/>
          <w:color w:val="000000"/>
          <w:sz w:val="21"/>
        </w:rPr>
        <w:t>[Filed 10/22/04, Notice 3/31/04—published 11/10/04, effective 12/15/04]</w:t>
      </w:r>
    </w:p>
    <w:p>
      <w:pPr>
        <w:spacing w:before="0" w:after="0"/>
        <w:ind w:left="120"/>
        <w:jc w:val="center"/>
      </w:pPr>
      <w:r>
        <w:rPr>
          <w:rFonts w:ascii="Times New Roman" w:hAnsi="Times New Roman"/>
          <w:b w:val="false"/>
          <w:i w:val="false"/>
          <w:color w:val="000000"/>
          <w:sz w:val="21"/>
        </w:rPr>
        <w:t>[Filed 6/2/05, Notice 1/19/05—published 6/22/05, effective 7/27/05]</w:t>
      </w:r>
    </w:p>
    <w:p>
      <w:pPr>
        <w:spacing w:before="0" w:after="0"/>
        <w:ind w:left="120"/>
        <w:jc w:val="center"/>
      </w:pPr>
      <w:r>
        <w:rPr>
          <w:rFonts w:ascii="Times New Roman" w:hAnsi="Times New Roman"/>
          <w:b w:val="false"/>
          <w:i w:val="false"/>
          <w:color w:val="000000"/>
          <w:sz w:val="21"/>
        </w:rPr>
        <w:t>[Filed 6/2/05, Notice 3/16/05—published 6/22/05, effective 7/27/05]</w:t>
      </w:r>
    </w:p>
    <w:p>
      <w:pPr>
        <w:spacing w:before="0" w:after="0"/>
        <w:ind w:left="120"/>
        <w:jc w:val="center"/>
      </w:pPr>
      <w:r>
        <w:rPr>
          <w:rFonts w:ascii="Times New Roman" w:hAnsi="Times New Roman"/>
          <w:b w:val="false"/>
          <w:i w:val="false"/>
          <w:color w:val="000000"/>
          <w:sz w:val="21"/>
        </w:rPr>
        <w:t>[Filed 3/22/06, Notice 12/21/05—published 4/12/06, effective 5/17/06]</w:t>
      </w:r>
    </w:p>
    <w:p>
      <w:pPr>
        <w:spacing w:before="0" w:after="0"/>
        <w:ind w:left="120"/>
        <w:jc w:val="center"/>
      </w:pPr>
      <w:r>
        <w:rPr>
          <w:rFonts w:ascii="Times New Roman" w:hAnsi="Times New Roman"/>
          <w:b w:val="false"/>
          <w:i w:val="false"/>
          <w:color w:val="000000"/>
          <w:sz w:val="21"/>
        </w:rPr>
        <w:t>[Filed 3/22/06, Notice 1/18/06—published 4/12/06, effective 5/17/06]</w:t>
      </w:r>
    </w:p>
    <w:p>
      <w:pPr>
        <w:spacing w:before="0" w:after="0"/>
        <w:ind w:left="120"/>
        <w:jc w:val="center"/>
      </w:pPr>
      <w:r>
        <w:rPr>
          <w:rFonts w:ascii="Times New Roman" w:hAnsi="Times New Roman"/>
          <w:b w:val="false"/>
          <w:i w:val="false"/>
          <w:color w:val="000000"/>
          <w:sz w:val="21"/>
        </w:rPr>
        <w:t>[Filed 2/7/07, Notice 10/25/06—published 2/28/07, effective 4/4/07]</w:t>
      </w:r>
    </w:p>
    <w:p>
      <w:pPr>
        <w:spacing w:before="0" w:after="0"/>
        <w:ind w:left="120"/>
        <w:jc w:val="center"/>
      </w:pPr>
      <w:r>
        <w:rPr>
          <w:rFonts w:ascii="Times New Roman" w:hAnsi="Times New Roman"/>
          <w:b w:val="false"/>
          <w:i w:val="false"/>
          <w:color w:val="000000"/>
          <w:sz w:val="21"/>
        </w:rPr>
        <w:t>[Filed 8/2/07, Notice 6/20/07—published 8/29/07, effective 10/3/07]</w:t>
      </w:r>
    </w:p>
    <w:p>
      <w:pPr>
        <w:spacing w:before="0" w:after="0"/>
        <w:ind w:left="120"/>
        <w:jc w:val="center"/>
      </w:pPr>
      <w:r>
        <w:rPr>
          <w:rFonts w:ascii="Times New Roman" w:hAnsi="Times New Roman"/>
          <w:b w:val="false"/>
          <w:i w:val="false"/>
          <w:color w:val="000000"/>
          <w:sz w:val="21"/>
        </w:rPr>
        <w:t>[Filed 3/5/08, Notice 12/5/07—published 3/26/08, effective 4/30/08]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7634B</w:t>
      </w:r>
      <w:r>
        <w:rPr>
          <w:rFonts w:ascii="Times New Roman" w:hAnsi="Times New Roman"/>
          <w:b w:val="false"/>
          <w:i w:val="false"/>
          <w:color w:val="000000"/>
          <w:sz w:val="21"/>
        </w:rPr>
        <w:t xml:space="preserve"> (Notice ARC 7447B, IAB 12/31/08)</w:t>
      </w:r>
      <w:r>
        <w:rPr>
          <w:rFonts w:ascii="Times New Roman" w:hAnsi="Times New Roman"/>
          <w:b w:val="false"/>
          <w:i w:val="false"/>
          <w:color w:val="000000"/>
          <w:sz w:val="21"/>
        </w:rPr>
        <w:t>, IAB 3/11/09, effective 4/15/09]</w:t>
      </w:r>
      <w:r>
        <w:br/>
      </w:r>
      <w:r>
        <w:rPr>
          <w:rFonts w:ascii="Times New Roman" w:hAnsi="Times New Roman"/>
          <w:b w:val="false"/>
          <w:i w:val="false"/>
          <w:color w:val="000000"/>
          <w:sz w:val="21"/>
        </w:rPr>
        <w:t>[Filed ARC 7636B</w:t>
      </w:r>
      <w:r>
        <w:rPr>
          <w:rFonts w:ascii="Times New Roman" w:hAnsi="Times New Roman"/>
          <w:b w:val="false"/>
          <w:i w:val="false"/>
          <w:color w:val="000000"/>
          <w:sz w:val="21"/>
        </w:rPr>
        <w:t xml:space="preserve"> (Notice ARC 7448B, IAB 12/31/08)</w:t>
      </w:r>
      <w:r>
        <w:rPr>
          <w:rFonts w:ascii="Times New Roman" w:hAnsi="Times New Roman"/>
          <w:b w:val="false"/>
          <w:i w:val="false"/>
          <w:color w:val="000000"/>
          <w:sz w:val="21"/>
        </w:rPr>
        <w:t>, IAB 3/11/09, effective 4/15/09]</w:t>
      </w:r>
    </w:p>
    <w:p>
      <w:pPr>
        <w:spacing w:before="0" w:after="0"/>
        <w:ind w:left="120"/>
        <w:jc w:val="center"/>
      </w:pPr>
      <w:r>
        <w:rPr>
          <w:rFonts w:ascii="Times New Roman" w:hAnsi="Times New Roman"/>
          <w:b w:val="false"/>
          <w:i w:val="false"/>
          <w:color w:val="000000"/>
          <w:sz w:val="21"/>
        </w:rPr>
        <w:t>[Filed ARC 8169B</w:t>
      </w:r>
      <w:r>
        <w:rPr>
          <w:rFonts w:ascii="Times New Roman" w:hAnsi="Times New Roman"/>
          <w:b w:val="false"/>
          <w:i w:val="false"/>
          <w:color w:val="000000"/>
          <w:sz w:val="21"/>
        </w:rPr>
        <w:t xml:space="preserve"> (Notice ARC 7926B, IAB 7/1/09)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8540B</w:t>
      </w:r>
      <w:r>
        <w:rPr>
          <w:rFonts w:ascii="Times New Roman" w:hAnsi="Times New Roman"/>
          <w:b w:val="false"/>
          <w:i w:val="false"/>
          <w:color w:val="000000"/>
          <w:sz w:val="21"/>
        </w:rPr>
        <w:t xml:space="preserve"> (Notice ARC 8267B, IAB 11/4/09)</w:t>
      </w:r>
      <w:r>
        <w:rPr>
          <w:rFonts w:ascii="Times New Roman" w:hAnsi="Times New Roman"/>
          <w:b w:val="false"/>
          <w:i w:val="false"/>
          <w:color w:val="000000"/>
          <w:sz w:val="21"/>
        </w:rPr>
        <w:t>, IAB 2/24/10, effective 4/1/10]</w:t>
      </w:r>
      <w:r>
        <w:br/>
      </w:r>
      <w:r>
        <w:rPr>
          <w:rFonts w:ascii="Times New Roman" w:hAnsi="Times New Roman"/>
          <w:b w:val="false"/>
          <w:i w:val="false"/>
          <w:color w:val="000000"/>
          <w:sz w:val="21"/>
        </w:rPr>
        <w:t>[Filed ARC 8539B</w:t>
      </w:r>
      <w:r>
        <w:rPr>
          <w:rFonts w:ascii="Times New Roman" w:hAnsi="Times New Roman"/>
          <w:b w:val="false"/>
          <w:i w:val="false"/>
          <w:color w:val="000000"/>
          <w:sz w:val="21"/>
        </w:rPr>
        <w:t xml:space="preserve"> (Notice ARC 8269B, IAB 11/4/09)</w:t>
      </w:r>
      <w:r>
        <w:rPr>
          <w:rFonts w:ascii="Times New Roman" w:hAnsi="Times New Roman"/>
          <w:b w:val="false"/>
          <w:i w:val="false"/>
          <w:color w:val="000000"/>
          <w:sz w:val="21"/>
        </w:rPr>
        <w:t>, IAB 2/24/10, effective 4/1/10]</w:t>
      </w:r>
    </w:p>
    <w:p>
      <w:pPr>
        <w:spacing w:before="0" w:after="0"/>
        <w:ind w:left="120"/>
        <w:jc w:val="center"/>
      </w:pPr>
      <w:r>
        <w:rPr>
          <w:rFonts w:ascii="Times New Roman" w:hAnsi="Times New Roman"/>
          <w:b w:val="false"/>
          <w:i w:val="false"/>
          <w:color w:val="000000"/>
          <w:sz w:val="21"/>
        </w:rPr>
        <w:t>[Filed ARC 8673B</w:t>
      </w:r>
      <w:r>
        <w:rPr>
          <w:rFonts w:ascii="Times New Roman" w:hAnsi="Times New Roman"/>
          <w:b w:val="false"/>
          <w:i w:val="false"/>
          <w:color w:val="000000"/>
          <w:sz w:val="21"/>
        </w:rPr>
        <w:t xml:space="preserve"> (Notice ARC 8380B, IAB 12/16/09)</w:t>
      </w:r>
      <w:r>
        <w:rPr>
          <w:rFonts w:ascii="Times New Roman" w:hAnsi="Times New Roman"/>
          <w:b w:val="false"/>
          <w:i w:val="false"/>
          <w:color w:val="000000"/>
          <w:sz w:val="21"/>
        </w:rPr>
        <w:t>, IAB 4/7/10, effective 6/1/10]</w:t>
      </w:r>
    </w:p>
    <w:p>
      <w:pPr>
        <w:spacing w:before="0" w:after="0"/>
        <w:ind w:left="120"/>
        <w:jc w:val="center"/>
      </w:pPr>
      <w:r>
        <w:rPr>
          <w:rFonts w:ascii="Times New Roman" w:hAnsi="Times New Roman"/>
          <w:b w:val="false"/>
          <w:i w:val="false"/>
          <w:color w:val="000000"/>
          <w:sz w:val="21"/>
        </w:rPr>
        <w:t>[Filed ARC 9910B</w:t>
      </w:r>
      <w:r>
        <w:rPr>
          <w:rFonts w:ascii="Times New Roman" w:hAnsi="Times New Roman"/>
          <w:b w:val="false"/>
          <w:i w:val="false"/>
          <w:color w:val="000000"/>
          <w:sz w:val="21"/>
        </w:rPr>
        <w:t xml:space="preserve"> (Notice ARC 9787B, IAB 10/5/11)</w:t>
      </w:r>
      <w:r>
        <w:rPr>
          <w:rFonts w:ascii="Times New Roman" w:hAnsi="Times New Roman"/>
          <w:b w:val="false"/>
          <w:i w:val="false"/>
          <w:color w:val="000000"/>
          <w:sz w:val="21"/>
        </w:rPr>
        <w:t>, IAB 12/14/11, effective 1/18/12]</w:t>
      </w:r>
    </w:p>
    <w:p>
      <w:pPr>
        <w:spacing w:before="0" w:after="0"/>
        <w:ind w:left="120"/>
        <w:jc w:val="center"/>
      </w:pPr>
      <w:r>
        <w:rPr>
          <w:rFonts w:ascii="Times New Roman" w:hAnsi="Times New Roman"/>
          <w:b w:val="false"/>
          <w:i w:val="false"/>
          <w:color w:val="000000"/>
          <w:sz w:val="21"/>
        </w:rPr>
        <w:t>[Filed ARC 0343C</w:t>
      </w:r>
      <w:r>
        <w:rPr>
          <w:rFonts w:ascii="Times New Roman" w:hAnsi="Times New Roman"/>
          <w:b w:val="false"/>
          <w:i w:val="false"/>
          <w:color w:val="000000"/>
          <w:sz w:val="21"/>
        </w:rPr>
        <w:t xml:space="preserve"> (Notice ARC 0155C,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0501C</w:t>
      </w:r>
      <w:r>
        <w:rPr>
          <w:rFonts w:ascii="Times New Roman" w:hAnsi="Times New Roman"/>
          <w:b w:val="false"/>
          <w:i w:val="false"/>
          <w:color w:val="000000"/>
          <w:sz w:val="21"/>
        </w:rPr>
        <w:t xml:space="preserve"> (Notice ARC 0375C,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1308C</w:t>
      </w:r>
      <w:r>
        <w:rPr>
          <w:rFonts w:ascii="Times New Roman" w:hAnsi="Times New Roman"/>
          <w:b w:val="false"/>
          <w:i w:val="false"/>
          <w:color w:val="000000"/>
          <w:sz w:val="21"/>
        </w:rPr>
        <w:t xml:space="preserve"> (Notice ARC 1040C, IAB 10/2/13)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1961C</w:t>
      </w:r>
      <w:r>
        <w:rPr>
          <w:rFonts w:ascii="Times New Roman" w:hAnsi="Times New Roman"/>
          <w:b w:val="false"/>
          <w:i w:val="false"/>
          <w:color w:val="000000"/>
          <w:sz w:val="21"/>
        </w:rPr>
        <w:t xml:space="preserve"> (Notice ARC 1793C,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2194C</w:t>
      </w:r>
      <w:r>
        <w:rPr>
          <w:rFonts w:ascii="Times New Roman" w:hAnsi="Times New Roman"/>
          <w:b w:val="false"/>
          <w:i w:val="false"/>
          <w:color w:val="000000"/>
          <w:sz w:val="21"/>
        </w:rPr>
        <w:t xml:space="preserve"> (Notice ARC 1979C, IAB 4/29/15)</w:t>
      </w:r>
      <w:r>
        <w:rPr>
          <w:rFonts w:ascii="Times New Roman" w:hAnsi="Times New Roman"/>
          <w:b w:val="false"/>
          <w:i w:val="false"/>
          <w:color w:val="000000"/>
          <w:sz w:val="21"/>
        </w:rPr>
        <w:t>, IAB 10/14/15, effective 11/18/15]</w:t>
      </w:r>
      <w:r>
        <w:br/>
      </w:r>
      <w:r>
        <w:rPr>
          <w:rFonts w:ascii="Times New Roman" w:hAnsi="Times New Roman"/>
          <w:b w:val="false"/>
          <w:i w:val="false"/>
          <w:color w:val="000000"/>
          <w:sz w:val="21"/>
        </w:rPr>
        <w:t>[Filed ARC 2196C</w:t>
      </w:r>
      <w:r>
        <w:rPr>
          <w:rFonts w:ascii="Times New Roman" w:hAnsi="Times New Roman"/>
          <w:b w:val="false"/>
          <w:i w:val="false"/>
          <w:color w:val="000000"/>
          <w:sz w:val="21"/>
        </w:rPr>
        <w:t xml:space="preserve"> (Notice ARC 2065C, IAB 7/22/15)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2408C</w:t>
      </w:r>
      <w:r>
        <w:rPr>
          <w:rFonts w:ascii="Times New Roman" w:hAnsi="Times New Roman"/>
          <w:b w:val="false"/>
          <w:i w:val="false"/>
          <w:color w:val="000000"/>
          <w:sz w:val="21"/>
        </w:rPr>
        <w:t xml:space="preserve"> (Notice ARC 2285C, IAB 12/9/15)</w:t>
      </w:r>
      <w:r>
        <w:rPr>
          <w:rFonts w:ascii="Times New Roman" w:hAnsi="Times New Roman"/>
          <w:b w:val="false"/>
          <w:i w:val="false"/>
          <w:color w:val="000000"/>
          <w:sz w:val="21"/>
        </w:rPr>
        <w:t>, IAB 2/17/16, effective 3/23/16]</w:t>
      </w:r>
      <w:r>
        <w:br/>
      </w:r>
      <w:r>
        <w:rPr>
          <w:rFonts w:ascii="Times New Roman" w:hAnsi="Times New Roman"/>
          <w:b w:val="false"/>
          <w:i w:val="false"/>
          <w:color w:val="000000"/>
          <w:sz w:val="21"/>
        </w:rPr>
        <w:t>[Filed ARC 2414C</w:t>
      </w:r>
      <w:r>
        <w:rPr>
          <w:rFonts w:ascii="Times New Roman" w:hAnsi="Times New Roman"/>
          <w:b w:val="false"/>
          <w:i w:val="false"/>
          <w:color w:val="000000"/>
          <w:sz w:val="21"/>
        </w:rPr>
        <w:t xml:space="preserve"> (Notice ARC 2288C, IAB 12/9/15)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3638C</w:t>
      </w:r>
      <w:r>
        <w:rPr>
          <w:rFonts w:ascii="Times New Roman" w:hAnsi="Times New Roman"/>
          <w:b w:val="false"/>
          <w:i w:val="false"/>
          <w:color w:val="000000"/>
          <w:sz w:val="21"/>
        </w:rPr>
        <w:t xml:space="preserve"> (Notice ARC 3330C, IAB 9/27/17)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4189C</w:t>
      </w:r>
      <w:r>
        <w:rPr>
          <w:rFonts w:ascii="Times New Roman" w:hAnsi="Times New Roman"/>
          <w:b w:val="false"/>
          <w:i w:val="false"/>
          <w:color w:val="000000"/>
          <w:sz w:val="21"/>
        </w:rPr>
        <w:t xml:space="preserve"> (Notice ARC 4030C, IAB 9/26/18)</w:t>
      </w:r>
      <w:r>
        <w:rPr>
          <w:rFonts w:ascii="Times New Roman" w:hAnsi="Times New Roman"/>
          <w:b w:val="false"/>
          <w:i w:val="false"/>
          <w:color w:val="000000"/>
          <w:sz w:val="21"/>
        </w:rPr>
        <w:t>, IAB 12/19/18, effective 1/23/19]</w:t>
      </w:r>
    </w:p>
    <w:p>
      <w:pPr>
        <w:spacing w:before="0" w:after="0"/>
        <w:ind w:left="120"/>
        <w:jc w:val="center"/>
      </w:pPr>
      <w:r>
        <w:rPr>
          <w:rFonts w:ascii="Times New Roman" w:hAnsi="Times New Roman"/>
          <w:b w:val="false"/>
          <w:i w:val="false"/>
          <w:color w:val="000000"/>
          <w:sz w:val="21"/>
        </w:rPr>
        <w:t>[Filed ARC 4903C</w:t>
      </w:r>
      <w:r>
        <w:rPr>
          <w:rFonts w:ascii="Times New Roman" w:hAnsi="Times New Roman"/>
          <w:b w:val="false"/>
          <w:i w:val="false"/>
          <w:color w:val="000000"/>
          <w:sz w:val="21"/>
        </w:rPr>
        <w:t xml:space="preserve"> (Notice ARC 4693C, IAB 10/9/19)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5007C</w:t>
      </w:r>
      <w:r>
        <w:rPr>
          <w:rFonts w:ascii="Times New Roman" w:hAnsi="Times New Roman"/>
          <w:b w:val="false"/>
          <w:i w:val="false"/>
          <w:color w:val="000000"/>
          <w:sz w:val="21"/>
        </w:rPr>
        <w:t xml:space="preserve"> (Notice ARC 4695C, IAB 10/9/19)</w:t>
      </w:r>
      <w:r>
        <w:rPr>
          <w:rFonts w:ascii="Times New Roman" w:hAnsi="Times New Roman"/>
          <w:b w:val="false"/>
          <w:i w:val="false"/>
          <w:color w:val="000000"/>
          <w:sz w:val="21"/>
        </w:rPr>
        <w:t>, IAB 3/25/20, effective 4/29/20]</w:t>
      </w:r>
    </w:p>
    <w:p>
      <w:pPr>
        <w:spacing w:before="0" w:after="0"/>
        <w:ind w:left="120"/>
        <w:jc w:val="center"/>
      </w:pPr>
      <w:r>
        <w:rPr>
          <w:rFonts w:ascii="Times New Roman" w:hAnsi="Times New Roman"/>
          <w:b w:val="false"/>
          <w:i w:val="false"/>
          <w:color w:val="000000"/>
          <w:sz w:val="21"/>
        </w:rPr>
        <w:t>[Filed ARC 5542C</w:t>
      </w:r>
      <w:r>
        <w:rPr>
          <w:rFonts w:ascii="Times New Roman" w:hAnsi="Times New Roman"/>
          <w:b w:val="false"/>
          <w:i w:val="false"/>
          <w:color w:val="000000"/>
          <w:sz w:val="21"/>
        </w:rPr>
        <w:t xml:space="preserve"> (Notice ARC 5373C, IAB 1/13/21)</w:t>
      </w:r>
      <w:r>
        <w:rPr>
          <w:rFonts w:ascii="Times New Roman" w:hAnsi="Times New Roman"/>
          <w:b w:val="false"/>
          <w:i w:val="false"/>
          <w:color w:val="000000"/>
          <w:sz w:val="21"/>
        </w:rPr>
        <w:t>, IAB 4/7/21, effective 5/12/21]</w:t>
      </w:r>
    </w:p>
    <w:p>
      <w:pPr>
        <w:spacing w:before="0" w:after="0"/>
        <w:ind w:left="120"/>
        <w:jc w:val="center"/>
      </w:pPr>
      <w:r>
        <w:rPr>
          <w:rFonts w:ascii="Times New Roman" w:hAnsi="Times New Roman"/>
          <w:b w:val="false"/>
          <w:i w:val="false"/>
          <w:color w:val="000000"/>
          <w:sz w:val="21"/>
        </w:rPr>
        <w:t>[Filed ARC 5913C</w:t>
      </w:r>
      <w:r>
        <w:rPr>
          <w:rFonts w:ascii="Times New Roman" w:hAnsi="Times New Roman"/>
          <w:b w:val="false"/>
          <w:i w:val="false"/>
          <w:color w:val="000000"/>
          <w:sz w:val="21"/>
        </w:rPr>
        <w:t xml:space="preserve"> (Notice ARC 5704C, IAB 6/16/21)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6330C</w:t>
      </w:r>
      <w:r>
        <w:rPr>
          <w:rFonts w:ascii="Times New Roman" w:hAnsi="Times New Roman"/>
          <w:b w:val="false"/>
          <w:i w:val="false"/>
          <w:color w:val="000000"/>
          <w:sz w:val="21"/>
        </w:rPr>
        <w:t xml:space="preserve"> (Amended Notice ARC 6179C, IAB 2/9/22; </w:t>
      </w:r>
      <w:r>
        <w:rPr>
          <w:rFonts w:ascii="Times New Roman" w:hAnsi="Times New Roman"/>
          <w:b w:val="false"/>
          <w:i w:val="false"/>
          <w:color w:val="000000"/>
          <w:sz w:val="21"/>
        </w:rPr>
        <w:t>Notice ARC 5834C, IAB 8/11/21)</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6416C</w:t>
      </w:r>
      <w:r>
        <w:rPr>
          <w:rFonts w:ascii="Times New Roman" w:hAnsi="Times New Roman"/>
          <w:b w:val="false"/>
          <w:i w:val="false"/>
          <w:color w:val="000000"/>
          <w:sz w:val="21"/>
        </w:rPr>
        <w:t xml:space="preserve"> (Notice ARC 6279C, IAB 4/6/22)</w:t>
      </w:r>
      <w:r>
        <w:rPr>
          <w:rFonts w:ascii="Times New Roman" w:hAnsi="Times New Roman"/>
          <w:b w:val="false"/>
          <w:i w:val="false"/>
          <w:color w:val="000000"/>
          <w:sz w:val="21"/>
        </w:rPr>
        <w:t>, IAB 7/27/22, effective 8/31/22]</w:t>
      </w:r>
    </w:p>
    <w:p>
      <w:pPr>
        <w:spacing w:before="0" w:after="0"/>
        <w:ind w:left="120"/>
        <w:jc w:val="center"/>
      </w:pPr>
      <w:r>
        <w:rPr>
          <w:rFonts w:ascii="Times New Roman" w:hAnsi="Times New Roman"/>
          <w:b w:val="false"/>
          <w:i w:val="false"/>
          <w:color w:val="000000"/>
          <w:sz w:val="21"/>
        </w:rPr>
        <w:t>[Filed ARC 6953C</w:t>
      </w:r>
      <w:r>
        <w:rPr>
          <w:rFonts w:ascii="Times New Roman" w:hAnsi="Times New Roman"/>
          <w:b w:val="false"/>
          <w:i w:val="false"/>
          <w:color w:val="000000"/>
          <w:sz w:val="21"/>
        </w:rPr>
        <w:t xml:space="preserve"> (Notice ARC 6696C, IAB 11/30/22)</w:t>
      </w:r>
      <w:r>
        <w:rPr>
          <w:rFonts w:ascii="Times New Roman" w:hAnsi="Times New Roman"/>
          <w:b w:val="false"/>
          <w:i w:val="false"/>
          <w:color w:val="000000"/>
          <w:sz w:val="21"/>
        </w:rPr>
        <w:t>, IAB 3/22/23, effective 4/26/23]</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57.7.pdf" Type="http://schemas.openxmlformats.org/officeDocument/2006/relationships/hyperlink" Id="rId5"/>
    <Relationship TargetMode="External" Target="https://www.legis.iowa.gov/docs/iac/chapter/657.8.pdf" Type="http://schemas.openxmlformats.org/officeDocument/2006/relationships/hyperlink" Id="rId6"/>
    <Relationship TargetMode="External" Target="https://www.legis.iowa.gov/docs/iac/rule/657.8.3.pdf" Type="http://schemas.openxmlformats.org/officeDocument/2006/relationships/hyperlink" Id="rId7"/>
    <Relationship TargetMode="External" Target="https://www.legis.iowa.gov/docs/iac/rule/657.6.14.pdf" Type="http://schemas.openxmlformats.org/officeDocument/2006/relationships/hyperlink" Id="rId8"/>
    <Relationship TargetMode="External" Target="https://www.legis.iowa.gov/docs/iac/rule/657.6.3.pdf" Type="http://schemas.openxmlformats.org/officeDocument/2006/relationships/hyperlink" Id="rId9"/>
    <Relationship TargetMode="External" Target="https://www.legis.iowa.gov/docs/iac/rule/657.6.14.pdf" Type="http://schemas.openxmlformats.org/officeDocument/2006/relationships/hyperlink" Id="rId10"/>
    <Relationship TargetMode="External" Target="https://www.legis.iowa.gov/docs/iac/rule/657.8.5.pdf" Type="http://schemas.openxmlformats.org/officeDocument/2006/relationships/hyperlink" Id="rId11"/>
    <Relationship TargetMode="External" Target="https://www.legis.iowa.gov/docs/iac/chapter/657.10.pdf" Type="http://schemas.openxmlformats.org/officeDocument/2006/relationships/hyperlink" Id="rId12"/>
    <Relationship TargetMode="External" Target="https://www.legis.iowa.gov/docs/iac/chapter/657.21.pdf" Type="http://schemas.openxmlformats.org/officeDocument/2006/relationships/hyperlink" Id="rId13"/>
    <Relationship TargetMode="External" Target="http://deadiversion.usdoj.gov/drug_disposal/" Type="http://schemas.openxmlformats.org/officeDocument/2006/relationships/hyperlink" Id="rId14"/>
    <Relationship TargetMode="External" Target="https://www.legis.iowa.gov/docs/iac/rule/657.6.7.pdf" Type="http://schemas.openxmlformats.org/officeDocument/2006/relationships/hyperlink" Id="rId15"/>
    <Relationship TargetMode="External" Target="https://www.legis.iowa.gov/docs/iac/rule/657.6.7.pdf" Type="http://schemas.openxmlformats.org/officeDocument/2006/relationships/hyperlink" Id="rId16"/>
    <Relationship TargetMode="External" Target="https://www.legis.iowa.gov/docs/iac/rule/657.6.7.pdf" Type="http://schemas.openxmlformats.org/officeDocument/2006/relationships/hyperlink" Id="rId17"/>
    <Relationship TargetMode="External" Target="https://www.legis.iowa.gov/docs/iac/rule/657.8.21.pdf" Type="http://schemas.openxmlformats.org/officeDocument/2006/relationships/hyperlink" Id="rId18"/>
    <Relationship TargetMode="External" Target="https://www.legis.iowa.gov/docs/iac/rule/657.6.14.pdf" Type="http://schemas.openxmlformats.org/officeDocument/2006/relationships/hyperlink" Id="rId19"/>
    <Relationship TargetMode="External" Target="https://www.legis.iowa.gov/docs/iac/rule/657.21.5.pdf" Type="http://schemas.openxmlformats.org/officeDocument/2006/relationships/hyperlink" Id="rId20"/>
    <Relationship TargetMode="External" Target="https://www.legis.iowa.gov/docs/iac/chapter/657.18.pdf" Type="http://schemas.openxmlformats.org/officeDocument/2006/relationships/hyperlink" Id="rId21"/>
    <Relationship TargetMode="External" Target="https://www.legis.iowa.gov/docs/iac/rule/657.6.9.pdf" Type="http://schemas.openxmlformats.org/officeDocument/2006/relationships/hyperlink" Id="rId22"/>
    <Relationship TargetMode="External" Target="https://www.legis.iowa.gov/docs/iac/rule/657.3.23.pdf" Type="http://schemas.openxmlformats.org/officeDocument/2006/relationships/hyperlink" Id="rId23"/>
    <Relationship TargetMode="External" Target="https://www.legis.iowa.gov/docs/iac/rule/657.6.9.pdf" Type="http://schemas.openxmlformats.org/officeDocument/2006/relationships/hyperlink" Id="rId24"/>
    <Relationship TargetMode="External" Target="https://www.legis.iowa.gov/docs/iac/rule/657.6.9.pdf" Type="http://schemas.openxmlformats.org/officeDocument/2006/relationships/hyperlink" Id="rId25"/>
    <Relationship TargetMode="External" Target="https://www.legis.iowa.gov/docs/iac/rule/657.6.9.pdf" Type="http://schemas.openxmlformats.org/officeDocument/2006/relationships/hyperlink" Id="rId26"/>
    <Relationship TargetMode="External" Target="https://www.legis.iowa.gov/docs/iac/rule/657.6.9.pdf" Type="http://schemas.openxmlformats.org/officeDocument/2006/relationships/hyperlink" Id="rId27"/>
    <Relationship TargetMode="External" Target="https://www.legis.iowa.gov/docs/iac/rule/657.8.19.pdf" Type="http://schemas.openxmlformats.org/officeDocument/2006/relationships/hyperlink" Id="rId28"/>
    <Relationship TargetMode="External" Target="https://www.legis.iowa.gov/docs/iac/rule/657.8.19.pdf" Type="http://schemas.openxmlformats.org/officeDocument/2006/relationships/hyperlink" Id="rId29"/>
    <Relationship TargetMode="External" Target="https://www.legis.iowa.gov/docs/iac/rule/657.8.19.pdf" Type="http://schemas.openxmlformats.org/officeDocument/2006/relationships/hyperlink" Id="rId30"/>
    <Relationship TargetMode="External" Target="https://www.legis.iowa.gov/docs/iac/rule/657.8.19.pdf" Type="http://schemas.openxmlformats.org/officeDocument/2006/relationships/hyperlink" Id="rId31"/>
    <Relationship TargetMode="External" Target="https://www.legis.iowa.gov/docs/iac/rule/657.6.10.pdf" Type="http://schemas.openxmlformats.org/officeDocument/2006/relationships/hyperlink" Id="rId32"/>
    <Relationship TargetMode="External" Target="https://www.legis.iowa.gov/docs/iac/rule/657.22.1.pdf" Type="http://schemas.openxmlformats.org/officeDocument/2006/relationships/hyperlink" Id="rId33"/>
    <Relationship TargetMode="External" Target="https://www.legis.iowa.gov/docs/iac/rule/657.22.5.pdf" Type="http://schemas.openxmlformats.org/officeDocument/2006/relationships/hyperlink" Id="rId34"/>
    <Relationship TargetMode="External" Target="https://www.legis.iowa.gov/docs/iac/rule/657.8.16.pdf" Type="http://schemas.openxmlformats.org/officeDocument/2006/relationships/hyperlink" Id="rId35"/>
    <Relationship TargetMode="External" Target="https://www.legis.iowa.gov/docs/ico/chapter/139A.41.pdf" Type="http://schemas.openxmlformats.org/officeDocument/2006/relationships/hyperlink" Id="rId36"/>
    <Relationship TargetMode="External" Target="https://www.legis.iowa.gov/docs/iac/rule/657.8.21.pdf" Type="http://schemas.openxmlformats.org/officeDocument/2006/relationships/hyperlink" Id="rId37"/>
    <Relationship TargetMode="External" Target="https://www.legis.iowa.gov/docs/iac/rule/657.22.1.pdf" Type="http://schemas.openxmlformats.org/officeDocument/2006/relationships/hyperlink" Id="rId38"/>
    <Relationship TargetMode="External" Target="https://www.legis.iowa.gov/docs/ico/chapter/124.pdf" Type="http://schemas.openxmlformats.org/officeDocument/2006/relationships/hyperlink" Id="rId39"/>
    <Relationship TargetMode="External" Target="https://www.legis.iowa.gov/docs/ico/chapter/155A.pdf" Type="http://schemas.openxmlformats.org/officeDocument/2006/relationships/hyperlink" Id="rId40"/>
    <Relationship TargetMode="External" Target="https://www.legis.iowa.gov/docs/iac/chapter/657.10.pdf" Type="http://schemas.openxmlformats.org/officeDocument/2006/relationships/hyperlink" Id="rId41"/>
    <Relationship TargetMode="External" Target="https://www.legis.iowa.gov/docs/iac/rule/657.21.5.pdf" Type="http://schemas.openxmlformats.org/officeDocument/2006/relationships/hyperlink" Id="rId42"/>
    <Relationship TargetMode="External" Target="https://www.legis.iowa.gov/docs/ico/chapter/124.301.pdf" Type="http://schemas.openxmlformats.org/officeDocument/2006/relationships/hyperlink" Id="rId43"/>
    <Relationship TargetMode="External" Target="https://www.legis.iowa.gov/docs/ico/chapter/124.303.pdf" Type="http://schemas.openxmlformats.org/officeDocument/2006/relationships/hyperlink" Id="rId44"/>
    <Relationship TargetMode="External" Target="https://www.legis.iowa.gov/docs/ico/chapter/124.306.pdf" Type="http://schemas.openxmlformats.org/officeDocument/2006/relationships/hyperlink" Id="rId45"/>
    <Relationship TargetMode="External" Target="https://www.legis.iowa.gov/docs/ico/chapter/126.10.pdf" Type="http://schemas.openxmlformats.org/officeDocument/2006/relationships/hyperlink" Id="rId46"/>
    <Relationship TargetMode="External" Target="https://www.legis.iowa.gov/docs/ico/chapter/126.11.pdf" Type="http://schemas.openxmlformats.org/officeDocument/2006/relationships/hyperlink" Id="rId47"/>
    <Relationship TargetMode="External" Target="https://www.legis.iowa.gov/docs/ico/chapter/155A.6.pdf" Type="http://schemas.openxmlformats.org/officeDocument/2006/relationships/hyperlink" Id="rId48"/>
    <Relationship TargetMode="External" Target="https://www.legis.iowa.gov/docs/ico/chapter/155A.13.pdf" Type="http://schemas.openxmlformats.org/officeDocument/2006/relationships/hyperlink" Id="rId49"/>
    <Relationship TargetMode="External" Target="https://www.legis.iowa.gov/docs/ico/chapter/155A.27.pdf" Type="http://schemas.openxmlformats.org/officeDocument/2006/relationships/hyperlink" Id="rId50"/>
    <Relationship TargetMode="External" Target="https://www.legis.iowa.gov/docs/ico/chapter/155A.28.pdf" Type="http://schemas.openxmlformats.org/officeDocument/2006/relationships/hyperlink" Id="rId51"/>
    <Relationship TargetMode="External" Target="https://www.legis.iowa.gov/docs/ico/chapter/155A.31.pdf" Type="http://schemas.openxmlformats.org/officeDocument/2006/relationships/hyperlink" Id="rId52"/>
    <Relationship TargetMode="External" Target="https://www.legis.iowa.gov/docs/ico/chapter/155A.33-36.pdf" Type="http://schemas.openxmlformats.org/officeDocument/2006/relationships/hyperlink" Id="rId5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