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PHARMACIST-INTERNS</w:t>
      </w:r>
    </w:p>
    <w:p>
      <w:pPr>
        <w:spacing w:before="0" w:after="0"/>
        <w:ind w:left="120"/>
        <w:jc w:val="center"/>
      </w:pPr>
      <w:r>
        <w:rPr>
          <w:rFonts w:ascii="Times New Roman" w:hAnsi="Times New Roman"/>
          <w:b w:val="false"/>
          <w:i w:val="false"/>
          <w:color w:val="000000"/>
          <w:sz w:val="14"/>
        </w:rPr>
        <w:t>[Prior to 2/10/88, see Pharmacy Examiners[620]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657—4.1</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“Pharmacist-intern”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“intern” </w:t>
      </w:r>
      <w:r>
        <w:rPr>
          <w:rFonts w:ascii="Times New Roman" w:hAnsi="Times New Roman"/>
          <w:b w:val="false"/>
          <w:i w:val="false"/>
          <w:color w:val="000000"/>
          <w:sz w:val="22"/>
        </w:rPr>
        <w:t xml:space="preserve">means a person enrolled in a college of pharmacy or actively pursuing a pharmacy degree, or as otherwise provided by the board, who is registered with the board for the purpose of obtaining instruction in the practice of pharmacy from a preceptor pursuant to Iowa Code section </w:t>
      </w:r>
      <w:hyperlink r:id="rId5">
        <w:r>
          <w:rPr>
            <w:rStyle w:val="Hyperlink"/>
            <w:rFonts w:ascii="Times New Roman" w:hAnsi="Times New Roman"/>
            <w:b w:val="false"/>
            <w:i w:val="false"/>
            <w:color w:val="000000"/>
            <w:sz w:val="22"/>
          </w:rPr>
          <w:t>155A.6</w:t>
        </w:r>
      </w:hyperlink>
      <w:r>
        <w:rPr>
          <w:rFonts w:ascii="Times New Roman" w:hAnsi="Times New Roman"/>
          <w:b w:val="false"/>
          <w:i w:val="false"/>
          <w:color w:val="000000"/>
          <w:sz w:val="22"/>
        </w:rPr>
        <w:t xml:space="preserve">. “Pharmacist-intern” includes a graduate of an approved college of pharmacy, or a foreign graduate who has established educational equivalency pursuant to the requirements of rule </w:t>
      </w:r>
      <w:hyperlink r:id="rId6">
        <w:r>
          <w:rPr>
            <w:rStyle w:val="Hyperlink"/>
            <w:rFonts w:ascii="Times New Roman" w:hAnsi="Times New Roman"/>
            <w:b w:val="false"/>
            <w:i w:val="false"/>
            <w:color w:val="000000"/>
            <w:sz w:val="22"/>
          </w:rPr>
          <w:t>657—4.7</w:t>
        </w:r>
      </w:hyperlink>
      <w:r>
        <w:rPr>
          <w:rFonts w:ascii="Times New Roman" w:hAnsi="Times New Roman"/>
          <w:b w:val="false"/>
          <w:i w:val="false"/>
          <w:color w:val="000000"/>
          <w:sz w:val="22"/>
        </w:rPr>
        <w:t>(155A), who is registered with the board for the purpose of obtaining practical experience as a requirement for licensure as a pharmacist in Iowa. “Pharmacist-intern” may include an individual participating in a residency or fellowship program in Iowa, whether or not the individual is licensed as a pharmacist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preceptor”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“preceptor” </w:t>
      </w:r>
      <w:r>
        <w:rPr>
          <w:rFonts w:ascii="Times New Roman" w:hAnsi="Times New Roman"/>
          <w:b w:val="false"/>
          <w:i w:val="false"/>
          <w:color w:val="000000"/>
          <w:sz w:val="22"/>
        </w:rPr>
        <w:t xml:space="preserve">means a pharmacist licensed to practice pharmacy whose license is current and in good standing. Preceptors shall meet the conditions and requirements of rule </w:t>
      </w:r>
      <w:hyperlink r:id="rId7">
        <w:r>
          <w:rPr>
            <w:rStyle w:val="Hyperlink"/>
            <w:rFonts w:ascii="Times New Roman" w:hAnsi="Times New Roman"/>
            <w:b w:val="false"/>
            <w:i w:val="false"/>
            <w:color w:val="000000"/>
            <w:sz w:val="22"/>
          </w:rPr>
          <w:t>657—4.9</w:t>
        </w:r>
      </w:hyperlink>
      <w:r>
        <w:rPr>
          <w:rFonts w:ascii="Times New Roman" w:hAnsi="Times New Roman"/>
          <w:b w:val="false"/>
          <w:i w:val="false"/>
          <w:color w:val="000000"/>
          <w:sz w:val="22"/>
        </w:rPr>
        <w:t>(155A). No pharmacist shall serve as a preceptor while the pharmacist’s license to practice pharmacy is the subject of disciplinary sanction by a pharmacist licensing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9784B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1406C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657—4.2</w:t>
      </w:r>
      <w:r>
        <w:rPr>
          <w:rFonts w:ascii="Times New Roman" w:hAnsi="Times New Roman"/>
          <w:b/>
          <w:i w:val="false"/>
          <w:color w:val="000000"/>
          <w:sz w:val="22"/>
        </w:rPr>
        <w:t xml:space="preserve">(155A) </w:t>
      </w:r>
      <w:r>
        <w:rPr>
          <w:rFonts w:ascii="Times New Roman" w:hAnsi="Times New Roman"/>
          <w:b/>
          <w:i w:val="false"/>
          <w:color w:val="000000"/>
          <w:sz w:val="22"/>
        </w:rPr>
        <w:t xml:space="preserve">Goal and objectives of internship.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Goal. </w:t>
      </w:r>
      <w:r>
        <w:rPr>
          <w:rFonts w:ascii="Times New Roman" w:hAnsi="Times New Roman"/>
          <w:b w:val="false"/>
          <w:i w:val="false"/>
          <w:color w:val="000000"/>
          <w:sz w:val="22"/>
        </w:rPr>
        <w:t>The goal of internship is for the pharmacist-intern, over a period of time, to attain and build upon the knowledge, skills, responsibilities, and ability to safely, efficiently, and effectively practice pharmacy under the laws and rules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Objectives. </w:t>
      </w:r>
      <w:r>
        <w:rPr>
          <w:rFonts w:ascii="Times New Roman" w:hAnsi="Times New Roman"/>
          <w:b w:val="false"/>
          <w:i w:val="false"/>
          <w:color w:val="000000"/>
          <w:sz w:val="22"/>
        </w:rPr>
        <w:t>The objectives of internship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Managing drug therapy to optimize patient outcomes. </w:t>
      </w:r>
      <w:r>
        <w:rPr>
          <w:rFonts w:ascii="Times New Roman" w:hAnsi="Times New Roman"/>
          <w:b w:val="false"/>
          <w:i w:val="false"/>
          <w:color w:val="000000"/>
          <w:sz w:val="22"/>
        </w:rPr>
        <w:t>The pharmacist-intern shall evaluate the patient and patient information to determine the presence of a disease or medical condition, to determine the need for treatment or referral, and to identify patient-specific factors that affect health, pharmacotherapy, or disease management; ensure the appropriateness of the patient’s specific pharmacotherapeutic agents, dosing regimens, dosage forms, routes of administration, and delivery systems; and monitor the patient and patient information and manage the drug regimen to promote health and ensure safe and effective pharmacotherapy.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Ensuring the safe and accurate preparation and dispensing of medications. </w:t>
      </w:r>
      <w:r>
        <w:rPr>
          <w:rFonts w:ascii="Times New Roman" w:hAnsi="Times New Roman"/>
          <w:b w:val="false"/>
          <w:i w:val="false"/>
          <w:color w:val="000000"/>
          <w:sz w:val="22"/>
        </w:rPr>
        <w:t>The pharmacist-intern shall perform calculations required to compound, dispense, and administer medication; select and dispense medications; and prepare and compound extemporaneous preparations and sterile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Providing drug information and promoting public health. </w:t>
      </w:r>
      <w:r>
        <w:rPr>
          <w:rFonts w:ascii="Times New Roman" w:hAnsi="Times New Roman"/>
          <w:b w:val="false"/>
          <w:i w:val="false"/>
          <w:color w:val="000000"/>
          <w:sz w:val="22"/>
        </w:rPr>
        <w:t>The pharmacist-intern shall access, evaluate, and apply information to promote optimal health care; educate patients and health care professionals regarding prescription medications, nonprescription medications, and medical devices; and educate patients and the public regarding wellness, disease states, and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Adhering to professional and ethical standards. </w:t>
      </w:r>
      <w:r>
        <w:rPr>
          <w:rFonts w:ascii="Times New Roman" w:hAnsi="Times New Roman"/>
          <w:b w:val="false"/>
          <w:i w:val="false"/>
          <w:color w:val="000000"/>
          <w:sz w:val="22"/>
        </w:rPr>
        <w:t>The pharmacist-intern shall comply with professional, legal, moral, and ethical standards relating to the practice of pharmacy and the operation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Understanding the management of pharmacy operations. </w:t>
      </w:r>
      <w:r>
        <w:rPr>
          <w:rFonts w:ascii="Times New Roman" w:hAnsi="Times New Roman"/>
          <w:b w:val="false"/>
          <w:i w:val="false"/>
          <w:color w:val="000000"/>
          <w:sz w:val="22"/>
        </w:rPr>
        <w:t>The pharmacist-intern shall develop a general understanding of the business procedures of a pharmacy and develop knowledge concerning the employment and supervision of pharmacy employees.</w:t>
      </w:r>
    </w:p>
    <w:p>
      <w:pPr>
        <w:spacing w:before="0" w:after="0"/>
        <w:ind w:left="120"/>
        <w:jc w:val="both"/>
      </w:pPr>
      <w:r>
        <w:rPr>
          <w:rFonts w:ascii="Times New Roman" w:hAnsi="Times New Roman"/>
          <w:b/>
          <w:i w:val="false"/>
          <w:color w:val="000000"/>
          <w:sz w:val="22"/>
        </w:rPr>
        <w:t>657—4.3</w:t>
      </w:r>
      <w:r>
        <w:rPr>
          <w:rFonts w:ascii="Times New Roman" w:hAnsi="Times New Roman"/>
          <w:b/>
          <w:i w:val="false"/>
          <w:color w:val="000000"/>
          <w:sz w:val="22"/>
        </w:rPr>
        <w:t xml:space="preserve">(155A) </w:t>
      </w:r>
      <w:r>
        <w:rPr>
          <w:rFonts w:ascii="Times New Roman" w:hAnsi="Times New Roman"/>
          <w:b/>
          <w:i w:val="false"/>
          <w:color w:val="000000"/>
          <w:sz w:val="22"/>
        </w:rPr>
        <w:t xml:space="preserve">1500-hour requirements. </w:t>
      </w:r>
      <w:r>
        <w:rPr>
          <w:rFonts w:ascii="Times New Roman" w:hAnsi="Times New Roman"/>
          <w:b w:val="false"/>
          <w:i w:val="false"/>
          <w:color w:val="000000"/>
          <w:sz w:val="22"/>
        </w:rPr>
        <w:t xml:space="preserve">Internship credit may be obtained only after internship registration with the board and commencement of the first professional year in a college of pharmacy. Internship shall consist of a minimum of 1500 hours, all of which may be a college-based clinical program approved or accepted by the board. Programs shall be structured to provide experience in community, institutional, and clinical pharmacy practices. A pharmacist-intern may acquire additional hours under the supervision of one or more preceptors in a traditional licensed general or hospital pharmacy, at a rate of no more than 48 hours per week, where the goal and objectives of internship in rule </w:t>
      </w:r>
      <w:hyperlink r:id="rId8">
        <w:r>
          <w:rPr>
            <w:rStyle w:val="Hyperlink"/>
            <w:rFonts w:ascii="Times New Roman" w:hAnsi="Times New Roman"/>
            <w:b w:val="false"/>
            <w:i w:val="false"/>
            <w:color w:val="000000"/>
            <w:sz w:val="22"/>
          </w:rPr>
          <w:t>657—4.2</w:t>
        </w:r>
      </w:hyperlink>
      <w:r>
        <w:rPr>
          <w:rFonts w:ascii="Times New Roman" w:hAnsi="Times New Roman"/>
          <w:b w:val="false"/>
          <w:i w:val="false"/>
          <w:color w:val="000000"/>
          <w:sz w:val="22"/>
        </w:rPr>
        <w:t xml:space="preserve">(155A) apply. Credit toward any additional hours will be allowed, at a rate not to exceed 10 hours per week, for an internship served concurrent with academic training and outside a college-based clinical program. “Concurrent time” means internship experience acquired while the person is a full-time student carrying, in a given school term, at least 75 percent of the average number of credit hours per term needed to graduate and receive an entry-level degree in pharmacy. Recognized academic holiday periods, such as spring break and winter break, shall not be considered “concurrent time.” The competencies in subrule </w:t>
      </w:r>
      <w:hyperlink r:id="rId9">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and the concurrent time limitations of this rule shall not apply to college-based clinical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1406C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657—4.4</w:t>
      </w:r>
      <w:r>
        <w:rPr>
          <w:rFonts w:ascii="Times New Roman" w:hAnsi="Times New Roman"/>
          <w:b/>
          <w:i w:val="false"/>
          <w:color w:val="000000"/>
          <w:sz w:val="22"/>
        </w:rPr>
        <w:t xml:space="preserve">(155A) </w:t>
      </w:r>
      <w:r>
        <w:rPr>
          <w:rFonts w:ascii="Times New Roman" w:hAnsi="Times New Roman"/>
          <w:b/>
          <w:i w:val="false"/>
          <w:color w:val="000000"/>
          <w:sz w:val="22"/>
        </w:rPr>
        <w:t xml:space="preserve">Iowa colleges of pharmacy clinical internship programs. </w:t>
      </w:r>
      <w:r>
        <w:rPr>
          <w:rFonts w:ascii="Times New Roman" w:hAnsi="Times New Roman"/>
          <w:b w:val="false"/>
          <w:i w:val="false"/>
          <w:color w:val="000000"/>
          <w:sz w:val="22"/>
        </w:rPr>
        <w:t>The board shall periodically review the clinical component of internship programs of the colleges of pharmacy located in Iowa. The board reserves the right to set conditions relating to the approval of such programs.</w:t>
      </w:r>
    </w:p>
    <w:p>
      <w:pPr>
        <w:spacing w:before="210" w:after="0"/>
        <w:ind w:left="120"/>
        <w:jc w:val="both"/>
      </w:pPr>
      <w:r>
        <w:rPr>
          <w:rFonts w:ascii="Times New Roman" w:hAnsi="Times New Roman"/>
          <w:b/>
          <w:i w:val="false"/>
          <w:color w:val="000000"/>
          <w:sz w:val="22"/>
        </w:rPr>
        <w:t>657—4.5</w:t>
      </w:r>
      <w:r>
        <w:rPr>
          <w:rFonts w:ascii="Times New Roman" w:hAnsi="Times New Roman"/>
          <w:b/>
          <w:i w:val="false"/>
          <w:color w:val="000000"/>
          <w:sz w:val="22"/>
        </w:rPr>
        <w:t xml:space="preserve">(155A) </w:t>
      </w:r>
      <w:r>
        <w:rPr>
          <w:rFonts w:ascii="Times New Roman" w:hAnsi="Times New Roman"/>
          <w:b/>
          <w:i w:val="false"/>
          <w:color w:val="000000"/>
          <w:sz w:val="22"/>
        </w:rPr>
        <w:t xml:space="preserve">Out-of-state internship programs. </w:t>
      </w:r>
      <w:r>
        <w:rPr>
          <w:rFonts w:ascii="Times New Roman" w:hAnsi="Times New Roman"/>
          <w:b w:val="false"/>
          <w:i w:val="false"/>
          <w:color w:val="000000"/>
          <w:sz w:val="22"/>
        </w:rPr>
        <w:t>Candidates enrolled in out-of-state colleges of pharmacy who complete the internship requirements of that state shall be deemed to have satisfied Iowa’s internship requirements. Candidates shall submit documentation from the out-of-state internship program certifying completion of that state’s requirements. Candidates enrolled in colleges of pharmacy located in states with no formal internship training program shall submit documentation from that state’s board of pharmacy or college of pharmacy certifying that the candidate has completed all prelicensure training requirements.</w:t>
      </w:r>
    </w:p>
    <w:p>
      <w:pPr>
        <w:spacing w:before="0" w:after="0"/>
        <w:ind w:left="120"/>
        <w:jc w:val="both"/>
      </w:pPr>
      <w:r>
        <w:rPr>
          <w:rFonts w:ascii="Times New Roman" w:hAnsi="Times New Roman"/>
          <w:b/>
          <w:i w:val="false"/>
          <w:color w:val="000000"/>
          <w:sz w:val="22"/>
        </w:rPr>
        <w:t>657—4.6</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reporting, and authorized functions. </w:t>
      </w:r>
      <w:r>
        <w:rPr>
          <w:rFonts w:ascii="Times New Roman" w:hAnsi="Times New Roman"/>
          <w:b w:val="false"/>
          <w:i w:val="false"/>
          <w:color w:val="000000"/>
          <w:sz w:val="22"/>
        </w:rPr>
        <w:t xml:space="preserve">Every person shall register with the board before beginning the person’s internship experience, whether or not for the purpose of fulfilling the requirements of rule </w:t>
      </w:r>
      <w:hyperlink r:id="rId10">
        <w:r>
          <w:rPr>
            <w:rStyle w:val="Hyperlink"/>
            <w:rFonts w:ascii="Times New Roman" w:hAnsi="Times New Roman"/>
            <w:b w:val="false"/>
            <w:i w:val="false"/>
            <w:color w:val="000000"/>
            <w:sz w:val="22"/>
          </w:rPr>
          <w:t>657—4.3</w:t>
        </w:r>
      </w:hyperlink>
      <w:r>
        <w:rPr>
          <w:rFonts w:ascii="Times New Roman" w:hAnsi="Times New Roman"/>
          <w:b w:val="false"/>
          <w:i w:val="false"/>
          <w:color w:val="000000"/>
          <w:sz w:val="22"/>
        </w:rPr>
        <w:t>(155A). Registration is required of all students enrolled in Iowa colleges of pharmacy upon commencement of the first professional year in the college of pharmacy. Colleges of pharmacy located in Iowa shall annually certify to the board the names of students who are enrolled in the first professional year in the college of pharmacy. Colleges of pharmacy located in Iowa shall, within two weeks of any change, certify to the board the names of students who have withdrawn from the college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registration—required information. </w:t>
      </w:r>
      <w:r>
        <w:rPr>
          <w:rFonts w:ascii="Times New Roman" w:hAnsi="Times New Roman"/>
          <w:b w:val="false"/>
          <w:i w:val="false"/>
          <w:color w:val="000000"/>
          <w:sz w:val="22"/>
        </w:rPr>
        <w:t>Application for registration as a pharmacist-intern shall be on forms provided by the board, and all requested information shall be provided on or with such application. The application shall require that the applicant provide, at a minimum, the following: name; address; telephone number; date of birth; social security number or individual tax identification number (ITIN); and name and location of college of pharmacy and anticipated month and year of graduation. The college of pharmacy shall certify the applicant’s eligibility to practice as a pharmacist-intern. If the applicant provides an ITIN in lieu of a social security number, the applicant shall also provide acceptable proof of lawful presence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authorized functions. </w:t>
      </w:r>
      <w:r>
        <w:rPr>
          <w:rFonts w:ascii="Times New Roman" w:hAnsi="Times New Roman"/>
          <w:b w:val="false"/>
          <w:i w:val="false"/>
          <w:color w:val="000000"/>
          <w:sz w:val="22"/>
        </w:rPr>
        <w:t>A licensed pharmacist shall be on duty in the pharmacy and shall be responsible for the actions of a pharmacist-intern during all periods of internship training. At the discretion of the supervising pharmacist, clinical and judgmental functions may be delegated to a registered pharmacist-intern depending upon which functions are appropriate to the pharmacist-intern’s level of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Term of registration. </w:t>
      </w:r>
      <w:r>
        <w:rPr>
          <w:rFonts w:ascii="Times New Roman" w:hAnsi="Times New Roman"/>
          <w:b w:val="false"/>
          <w:i w:val="false"/>
          <w:color w:val="000000"/>
          <w:sz w:val="22"/>
        </w:rPr>
        <w:t xml:space="preserve">Registration shall remain in effect as long as the board is satisfied that the intern is pursuing a degree in pharmacy in good faith and with reasonable diligence. A pharmacist-intern may request that the intern’s registration be extended beyond the automatic termination of the registration pursuant to the procedures and requirements of </w:t>
      </w:r>
      <w:hyperlink r:id="rId11">
        <w:r>
          <w:rPr>
            <w:rStyle w:val="Hyperlink"/>
            <w:rFonts w:ascii="Times New Roman" w:hAnsi="Times New Roman"/>
            <w:b w:val="false"/>
            <w:i w:val="false"/>
            <w:color w:val="000000"/>
            <w:sz w:val="22"/>
          </w:rPr>
          <w:t>657—Chapter 34</w:t>
        </w:r>
      </w:hyperlink>
      <w:r>
        <w:rPr>
          <w:rFonts w:ascii="Times New Roman" w:hAnsi="Times New Roman"/>
          <w:b w:val="false"/>
          <w:i w:val="false"/>
          <w:color w:val="000000"/>
          <w:sz w:val="22"/>
        </w:rPr>
        <w:t xml:space="preserve">. Except as provided by the definition of pharmacist-intern in rule </w:t>
      </w:r>
      <w:hyperlink r:id="rId12">
        <w:r>
          <w:rPr>
            <w:rStyle w:val="Hyperlink"/>
            <w:rFonts w:ascii="Times New Roman" w:hAnsi="Times New Roman"/>
            <w:b w:val="false"/>
            <w:i w:val="false"/>
            <w:color w:val="000000"/>
            <w:sz w:val="22"/>
          </w:rPr>
          <w:t>657—4.1</w:t>
        </w:r>
      </w:hyperlink>
      <w:r>
        <w:rPr>
          <w:rFonts w:ascii="Times New Roman" w:hAnsi="Times New Roman"/>
          <w:b w:val="false"/>
          <w:i w:val="false"/>
          <w:color w:val="000000"/>
          <w:sz w:val="22"/>
        </w:rPr>
        <w:t>(155A), registration shall automatically terminate upon the earliest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Licensure to practice pharmacy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Lapse in the pursuit of a degree in pharmacy;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year following graduation from the college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p>
    <w:p>
      <w:pPr>
        <w:spacing w:before="0" w:after="0"/>
        <w:ind w:left="120"/>
        <w:jc w:val="both"/>
      </w:pPr>
      <w:r>
        <w:rPr>
          <w:rFonts w:ascii="Times New Roman" w:hAnsi="Times New Roman"/>
          <w:b w:val="false"/>
          <w:i w:val="false"/>
          <w:color w:val="000000"/>
          <w:sz w:val="22"/>
        </w:rPr>
        <w:t>The pharmacist-intern shall be so designated in all relationships with the public and health professionals. While on duty in the pharmacy, the intern shall wear a name badge that is visible to the public and includes the designation “pharmacist-intern,” “pharmacy student,” or “student-pharmacist.”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Internship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 will not be given for internship experience obtained prior to the individual’s registration as a pharmacist-intern. Credit for Iowa college-based clinical programs will not be granted unless registration is issued before the student begins the program. Credit for internship experience will not be granted unless registration and other required records or affidavits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Notarized affidavits of experience in non-college-sponsored programs shall be submitted to the board no later than six months following graduation from a school or college of pharmacy. These affidavits shall certify only the number of hours and dates of training obtained outside a college-based clinical program as provided in rule </w:t>
      </w:r>
      <w:hyperlink r:id="rId13">
        <w:r>
          <w:rPr>
            <w:rStyle w:val="Hyperlink"/>
            <w:rFonts w:ascii="Times New Roman" w:hAnsi="Times New Roman"/>
            <w:b w:val="false"/>
            <w:i w:val="false"/>
            <w:color w:val="000000"/>
            <w:sz w:val="22"/>
          </w:rPr>
          <w:t>657—4.3</w:t>
        </w:r>
      </w:hyperlink>
      <w:r>
        <w:rPr>
          <w:rFonts w:ascii="Times New Roman" w:hAnsi="Times New Roman"/>
          <w:b w:val="false"/>
          <w:i w:val="false"/>
          <w:color w:val="000000"/>
          <w:sz w:val="22"/>
        </w:rPr>
        <w:t>(155A). An individual registered as a pharmacist-intern while participating in an Iowa residency or fellowship program shall not be required to file affidavits of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color w:val="000000"/>
          <w:sz w:val="22"/>
        </w:rPr>
        <w:t xml:space="preserve">Nontraditional internship. </w:t>
      </w:r>
      <w:r>
        <w:rPr>
          <w:rFonts w:ascii="Times New Roman" w:hAnsi="Times New Roman"/>
          <w:b w:val="false"/>
          <w:i w:val="false"/>
          <w:color w:val="000000"/>
          <w:sz w:val="22"/>
        </w:rPr>
        <w:t>Internship training at any site which is not licensed as a general or hospital pharmacy is considered nontraditional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Prior to beginning a period of nontraditional internship, the intern shall submit a written application, on forms provided by the board, for approval of the objectives of the nontraditional internship. The application shall identify objectives consistent with the unique learning experiences of the intern and consistent with the goal and objectives of internship in rule </w:t>
      </w:r>
      <w:hyperlink r:id="rId14">
        <w:r>
          <w:rPr>
            <w:rStyle w:val="Hyperlink"/>
            <w:rFonts w:ascii="Times New Roman" w:hAnsi="Times New Roman"/>
            <w:b w:val="false"/>
            <w:i w:val="false"/>
            <w:color w:val="000000"/>
            <w:sz w:val="22"/>
          </w:rPr>
          <w:t>657—4.2</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 xml:space="preserve">A preceptor supervising a pharmacist-intern in a nontraditional internship shall be a currently licensed pharmacist in the state where the internship is served, and the requirements of rule </w:t>
      </w:r>
      <w:hyperlink r:id="rId15">
        <w:r>
          <w:rPr>
            <w:rStyle w:val="Hyperlink"/>
            <w:rFonts w:ascii="Times New Roman" w:hAnsi="Times New Roman"/>
            <w:b w:val="false"/>
            <w:i w:val="false"/>
            <w:color w:val="000000"/>
            <w:sz w:val="22"/>
          </w:rPr>
          <w:t>657—4.9</w:t>
        </w:r>
      </w:hyperlink>
      <w:r>
        <w:rPr>
          <w:rFonts w:ascii="Times New Roman" w:hAnsi="Times New Roman"/>
          <w:b w:val="false"/>
          <w:i w:val="false"/>
          <w:color w:val="000000"/>
          <w:sz w:val="22"/>
        </w:rPr>
        <w:t>(155A) shall apply to all preceptors.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Certification, not credit. </w:t>
      </w:r>
      <w:r>
        <w:rPr>
          <w:rFonts w:ascii="Times New Roman" w:hAnsi="Times New Roman"/>
          <w:b w:val="false"/>
          <w:i w:val="false"/>
          <w:color w:val="000000"/>
          <w:sz w:val="22"/>
        </w:rPr>
        <w:t xml:space="preserve">Hours obtained in nontraditional internship shall not be credited toward the total 1500 hours required pursuant to rule </w:t>
      </w:r>
      <w:hyperlink r:id="rId16">
        <w:r>
          <w:rPr>
            <w:rStyle w:val="Hyperlink"/>
            <w:rFonts w:ascii="Times New Roman" w:hAnsi="Times New Roman"/>
            <w:b w:val="false"/>
            <w:i w:val="false"/>
            <w:color w:val="000000"/>
            <w:sz w:val="22"/>
          </w:rPr>
          <w:t>657—4.3</w:t>
        </w:r>
      </w:hyperlink>
      <w:r>
        <w:rPr>
          <w:rFonts w:ascii="Times New Roman" w:hAnsi="Times New Roman"/>
          <w:b w:val="false"/>
          <w:i w:val="false"/>
          <w:color w:val="000000"/>
          <w:sz w:val="22"/>
        </w:rPr>
        <w:t xml:space="preserve">(155A) or </w:t>
      </w:r>
      <w:hyperlink r:id="rId17">
        <w:r>
          <w:rPr>
            <w:rStyle w:val="Hyperlink"/>
            <w:rFonts w:ascii="Times New Roman" w:hAnsi="Times New Roman"/>
            <w:b w:val="false"/>
            <w:i w:val="false"/>
            <w:color w:val="000000"/>
            <w:sz w:val="22"/>
          </w:rPr>
          <w:t>657—4.7</w:t>
        </w:r>
      </w:hyperlink>
      <w:r>
        <w:rPr>
          <w:rFonts w:ascii="Times New Roman" w:hAnsi="Times New Roman"/>
          <w:b w:val="false"/>
          <w:i w:val="false"/>
          <w:color w:val="000000"/>
          <w:sz w:val="22"/>
        </w:rPr>
        <w:t>(155A) prior to licensure to practice pharmacy in Iowa. The board may, however, certify hours obtained in one or more approved nontraditional internships in recognition of the pharmacist-intern’s training outside the scope of traditional pharmacy practice. Certification shall not be granted for experience obtained in a nontraditional internship unless the board, prior to the intern’s beginning the period of internship, approved the objectives of the internship.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9784B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1406C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1786C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2405C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5544C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657—4.7</w:t>
      </w:r>
      <w:r>
        <w:rPr>
          <w:rFonts w:ascii="Times New Roman" w:hAnsi="Times New Roman"/>
          <w:b/>
          <w:i w:val="false"/>
          <w:color w:val="000000"/>
          <w:sz w:val="22"/>
        </w:rPr>
        <w:t xml:space="preserve">(155A) </w:t>
      </w:r>
      <w:r>
        <w:rPr>
          <w:rFonts w:ascii="Times New Roman" w:hAnsi="Times New Roman"/>
          <w:b/>
          <w:i w:val="false"/>
          <w:color w:val="000000"/>
          <w:sz w:val="22"/>
        </w:rPr>
        <w:t xml:space="preserve">Foreign pharmacy graduates. </w:t>
      </w:r>
      <w:r>
        <w:rPr>
          <w:rFonts w:ascii="Times New Roman" w:hAnsi="Times New Roman"/>
          <w:b w:val="false"/>
          <w:i w:val="false"/>
          <w:color w:val="000000"/>
          <w:sz w:val="22"/>
        </w:rPr>
        <w:t>Foreign pharmacy graduates who are candidates for licensure in Iowa will be required to obtain a minimum of 1500 hours of internship in a pharmacy licensed in a state or territory of the United States or other board-approved location that provides experience in community, institutional, and clinical pharmacy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Candidates shall register with the board as provided in rule </w:t>
      </w:r>
      <w:hyperlink r:id="rId18">
        <w:r>
          <w:rPr>
            <w:rStyle w:val="Hyperlink"/>
            <w:rFonts w:ascii="Times New Roman" w:hAnsi="Times New Roman"/>
            <w:b w:val="false"/>
            <w:i w:val="false"/>
            <w:color w:val="000000"/>
            <w:sz w:val="22"/>
          </w:rPr>
          <w:t>657—4.6</w:t>
        </w:r>
      </w:hyperlink>
      <w:r>
        <w:rPr>
          <w:rFonts w:ascii="Times New Roman" w:hAnsi="Times New Roman"/>
          <w:b w:val="false"/>
          <w:i w:val="false"/>
          <w:color w:val="000000"/>
          <w:sz w:val="22"/>
        </w:rPr>
        <w:t xml:space="preserve">(155A). Internship credit will not be granted until the candidate has been issued an intern registration. Applications for registration shall be accompanied by certification from the Foreign Pharmacy Graduate Examination Committee (FPGEC) as provided in </w:t>
      </w:r>
      <w:hyperlink r:id="rId19">
        <w:r>
          <w:rPr>
            <w:rStyle w:val="Hyperlink"/>
            <w:rFonts w:ascii="Times New Roman" w:hAnsi="Times New Roman"/>
            <w:b w:val="false"/>
            <w:i w:val="false"/>
            <w:color w:val="000000"/>
            <w:sz w:val="22"/>
          </w:rPr>
          <w:t>657—subrule 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hours. </w:t>
      </w:r>
      <w:r>
        <w:rPr>
          <w:rFonts w:ascii="Times New Roman" w:hAnsi="Times New Roman"/>
          <w:b w:val="false"/>
          <w:i w:val="false"/>
          <w:color w:val="000000"/>
          <w:sz w:val="22"/>
        </w:rPr>
        <w:t xml:space="preserve">Following completion of any period of internship, internship hours shall be certified to the board by submission of notarized affidavits of experience as provided in paragraph </w:t>
      </w:r>
      <w:hyperlink r:id="rId20">
        <w:r>
          <w:rPr>
            <w:rStyle w:val="Hyperlink"/>
            <w:rFonts w:ascii="Times New Roman" w:hAnsi="Times New Roman"/>
            <w:b w:val="false"/>
            <w:i w:val="false"/>
            <w:color w:val="000000"/>
            <w:sz w:val="22"/>
          </w:rPr>
          <w:t>4.6(4)</w:t>
        </w:r>
        <w:r>
          <w:rPr>
            <w:rFonts w:ascii="Times New Roman" w:hAnsi="Times New Roman"/>
            <w:b w:val="false"/>
            <w:i/>
            <w:color w:val="000000"/>
            <w:sz w:val="22"/>
          </w:rPr>
          <w:t>“c.”</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1406C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5544C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657—4.8</w:t>
      </w:r>
      <w:r>
        <w:rPr>
          <w:rFonts w:ascii="Times New Roman" w:hAnsi="Times New Roman"/>
          <w:b/>
          <w:i w:val="false"/>
          <w:color w:val="000000"/>
          <w:sz w:val="22"/>
        </w:rPr>
        <w:t xml:space="preserve">(155A) </w:t>
      </w:r>
      <w:r>
        <w:rPr>
          <w:rFonts w:ascii="Times New Roman" w:hAnsi="Times New Roman"/>
          <w:b/>
          <w:i w:val="false"/>
          <w:color w:val="000000"/>
          <w:sz w:val="22"/>
        </w:rPr>
        <w:t xml:space="preserve">Fees. </w:t>
      </w:r>
      <w:r>
        <w:rPr>
          <w:rFonts w:ascii="Times New Roman" w:hAnsi="Times New Roman"/>
          <w:b w:val="false"/>
          <w:i w:val="false"/>
          <w:color w:val="000000"/>
          <w:sz w:val="22"/>
        </w:rPr>
        <w:t>The fee for registration as a pharmacist-intern is $30, which shall be payable with the application. The board may require the submission of a nonrefundable fee of $15 for written registration verification or certification of internship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5544C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657—4.9</w:t>
      </w:r>
      <w:r>
        <w:rPr>
          <w:rFonts w:ascii="Times New Roman" w:hAnsi="Times New Roman"/>
          <w:b/>
          <w:i w:val="false"/>
          <w:color w:val="000000"/>
          <w:sz w:val="22"/>
        </w:rPr>
        <w:t xml:space="preserve">(155A) </w:t>
      </w:r>
      <w:r>
        <w:rPr>
          <w:rFonts w:ascii="Times New Roman" w:hAnsi="Times New Roman"/>
          <w:b/>
          <w:i w:val="false"/>
          <w:color w:val="000000"/>
          <w:sz w:val="22"/>
        </w:rPr>
        <w:t xml:space="preserve">Preceptor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color w:val="000000"/>
          <w:sz w:val="22"/>
        </w:rPr>
        <w:t xml:space="preserve">Licensed pharmacist. </w:t>
      </w:r>
      <w:r>
        <w:rPr>
          <w:rFonts w:ascii="Times New Roman" w:hAnsi="Times New Roman"/>
          <w:b w:val="false"/>
          <w:i w:val="false"/>
          <w:color w:val="000000"/>
          <w:sz w:val="22"/>
        </w:rPr>
        <w:t xml:space="preserve">A preceptor shall be a licensed pharmacist in good standing in the state where the internship is to be served pursuant to the definition of pharmacist preceptor in rule </w:t>
      </w:r>
      <w:hyperlink r:id="rId21">
        <w:r>
          <w:rPr>
            <w:rStyle w:val="Hyperlink"/>
            <w:rFonts w:ascii="Times New Roman" w:hAnsi="Times New Roman"/>
            <w:b w:val="false"/>
            <w:i w:val="false"/>
            <w:color w:val="000000"/>
            <w:sz w:val="22"/>
          </w:rPr>
          <w:t>657—4.1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color w:val="000000"/>
          <w:sz w:val="22"/>
        </w:rPr>
        <w:t xml:space="preserve">Affidavits. </w:t>
      </w:r>
      <w:r>
        <w:rPr>
          <w:rFonts w:ascii="Times New Roman" w:hAnsi="Times New Roman"/>
          <w:b w:val="false"/>
          <w:i w:val="false"/>
          <w:color w:val="000000"/>
          <w:sz w:val="22"/>
        </w:rPr>
        <w:t>A preceptor shall be responsible for completing the affidavit certifying the number of hours and the dates of each internship training period under the supervision of the preceptor for any period of internship completed outside a college-based clinical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color w:val="000000"/>
          <w:sz w:val="22"/>
        </w:rPr>
        <w:t xml:space="preserve">Number of interns. </w:t>
      </w:r>
      <w:r>
        <w:rPr>
          <w:rFonts w:ascii="Times New Roman" w:hAnsi="Times New Roman"/>
          <w:b w:val="false"/>
          <w:i w:val="false"/>
          <w:color w:val="000000"/>
          <w:sz w:val="22"/>
        </w:rPr>
        <w:t>For the purpose of internship, a preceptor may supervise no more than two pharmacist-interns concurrently.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A preceptor shall be responsible for all functions performed by a pharmacist-intern.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1406C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4266C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657—4.10</w:t>
      </w:r>
      <w:r>
        <w:rPr>
          <w:rFonts w:ascii="Times New Roman" w:hAnsi="Times New Roman"/>
          <w:b/>
          <w:i w:val="false"/>
          <w:color w:val="000000"/>
          <w:sz w:val="22"/>
        </w:rPr>
        <w:t xml:space="preserve">(155A) </w:t>
      </w:r>
      <w:r>
        <w:rPr>
          <w:rFonts w:ascii="Times New Roman" w:hAnsi="Times New Roman"/>
          <w:b/>
          <w:i w:val="false"/>
          <w:color w:val="000000"/>
          <w:sz w:val="22"/>
        </w:rPr>
        <w:t xml:space="preserve">Denial of pharmacist-intern registration. </w:t>
      </w:r>
      <w:r>
        <w:rPr>
          <w:rFonts w:ascii="Times New Roman" w:hAnsi="Times New Roman"/>
          <w:b w:val="false"/>
          <w:i w:val="false"/>
          <w:color w:val="000000"/>
          <w:sz w:val="22"/>
        </w:rPr>
        <w:t xml:space="preserve">The board may deny an application for registration as a pharmacist-intern for any violation of the laws of this state, another state, or the United States relating to prescription drugs, controlled substances, or nonprescription drugs, or for any violation of Iowa Code chapter </w:t>
      </w:r>
      <w:hyperlink r:id="rId2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or any rule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657—4.11</w:t>
      </w:r>
      <w:r>
        <w:rPr>
          <w:rFonts w:ascii="Times New Roman" w:hAnsi="Times New Roman"/>
          <w:b/>
          <w:i w:val="false"/>
          <w:color w:val="000000"/>
          <w:sz w:val="22"/>
        </w:rPr>
        <w:t xml:space="preserve">(155A) </w:t>
      </w:r>
      <w:r>
        <w:rPr>
          <w:rFonts w:ascii="Times New Roman" w:hAnsi="Times New Roman"/>
          <w:b/>
          <w:i w:val="false"/>
          <w:color w:val="000000"/>
          <w:sz w:val="22"/>
        </w:rPr>
        <w:t xml:space="preserve">Notifications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Reporting registration changes. </w:t>
      </w:r>
      <w:r>
        <w:rPr>
          <w:rFonts w:ascii="Times New Roman" w:hAnsi="Times New Roman"/>
          <w:b w:val="false"/>
          <w:i w:val="false"/>
          <w:color w:val="000000"/>
          <w:sz w:val="22"/>
        </w:rPr>
        <w:t>A registered pharmacist-intern shall report to the board within ten days a change of the pharmacist-intern’s name, address or email address. Except for a change in name, an update to the pharmacist-intern’s personal online profile through the board’s online database shall satisfy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Reporting criminal convictions and pleas. </w:t>
      </w:r>
      <w:r>
        <w:rPr>
          <w:rFonts w:ascii="Times New Roman" w:hAnsi="Times New Roman"/>
          <w:b w:val="false"/>
          <w:i w:val="false"/>
          <w:color w:val="000000"/>
          <w:sz w:val="22"/>
        </w:rPr>
        <w:t>A registered pharmacist-intern who has been convicted of a crime, or entered a plea of guilty, nolo contendere, or no contest to a crime, other than a minor traffic offense, shall report such conviction or plea to the board within 30 days of adjudication.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Reporting disciplinary action. </w:t>
      </w:r>
      <w:r>
        <w:rPr>
          <w:rFonts w:ascii="Times New Roman" w:hAnsi="Times New Roman"/>
          <w:b w:val="false"/>
          <w:i w:val="false"/>
          <w:color w:val="000000"/>
          <w:sz w:val="22"/>
        </w:rPr>
        <w:t>A registered pharmacist-intern who has been the subject of disciplinary action in another state, including but not limited to citations, reprimands, fines, license restrictions, probation, license or registration surrender, suspension, or revocation, shall report such action to the board within 30 days of adjudication.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5544C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657—4.12</w:t>
      </w:r>
      <w:r>
        <w:rPr>
          <w:rFonts w:ascii="Times New Roman" w:hAnsi="Times New Roman"/>
          <w:b/>
          <w:i w:val="false"/>
          <w:color w:val="000000"/>
          <w:sz w:val="22"/>
        </w:rPr>
        <w:t xml:space="preserve">(155A) </w:t>
      </w:r>
      <w:r>
        <w:rPr>
          <w:rFonts w:ascii="Times New Roman" w:hAnsi="Times New Roman"/>
          <w:b/>
          <w:i w:val="false"/>
          <w:color w:val="000000"/>
          <w:sz w:val="22"/>
        </w:rPr>
        <w:t xml:space="preserve">Discipline of pharmacist-interns.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The board may impose discipline for any violation of the laws of this state, another state, or the United States relating to prescription drugs, controlled substances, or nonprescription drugs or for any violation of Iowa Code chapter </w:t>
      </w:r>
      <w:hyperlink r:id="rId2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or any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The board may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pharmacist-intern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pharmacist-intern registration until further order of the board or for a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board, or for a specified period, the engaging in specified procedures, methods,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5544C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4">
        <w:r>
          <w:rPr>
            <w:rStyle w:val="Hyperlink"/>
            <w:rFonts w:ascii="Times New Roman" w:hAnsi="Times New Roman"/>
            <w:b w:val="false"/>
            <w:i w:val="false"/>
            <w:color w:val="000000"/>
            <w:sz w:val="22"/>
          </w:rPr>
          <w:t>155A.6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7/19/67; amended 2/13/73]</w:t>
      </w:r>
    </w:p>
    <w:p>
      <w:pPr>
        <w:spacing w:before="0" w:after="0"/>
        <w:ind w:left="120"/>
        <w:jc w:val="center"/>
      </w:pPr>
      <w:r>
        <w:rPr>
          <w:rFonts w:ascii="Times New Roman" w:hAnsi="Times New Roman"/>
          <w:b w:val="false"/>
          <w:i w:val="false"/>
          <w:color w:val="000000"/>
          <w:sz w:val="21"/>
        </w:rPr>
        <w:t>[Filed 11/24/76, Notice 10/20/76—published 12/15/76, effective 1/19/77]</w:t>
      </w:r>
    </w:p>
    <w:p>
      <w:pPr>
        <w:spacing w:before="0" w:after="0"/>
        <w:ind w:left="120"/>
        <w:jc w:val="center"/>
      </w:pPr>
      <w:r>
        <w:rPr>
          <w:rFonts w:ascii="Times New Roman" w:hAnsi="Times New Roman"/>
          <w:b w:val="false"/>
          <w:i w:val="false"/>
          <w:color w:val="000000"/>
          <w:sz w:val="21"/>
        </w:rPr>
        <w:t>[Filed 11/9/77, Notice 10/5/77—published 11/30/77, effective 1/4/78]</w:t>
      </w:r>
    </w:p>
    <w:p>
      <w:pPr>
        <w:spacing w:before="0" w:after="0"/>
        <w:ind w:left="120"/>
        <w:jc w:val="center"/>
      </w:pPr>
      <w:r>
        <w:rPr>
          <w:rFonts w:ascii="Times New Roman" w:hAnsi="Times New Roman"/>
          <w:b w:val="false"/>
          <w:i w:val="false"/>
          <w:color w:val="000000"/>
          <w:sz w:val="21"/>
        </w:rPr>
        <w:t>[Filed 10/20/78, Notice 8/9/78—published 11/15/78, effective 1/9/79]</w:t>
      </w:r>
    </w:p>
    <w:p>
      <w:pPr>
        <w:spacing w:before="0" w:after="0"/>
        <w:ind w:left="120"/>
        <w:jc w:val="center"/>
      </w:pPr>
      <w:r>
        <w:rPr>
          <w:rFonts w:ascii="Times New Roman" w:hAnsi="Times New Roman"/>
          <w:b w:val="false"/>
          <w:i w:val="false"/>
          <w:color w:val="000000"/>
          <w:sz w:val="21"/>
        </w:rPr>
        <w:t>[Filed 8/28/79, Notice 5/30/79—published 9/19/79, effective 10/24/79]</w:t>
      </w:r>
    </w:p>
    <w:p>
      <w:pPr>
        <w:spacing w:before="0" w:after="0"/>
        <w:ind w:left="120"/>
        <w:jc w:val="center"/>
      </w:pPr>
      <w:r>
        <w:rPr>
          <w:rFonts w:ascii="Times New Roman" w:hAnsi="Times New Roman"/>
          <w:b w:val="false"/>
          <w:i w:val="false"/>
          <w:color w:val="000000"/>
          <w:sz w:val="21"/>
        </w:rPr>
        <w:t>[Filed 9/10/82, Notice 6/9/82—published 9/29/82, effective 11/8/82]</w:t>
      </w:r>
    </w:p>
    <w:p>
      <w:pPr>
        <w:spacing w:before="0" w:after="0"/>
        <w:ind w:left="120"/>
        <w:jc w:val="center"/>
      </w:pPr>
      <w:r>
        <w:rPr>
          <w:rFonts w:ascii="Times New Roman" w:hAnsi="Times New Roman"/>
          <w:b w:val="false"/>
          <w:i w:val="false"/>
          <w:color w:val="000000"/>
          <w:sz w:val="21"/>
        </w:rPr>
        <w:t>[Filed 12/22/87, Notice 11/4/87—published 1/13/88, effective 2/17/88]</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11/17/88, Notice 8/24/88—published 12/14/88, effective 1/18/89]</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8/31/90, Notice 6/13/90—published 9/19/90, effective 10/24/90]</w:t>
      </w:r>
    </w:p>
    <w:p>
      <w:pPr>
        <w:spacing w:before="0" w:after="0"/>
        <w:ind w:left="120"/>
        <w:jc w:val="center"/>
      </w:pPr>
      <w:r>
        <w:rPr>
          <w:rFonts w:ascii="Times New Roman" w:hAnsi="Times New Roman"/>
          <w:b w:val="false"/>
          <w:i w:val="false"/>
          <w:color w:val="000000"/>
          <w:sz w:val="21"/>
        </w:rPr>
        <w:t>[Filed 4/26/91, Notice 2/20/91—published 5/15/91, effective 6/19/91]</w:t>
      </w:r>
    </w:p>
    <w:p>
      <w:pPr>
        <w:spacing w:before="0" w:after="0"/>
        <w:ind w:left="120"/>
        <w:jc w:val="center"/>
      </w:pPr>
      <w:r>
        <w:rPr>
          <w:rFonts w:ascii="Times New Roman" w:hAnsi="Times New Roman"/>
          <w:b w:val="false"/>
          <w:i w:val="false"/>
          <w:color w:val="000000"/>
          <w:sz w:val="21"/>
        </w:rPr>
        <w:t>[Filed 12/10/96, Notice 8/28/96—published 1/1/97, effective 2/5/97]</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2/18/00, Notice 12/15/99—published 3/22/00, effective 4/26/00]</w:t>
      </w:r>
    </w:p>
    <w:p>
      <w:pPr>
        <w:spacing w:before="0" w:after="0"/>
        <w:ind w:left="120"/>
        <w:jc w:val="center"/>
      </w:pPr>
      <w:r>
        <w:rPr>
          <w:rFonts w:ascii="Times New Roman" w:hAnsi="Times New Roman"/>
          <w:b w:val="false"/>
          <w:i w:val="false"/>
          <w:color w:val="000000"/>
          <w:sz w:val="21"/>
        </w:rPr>
        <w:t>[Filed 2/7/01, Notice 10/18/00—published 3/7/01, effective 4/11/01]</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12/22/04, Notice 11/10/04—published 1/19/05, effective 2/23/05]</w:t>
      </w:r>
    </w:p>
    <w:p>
      <w:pPr>
        <w:spacing w:before="0" w:after="0"/>
        <w:ind w:left="120"/>
        <w:jc w:val="center"/>
      </w:pPr>
      <w:r>
        <w:rPr>
          <w:rFonts w:ascii="Times New Roman" w:hAnsi="Times New Roman"/>
          <w:b w:val="false"/>
          <w:i w:val="false"/>
          <w:color w:val="000000"/>
          <w:sz w:val="21"/>
        </w:rPr>
        <w:t>[Filed 3/22/06, Notice 1/18/06—published 4/12/06, effective 5/17/06]</w:t>
      </w:r>
    </w:p>
    <w:p>
      <w:pPr>
        <w:spacing w:before="0" w:after="0"/>
        <w:ind w:left="120"/>
        <w:jc w:val="center"/>
      </w:pPr>
      <w:r>
        <w:rPr>
          <w:rFonts w:ascii="Times New Roman" w:hAnsi="Times New Roman"/>
          <w:b w:val="false"/>
          <w:i w:val="false"/>
          <w:color w:val="000000"/>
          <w:sz w:val="21"/>
        </w:rPr>
        <w:t>[Filed ARC 9784B</w:t>
      </w:r>
      <w:r>
        <w:rPr>
          <w:rFonts w:ascii="Times New Roman" w:hAnsi="Times New Roman"/>
          <w:b w:val="false"/>
          <w:i w:val="false"/>
          <w:color w:val="000000"/>
          <w:sz w:val="21"/>
        </w:rPr>
        <w:t xml:space="preserve"> (Notice ARC 9555B, IAB 6/15/11)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1406C</w:t>
      </w:r>
      <w:r>
        <w:rPr>
          <w:rFonts w:ascii="Times New Roman" w:hAnsi="Times New Roman"/>
          <w:b w:val="false"/>
          <w:i w:val="false"/>
          <w:color w:val="000000"/>
          <w:sz w:val="21"/>
        </w:rPr>
        <w:t xml:space="preserve"> (Notice ARC 1237C, IAB 12/11/13)</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1786C</w:t>
      </w:r>
      <w:r>
        <w:rPr>
          <w:rFonts w:ascii="Times New Roman" w:hAnsi="Times New Roman"/>
          <w:b w:val="false"/>
          <w:i w:val="false"/>
          <w:color w:val="000000"/>
          <w:sz w:val="21"/>
        </w:rPr>
        <w:t xml:space="preserve"> (Notice ARC 1652C,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2405C</w:t>
      </w:r>
      <w:r>
        <w:rPr>
          <w:rFonts w:ascii="Times New Roman" w:hAnsi="Times New Roman"/>
          <w:b w:val="false"/>
          <w:i w:val="false"/>
          <w:color w:val="000000"/>
          <w:sz w:val="21"/>
        </w:rPr>
        <w:t xml:space="preserve"> (Notice ARC 2301C,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3857C</w:t>
      </w:r>
      <w:r>
        <w:rPr>
          <w:rFonts w:ascii="Times New Roman" w:hAnsi="Times New Roman"/>
          <w:b w:val="false"/>
          <w:i w:val="false"/>
          <w:color w:val="000000"/>
          <w:sz w:val="21"/>
        </w:rPr>
        <w:t xml:space="preserve"> (Notice ARC 3506C, IAB 12/20/17)</w:t>
      </w:r>
      <w:r>
        <w:rPr>
          <w:rFonts w:ascii="Times New Roman" w:hAnsi="Times New Roman"/>
          <w:b w:val="false"/>
          <w:i w:val="false"/>
          <w:color w:val="000000"/>
          <w:sz w:val="21"/>
        </w:rPr>
        <w:t>, IAB 6/20/18, effective 7/25/18]</w:t>
      </w:r>
      <w:r>
        <w:br/>
      </w:r>
      <w:r>
        <w:rPr>
          <w:rFonts w:ascii="Times New Roman" w:hAnsi="Times New Roman"/>
          <w:b w:val="false"/>
          <w:i w:val="false"/>
          <w:color w:val="000000"/>
          <w:sz w:val="21"/>
        </w:rPr>
        <w:t>[Filed ARC 3858C</w:t>
      </w:r>
      <w:r>
        <w:rPr>
          <w:rFonts w:ascii="Times New Roman" w:hAnsi="Times New Roman"/>
          <w:b w:val="false"/>
          <w:i w:val="false"/>
          <w:color w:val="000000"/>
          <w:sz w:val="21"/>
        </w:rPr>
        <w:t xml:space="preserve"> (Notice ARC 3509C,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4266C</w:t>
      </w:r>
      <w:r>
        <w:rPr>
          <w:rFonts w:ascii="Times New Roman" w:hAnsi="Times New Roman"/>
          <w:b w:val="false"/>
          <w:i w:val="false"/>
          <w:color w:val="000000"/>
          <w:sz w:val="21"/>
        </w:rPr>
        <w:t xml:space="preserve"> (Notice ARC 4091C, IAB 10/24/18)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4579C</w:t>
      </w:r>
      <w:r>
        <w:rPr>
          <w:rFonts w:ascii="Times New Roman" w:hAnsi="Times New Roman"/>
          <w:b w:val="false"/>
          <w:i w:val="false"/>
          <w:color w:val="000000"/>
          <w:sz w:val="21"/>
        </w:rPr>
        <w:t xml:space="preserve"> (Notice ARC 4391C,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5544C</w:t>
      </w:r>
      <w:r>
        <w:rPr>
          <w:rFonts w:ascii="Times New Roman" w:hAnsi="Times New Roman"/>
          <w:b w:val="false"/>
          <w:i w:val="false"/>
          <w:color w:val="000000"/>
          <w:sz w:val="21"/>
        </w:rPr>
        <w:t xml:space="preserve"> (Notice ARC 5235C, IAB 10/21/20)</w:t>
      </w:r>
      <w:r>
        <w:rPr>
          <w:rFonts w:ascii="Times New Roman" w:hAnsi="Times New Roman"/>
          <w:b w:val="false"/>
          <w:i w:val="false"/>
          <w:color w:val="000000"/>
          <w:sz w:val="21"/>
        </w:rPr>
        <w:t>, IAB 4/7/21, effective 5/12/21]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5A.6.pdf" Type="http://schemas.openxmlformats.org/officeDocument/2006/relationships/hyperlink" Id="rId5"/>
    <Relationship TargetMode="External" Target="https://www.legis.iowa.gov/docs/iac/rule/657.4.7.pdf" Type="http://schemas.openxmlformats.org/officeDocument/2006/relationships/hyperlink" Id="rId6"/>
    <Relationship TargetMode="External" Target="https://www.legis.iowa.gov/docs/iac/rule/657.4.9.pdf" Type="http://schemas.openxmlformats.org/officeDocument/2006/relationships/hyperlink" Id="rId7"/>
    <Relationship TargetMode="External" Target="https://www.legis.iowa.gov/docs/iac/rule/657.4.2.pdf" Type="http://schemas.openxmlformats.org/officeDocument/2006/relationships/hyperlink" Id="rId8"/>
    <Relationship TargetMode="External" Target="https://www.legis.iowa.gov/docs/iac/rule/657.4.2.pdf" Type="http://schemas.openxmlformats.org/officeDocument/2006/relationships/hyperlink" Id="rId9"/>
    <Relationship TargetMode="External" Target="https://www.legis.iowa.gov/docs/iac/rule/657.4.3.pdf" Type="http://schemas.openxmlformats.org/officeDocument/2006/relationships/hyperlink" Id="rId10"/>
    <Relationship TargetMode="External" Target="https://www.legis.iowa.gov/docs/iac/chapter/657.34.pdf" Type="http://schemas.openxmlformats.org/officeDocument/2006/relationships/hyperlink" Id="rId11"/>
    <Relationship TargetMode="External" Target="https://www.legis.iowa.gov/docs/iac/rule/657.4.1.pdf" Type="http://schemas.openxmlformats.org/officeDocument/2006/relationships/hyperlink" Id="rId12"/>
    <Relationship TargetMode="External" Target="https://www.legis.iowa.gov/docs/iac/rule/657.4.3.pdf" Type="http://schemas.openxmlformats.org/officeDocument/2006/relationships/hyperlink" Id="rId13"/>
    <Relationship TargetMode="External" Target="https://www.legis.iowa.gov/docs/iac/rule/657.4.2.pdf" Type="http://schemas.openxmlformats.org/officeDocument/2006/relationships/hyperlink" Id="rId14"/>
    <Relationship TargetMode="External" Target="https://www.legis.iowa.gov/docs/iac/rule/657.4.9.pdf" Type="http://schemas.openxmlformats.org/officeDocument/2006/relationships/hyperlink" Id="rId15"/>
    <Relationship TargetMode="External" Target="https://www.legis.iowa.gov/docs/iac/rule/657.4.3.pdf" Type="http://schemas.openxmlformats.org/officeDocument/2006/relationships/hyperlink" Id="rId16"/>
    <Relationship TargetMode="External" Target="https://www.legis.iowa.gov/docs/iac/rule/657.4.7.pdf" Type="http://schemas.openxmlformats.org/officeDocument/2006/relationships/hyperlink" Id="rId17"/>
    <Relationship TargetMode="External" Target="https://www.legis.iowa.gov/docs/iac/rule/657.4.6.pdf" Type="http://schemas.openxmlformats.org/officeDocument/2006/relationships/hyperlink" Id="rId18"/>
    <Relationship TargetMode="External" Target="https://www.legis.iowa.gov/docs/iac/rule/657.2.10.pdf" Type="http://schemas.openxmlformats.org/officeDocument/2006/relationships/hyperlink" Id="rId19"/>
    <Relationship TargetMode="External" Target="https://www.legis.iowa.gov/docs/iac/rule/657.4.6.pdf" Type="http://schemas.openxmlformats.org/officeDocument/2006/relationships/hyperlink" Id="rId20"/>
    <Relationship TargetMode="External" Target="https://www.legis.iowa.gov/docs/iac/rule/657.4.1.pdf" Type="http://schemas.openxmlformats.org/officeDocument/2006/relationships/hyperlink" Id="rId21"/>
    <Relationship TargetMode="External" Target="https://www.legis.iowa.gov/docs/ico/chapter/124.pdf" Type="http://schemas.openxmlformats.org/officeDocument/2006/relationships/hyperlink" Id="rId22"/>
    <Relationship TargetMode="External" Target="https://www.legis.iowa.gov/docs/ico/chapter/124B.pdf" Type="http://schemas.openxmlformats.org/officeDocument/2006/relationships/hyperlink" Id="rId23"/>
    <Relationship TargetMode="External" Target="https://www.legis.iowa.gov/docs/ico/chapter/126.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55A.pdf" Type="http://schemas.openxmlformats.org/officeDocument/2006/relationships/hyperlink" Id="rId26"/>
    <Relationship TargetMode="External" Target="https://www.legis.iowa.gov/docs/ico/chapter/205.pdf" Type="http://schemas.openxmlformats.org/officeDocument/2006/relationships/hyperlink" Id="rId27"/>
    <Relationship TargetMode="External" Target="https://www.legis.iowa.gov/docs/ico/chapter/124.pdf" Type="http://schemas.openxmlformats.org/officeDocument/2006/relationships/hyperlink" Id="rId28"/>
    <Relationship TargetMode="External" Target="https://www.legis.iowa.gov/docs/ico/chapter/124B.pdf" Type="http://schemas.openxmlformats.org/officeDocument/2006/relationships/hyperlink" Id="rId29"/>
    <Relationship TargetMode="External" Target="https://www.legis.iowa.gov/docs/ico/chapter/126.pdf" Type="http://schemas.openxmlformats.org/officeDocument/2006/relationships/hyperlink" Id="rId30"/>
    <Relationship TargetMode="External" Target="https://www.legis.iowa.gov/docs/ico/chapter/147.pdf" Type="http://schemas.openxmlformats.org/officeDocument/2006/relationships/hyperlink" Id="rId31"/>
    <Relationship TargetMode="External" Target="https://www.legis.iowa.gov/docs/ico/chapter/155A.pdf" Type="http://schemas.openxmlformats.org/officeDocument/2006/relationships/hyperlink" Id="rId32"/>
    <Relationship TargetMode="External" Target="https://www.legis.iowa.gov/docs/ico/chapter/205.pdf" Type="http://schemas.openxmlformats.org/officeDocument/2006/relationships/hyperlink" Id="rId33"/>
    <Relationship TargetMode="External" Target="https://www.legis.iowa.gov/docs/ico/chapter/155A.6.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