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EXPANDED PRACTICE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657—39.1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 purpose of this chapter is to establish the minimum standards for the programs and activities identified in this chapter. These rules shall apply to all licensed pharmacists, other registered pharmacy personnel, and all pharmacies, including owners, engaged in the state of Iowa in the programs and activities identified in this chapter. These rules are in addition to rules of the board relating to the practice of pharmacy unless otherwise indicated by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657—39.2</w:t>
      </w:r>
      <w:r>
        <w:rPr>
          <w:rFonts w:ascii="Times New Roman" w:hAnsi="Times New Roman"/>
          <w:b w:val="false"/>
          <w:i w:val="false"/>
          <w:color w:val="000000"/>
          <w:sz w:val="22"/>
        </w:rPr>
        <w:t xml:space="preserve"> and </w:t>
      </w:r>
      <w:r>
        <w:rPr>
          <w:rFonts w:ascii="Times New Roman" w:hAnsi="Times New Roman"/>
          <w:b/>
          <w:i w:val="false"/>
          <w:color w:val="000000"/>
          <w:sz w:val="22"/>
        </w:rPr>
        <w:t>39.3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657—39.4</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Pharmaceutical care. </w:t>
      </w:r>
      <w:r>
        <w:rPr>
          <w:rFonts w:ascii="Times New Roman" w:hAnsi="Times New Roman"/>
          <w:b w:val="false"/>
          <w:i w:val="false"/>
          <w:color w:val="000000"/>
          <w:sz w:val="22"/>
        </w:rPr>
        <w:t>Pharmaceutical care is a comprehensive, patient-centered, outcomes-oriented pharmacy practice in which the pharmacist accepts responsibility for assisting the prescriber and the patient in optimizing the patient’s drug therapy plan and works to promote health, to prevent disease, and to optimize drug therapy. Pharmaceutical care does not include the prescribing of drugs without the consent of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Drug therapy problems. </w:t>
      </w:r>
      <w:r>
        <w:rPr>
          <w:rFonts w:ascii="Times New Roman" w:hAnsi="Times New Roman"/>
          <w:b w:val="false"/>
          <w:i w:val="false"/>
          <w:color w:val="000000"/>
          <w:sz w:val="22"/>
        </w:rPr>
        <w:t>In providing pharmaceutical care, the pharmacist shall strive to identify, resolve, and prevent drug therapy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Drug therapy plan. </w:t>
      </w:r>
      <w:r>
        <w:rPr>
          <w:rFonts w:ascii="Times New Roman" w:hAnsi="Times New Roman"/>
          <w:b w:val="false"/>
          <w:i w:val="false"/>
          <w:color w:val="000000"/>
          <w:sz w:val="22"/>
        </w:rPr>
        <w:t>In providing pharmaceutical care, the pharmacist shall access and evaluate patient-specific information, identify drug therapy problems, and utilize that information in a documented plan of therapy that assists the patient or the patient’s caregiver in achieving optimal drug therapy. In concert with the patient, the patient’s prescribing practitioner, and the patient’s other health care providers, the pharmacist shall assess, monitor, and suggest modifications of the drug therapy plan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657—39.5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657—39.6</w:t>
      </w:r>
      <w:r>
        <w:rPr>
          <w:rFonts w:ascii="Times New Roman" w:hAnsi="Times New Roman"/>
          <w:b/>
          <w:i w:val="false"/>
          <w:color w:val="000000"/>
          <w:sz w:val="22"/>
        </w:rPr>
        <w:t xml:space="preserve">(155A) </w:t>
      </w:r>
      <w:r>
        <w:rPr>
          <w:rFonts w:ascii="Times New Roman" w:hAnsi="Times New Roman"/>
          <w:b/>
          <w:i w:val="false"/>
          <w:color w:val="000000"/>
          <w:sz w:val="22"/>
        </w:rPr>
        <w:t xml:space="preserve">Statewide protocols. </w:t>
      </w:r>
      <w:r>
        <w:rPr>
          <w:rFonts w:ascii="Times New Roman" w:hAnsi="Times New Roman"/>
          <w:b w:val="false"/>
          <w:i w:val="false"/>
          <w:color w:val="000000"/>
          <w:sz w:val="22"/>
        </w:rPr>
        <w:t xml:space="preserve">To the extent authorized in Iowa Code section </w:t>
      </w:r>
      <w:hyperlink r:id="rId5">
        <w:r>
          <w:rPr>
            <w:rStyle w:val="Hyperlink"/>
            <w:rFonts w:ascii="Times New Roman" w:hAnsi="Times New Roman"/>
            <w:b w:val="false"/>
            <w:i w:val="false"/>
            <w:color w:val="000000"/>
            <w:sz w:val="22"/>
          </w:rPr>
          <w:t>155A.46</w:t>
        </w:r>
      </w:hyperlink>
      <w:r>
        <w:rPr>
          <w:rFonts w:ascii="Times New Roman" w:hAnsi="Times New Roman"/>
          <w:b w:val="false"/>
          <w:i w:val="false"/>
          <w:color w:val="000000"/>
          <w:sz w:val="22"/>
        </w:rPr>
        <w:t xml:space="preserve">, a pharmacist may, pursuant to statewide protocols developed by the board in consultation with the department of public health and available on the board’s website at </w:t>
      </w:r>
      <w:hyperlink r:id="rId6">
        <w:r>
          <w:rPr>
            <w:rStyle w:val="Hyperlink"/>
            <w:rFonts w:ascii="Times New Roman" w:hAnsi="Times New Roman"/>
            <w:b w:val="false"/>
            <w:i w:val="false"/>
            <w:color w:val="000000"/>
            <w:sz w:val="22"/>
            <w:u w:val="single"/>
          </w:rPr>
          <w:t>pharmacy.iowa.gov</w:t>
        </w:r>
      </w:hyperlink>
      <w:r>
        <w:rPr>
          <w:rFonts w:ascii="Times New Roman" w:hAnsi="Times New Roman"/>
          <w:b w:val="false"/>
          <w:i w:val="false"/>
          <w:color w:val="000000"/>
          <w:sz w:val="22"/>
        </w:rPr>
        <w:t>, order and dispense medications pursuant to the requirements identified in the statewide protocols. For the purpose of this rule, the order shall constitute a prescription.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4270C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4387C</w:t>
      </w:r>
      <w:r>
        <w:rPr>
          <w:rFonts w:ascii="Times New Roman" w:hAnsi="Times New Roman"/>
          <w:b w:val="false"/>
          <w:i w:val="false"/>
          <w:color w:val="000000"/>
          <w:sz w:val="16"/>
        </w:rPr>
        <w:t>, IAB 4/10/19, effective 4/5/19</w:t>
      </w:r>
      <w:r>
        <w:rPr>
          <w:rFonts w:ascii="Times New Roman" w:hAnsi="Times New Roman"/>
          <w:b w:val="false"/>
          <w:i w:val="false"/>
          <w:color w:val="000000"/>
          <w:sz w:val="16"/>
        </w:rPr>
        <w:t xml:space="preserve">; </w:t>
      </w:r>
      <w:r>
        <w:rPr>
          <w:rFonts w:ascii="Times New Roman" w:hAnsi="Times New Roman"/>
          <w:b/>
          <w:i w:val="false"/>
          <w:color w:val="000000"/>
          <w:sz w:val="16"/>
        </w:rPr>
        <w:t>ARC 4583C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657—39.7</w:t>
      </w:r>
      <w:r>
        <w:rPr>
          <w:rFonts w:ascii="Times New Roman" w:hAnsi="Times New Roman"/>
          <w:b/>
          <w:i w:val="false"/>
          <w:color w:val="000000"/>
          <w:sz w:val="22"/>
        </w:rPr>
        <w:t xml:space="preserve">(135,147A) </w:t>
      </w:r>
      <w:r>
        <w:rPr>
          <w:rFonts w:ascii="Times New Roman" w:hAnsi="Times New Roman"/>
          <w:b/>
          <w:i w:val="false"/>
          <w:color w:val="000000"/>
          <w:sz w:val="22"/>
        </w:rPr>
        <w:t xml:space="preserve">Opioid antagonist dispensing by pharmacist—standing order. </w:t>
      </w:r>
      <w:r>
        <w:rPr>
          <w:rFonts w:ascii="Times New Roman" w:hAnsi="Times New Roman"/>
          <w:b w:val="false"/>
          <w:i w:val="false"/>
          <w:color w:val="000000"/>
          <w:sz w:val="22"/>
        </w:rPr>
        <w:t>An authorized pharmacist may dispense an opioid antagonist pursuant to a standing order established by the department, which standing order can be found via the board’s website, or pursuant to a standing order authorized by an individual licensed health care professional in compliance with the requirements of this rule. An authorized pharmacist may only delegate the dispensing of an opioid antagonist to an authorized pharmacist-intern under the direct supervision of an authorized pharmacist. Nothing in this rule prohibits a prescriber or facility from establishing and implementing standing orders or protocols under the authority granted to the prescriber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pharmacist” </w:t>
      </w:r>
      <w:r>
        <w:rPr>
          <w:rFonts w:ascii="Times New Roman" w:hAnsi="Times New Roman"/>
          <w:b w:val="false"/>
          <w:i w:val="false"/>
          <w:color w:val="000000"/>
          <w:sz w:val="22"/>
        </w:rPr>
        <w:t>means an Iowa-licensed pharmacist who has completed the training requirements of this rule. “Authorized pharmacist” also includes an Iowa-registered pharmacist-intern who has completed the training requirements of this rule and is working under the direct supervision of an authorized Iowa-licensed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 </w:t>
      </w:r>
      <w:r>
        <w:rPr>
          <w:rFonts w:ascii="Times New Roman" w:hAnsi="Times New Roman"/>
          <w:b w:val="false"/>
          <w:i w:val="false"/>
          <w:color w:val="000000"/>
          <w:sz w:val="22"/>
        </w:rPr>
        <w:t xml:space="preserve">means an emergency medical care provider, a registered nurse staffing an authorized service program under Iowa Code section </w:t>
      </w:r>
      <w:hyperlink r:id="rId7">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 physician assistant staffing an authorized service program under Iowa Code section </w:t>
      </w:r>
      <w:hyperlink r:id="rId8">
        <w:r>
          <w:rPr>
            <w:rStyle w:val="Hyperlink"/>
            <w:rFonts w:ascii="Times New Roman" w:hAnsi="Times New Roman"/>
            <w:b w:val="false"/>
            <w:i w:val="false"/>
            <w:color w:val="000000"/>
            <w:sz w:val="22"/>
          </w:rPr>
          <w:t>147A.13</w:t>
        </w:r>
      </w:hyperlink>
      <w:r>
        <w:rPr>
          <w:rFonts w:ascii="Times New Roman" w:hAnsi="Times New Roman"/>
          <w:b w:val="false"/>
          <w:i w:val="false"/>
          <w:color w:val="000000"/>
          <w:sz w:val="22"/>
        </w:rPr>
        <w:t xml:space="preserve">, a firefighter, or a peace officer as defined in Iowa Code section </w:t>
      </w:r>
      <w:hyperlink r:id="rId9">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xml:space="preserve"> who is trained and authorized to administer an opioid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professional” </w:t>
      </w:r>
      <w:r>
        <w:rPr>
          <w:rFonts w:ascii="Times New Roman" w:hAnsi="Times New Roman"/>
          <w:b w:val="false"/>
          <w:i w:val="false"/>
          <w:color w:val="000000"/>
          <w:sz w:val="22"/>
        </w:rPr>
        <w:t xml:space="preserve">means a person licensed under Iowa Code chapter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to practice medicine and surgery or osteopathic medicine and surgery, an advanced registered nurse practitioner licensed under Iowa Code chapter </w:t>
      </w:r>
      <w:hyperlink r:id="rId1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registered with the board of nursing, or a physician assistant licensed to practice under the supervision of a physician as authorized in Iowa Code chapters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antagonist”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“Opioid-related overdose”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in a position to assist” </w:t>
      </w:r>
      <w:r>
        <w:rPr>
          <w:rFonts w:ascii="Times New Roman" w:hAnsi="Times New Roman"/>
          <w:b w:val="false"/>
          <w:i w:val="false"/>
          <w:color w:val="000000"/>
          <w:sz w:val="22"/>
        </w:rPr>
        <w:t>means a family member, friend, caregiver, health care provider, employee of a substance abuse treatment facility, school employee, or other person who may be in a position to render aid to a person at risk of experiencing an opioid-related overdose.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 individual at risk of an opioid-related overdose or a person in a position to assist an individual at risk of an opioid-related overdose.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“Standing order” </w:t>
      </w:r>
      <w:r>
        <w:rPr>
          <w:rFonts w:ascii="Times New Roman" w:hAnsi="Times New Roman"/>
          <w:b w:val="false"/>
          <w:i w:val="false"/>
          <w:color w:val="000000"/>
          <w:sz w:val="22"/>
        </w:rPr>
        <w:t>means a preauthorized medication order with specific instructions from the licensed health care professional to dispense a medication under clearly defined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Authorized pharmacist training. </w:t>
      </w:r>
      <w:r>
        <w:rPr>
          <w:rFonts w:ascii="Times New Roman" w:hAnsi="Times New Roman"/>
          <w:b w:val="false"/>
          <w:i w:val="false"/>
          <w:color w:val="000000"/>
          <w:sz w:val="22"/>
        </w:rPr>
        <w:t>An authorized pharmacist shall document successful completion of an ACPE-approved continuing education program of at least one-hour duration related to opioid antagonist utilization prior to dispensing opioid antagonists pursuant to a standing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color w:val="000000"/>
          <w:sz w:val="22"/>
        </w:rPr>
        <w:t xml:space="preserve">Additional supply. </w:t>
      </w:r>
      <w:r>
        <w:rPr>
          <w:rFonts w:ascii="Times New Roman" w:hAnsi="Times New Roman"/>
          <w:b w:val="false"/>
          <w:i w:val="false"/>
          <w:color w:val="000000"/>
          <w:sz w:val="22"/>
        </w:rPr>
        <w:t>Notwithstanding a standing order to the contrary, an authorized pharmacist shall only dispense an opioid antagonist after completing an eligibility assessment and providing training and education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An authorized pharmacist shall assess an individual for eligibility to receive an opioid antagonist pursuant to a standing order. In addition to the criteria identified in a standing order, an authorized pharmacist shall also take into consideration the following criteria to determine the eligibility of the recipient to receive and possess an opioid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at risk of an opioid-related overdose for which the opioid antagonist is intended to be administered has no known sensitivity or allergy to naloxone, unless the person at risk is not known to the recipient, including but not limited to a first responder or member of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is oriented to person, place, and time and able to understand and learn the essential components of opioid-related overdose, appropriate response, and opioid antagonist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39.7(5)</w:t>
      </w:r>
      <w:r>
        <w:rPr>
          <w:rFonts w:ascii="Times New Roman" w:hAnsi="Times New Roman"/>
          <w:b w:val="false"/>
          <w:i w:val="false"/>
          <w:color w:val="000000"/>
          <w:sz w:val="22"/>
        </w:rPr>
        <w:t> </w:t>
      </w:r>
      <w:r>
        <w:rPr>
          <w:rFonts w:ascii="Times New Roman" w:hAnsi="Times New Roman"/>
          <w:b w:val="false"/>
          <w:i/>
          <w:color w:val="000000"/>
          <w:sz w:val="22"/>
        </w:rPr>
        <w:t xml:space="preserve">Recipient training and education. </w:t>
      </w:r>
      <w:r>
        <w:rPr>
          <w:rFonts w:ascii="Times New Roman" w:hAnsi="Times New Roman"/>
          <w:b w:val="false"/>
          <w:i w:val="false"/>
          <w:color w:val="000000"/>
          <w:sz w:val="22"/>
        </w:rPr>
        <w:t>Upon assessment and determination that an individual is eligible to receive and possess an opioid antagonist pursuant to a standing order, an authorized pharmacist shall, prior to dispensing an opioid antagonist pursuant to a standing order, provide training and education to the recipient including, but not limited to, the information identified in this subrule. An authorized pharmacist shall require the recipient to attest that, if the product will be accessible to any other individual for administration, the recipient will make available to such individual all received training and education materials. An authorized pharmacist may provide to the recipient written materials that include, but may not be limited to, the information identified in this subrule, but the written materials shall not be in lieu of direct pharmacist consultation with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signs and symptoms of opioid-related overdose as described in the standing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importance of calling 911 as soon as possible and the potential need for rescue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appropriate use and directions for administration of the opioid antagonist to be dispensed pursuant to the standing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Adverse reactions of the opioid antagonist as well as reactions resulting from opioid withdrawal following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proper storage conditions, including temperature excursions, of the opioid antagonist being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opioid antagonist being dispensed and the appropriate disposal of the opioid antagonist upon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prohibition of the recipient from further distributing the opioid antagonist to another individual, unless that individual has received appropriate training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about substance abuse or behavioral health treatment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39.7(6)</w:t>
      </w:r>
      <w:r>
        <w:rPr>
          <w:rFonts w:ascii="Times New Roman" w:hAnsi="Times New Roman"/>
          <w:b w:val="false"/>
          <w:i w:val="false"/>
          <w:color w:val="000000"/>
          <w:sz w:val="22"/>
        </w:rPr>
        <w:t> </w:t>
      </w:r>
      <w:r>
        <w:rPr>
          <w:rFonts w:ascii="Times New Roman" w:hAnsi="Times New Roman"/>
          <w:b w:val="false"/>
          <w:i/>
          <w:color w:val="000000"/>
          <w:sz w:val="22"/>
        </w:rPr>
        <w:t xml:space="preserve">Labeling. </w:t>
      </w:r>
      <w:r>
        <w:rPr>
          <w:rFonts w:ascii="Times New Roman" w:hAnsi="Times New Roman"/>
          <w:b w:val="false"/>
          <w:i w:val="false"/>
          <w:color w:val="000000"/>
          <w:sz w:val="22"/>
        </w:rPr>
        <w:t xml:space="preserve">Upon the determination that a recipient is eligible to receive and possess an opioid antagonist, an authorized pharmacist shall label the product pursuant to rule </w:t>
      </w:r>
      <w:hyperlink r:id="rId17">
        <w:r>
          <w:rPr>
            <w:rStyle w:val="Hyperlink"/>
            <w:rFonts w:ascii="Times New Roman" w:hAnsi="Times New Roman"/>
            <w:b w:val="false"/>
            <w:i w:val="false"/>
            <w:color w:val="000000"/>
            <w:sz w:val="22"/>
          </w:rPr>
          <w:t>657—6.10</w:t>
        </w:r>
      </w:hyperlink>
      <w:r>
        <w:rPr>
          <w:rFonts w:ascii="Times New Roman" w:hAnsi="Times New Roman"/>
          <w:b w:val="false"/>
          <w:i w:val="false"/>
          <w:color w:val="000000"/>
          <w:sz w:val="22"/>
        </w:rPr>
        <w:t xml:space="preserve">(126,155A) and </w:t>
      </w:r>
      <w:hyperlink r:id="rId18">
        <w:r>
          <w:rPr>
            <w:rStyle w:val="Hyperlink"/>
            <w:rFonts w:ascii="Times New Roman" w:hAnsi="Times New Roman"/>
            <w:b w:val="false"/>
            <w:i w:val="false"/>
            <w:color w:val="000000"/>
            <w:sz w:val="22"/>
          </w:rPr>
          <w:t>657—subrule 8.19(8)</w:t>
        </w:r>
      </w:hyperlink>
      <w:r>
        <w:rPr>
          <w:rFonts w:ascii="Times New Roman" w:hAnsi="Times New Roman"/>
          <w:b w:val="false"/>
          <w:i w:val="false"/>
          <w:color w:val="000000"/>
          <w:sz w:val="22"/>
        </w:rPr>
        <w:t>. An authorized pharmacist shall ensure that the labeling does not render the expiration date of the product illegible. The medication shall be dispensed in the name of the eligible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39.7(7)</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 copy of the assessment form shall be submitted to the department as provided on the assessment form within seven days of the dispensing of the opioid antagonist or within seven days of a denial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An authorized pharmacist shall create and maintain an original record of each individual assessment on forms provided by the board, regardless of the eligibility determination following assessment, and dispensing of opioid antagonists pursuant to a standing order. These records shall be available for inspection and copying by the board or its authorized agent for at least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657—39.8</w:t>
      </w:r>
      <w:r>
        <w:rPr>
          <w:rFonts w:ascii="Times New Roman" w:hAnsi="Times New Roman"/>
          <w:b/>
          <w:i w:val="false"/>
          <w:color w:val="000000"/>
          <w:sz w:val="22"/>
        </w:rPr>
        <w:t xml:space="preserve">(155A) </w:t>
      </w:r>
      <w:r>
        <w:rPr>
          <w:rFonts w:ascii="Times New Roman" w:hAnsi="Times New Roman"/>
          <w:b/>
          <w:i w:val="false"/>
          <w:color w:val="000000"/>
          <w:sz w:val="22"/>
        </w:rPr>
        <w:t xml:space="preserve">Medications administered via prescription.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color w:val="000000"/>
          <w:sz w:val="22"/>
        </w:rPr>
        <w:t xml:space="preserve">Vaccine administration. </w:t>
      </w:r>
      <w:r>
        <w:rPr>
          <w:rFonts w:ascii="Times New Roman" w:hAnsi="Times New Roman"/>
          <w:b w:val="false"/>
          <w:i w:val="false"/>
          <w:color w:val="000000"/>
          <w:sz w:val="22"/>
        </w:rPr>
        <w:t>A pharmacist who is authorized to administer vaccines pursuant to the statewide protocol may administer, including via delegation to authorized pharmacy personnel, any vaccine pursuant to a prescription or medication order for an individual patient. In case of a serious complication, the pharmacist shall notify the prescriber who authorized the prescription within 24 hours and shall submit a report to the Vaccine Adverse Event Reporting System (VAERS).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r>
        <w:rPr>
          <w:rFonts w:ascii="Times New Roman" w:hAnsi="Times New Roman"/>
          <w:b w:val="false"/>
          <w:i w:val="false"/>
          <w:color w:val="000000"/>
          <w:sz w:val="22"/>
        </w:rPr>
        <w:t>A pharmacist may administer, including via delegation to authorized pharmacy personnel if so delegated or authorized by the prescriber, any medication pursuant to a prescription or medication order for an individual patient. In case of a serious complication, the pharmacist shall notify the prescriber who issued the prescription within 24 hours and shall submit a report to the United States Food and Drug Administration Adverse Event Reporting System (FAERS).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657—39.9</w:t>
      </w:r>
      <w:r>
        <w:rPr>
          <w:rFonts w:ascii="Times New Roman" w:hAnsi="Times New Roman"/>
          <w:b/>
          <w:i w:val="false"/>
          <w:color w:val="000000"/>
          <w:sz w:val="22"/>
        </w:rPr>
        <w:t xml:space="preserve">(155A) </w:t>
      </w:r>
      <w:r>
        <w:rPr>
          <w:rFonts w:ascii="Times New Roman" w:hAnsi="Times New Roman"/>
          <w:b/>
          <w:i w:val="false"/>
          <w:color w:val="000000"/>
          <w:sz w:val="22"/>
        </w:rPr>
        <w:t xml:space="preserve">Statewide protocol—nicotine replacement tobacco cessation products.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6076C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12/15/21</w:t>
      </w:r>
      <w:r>
        <w:rPr>
          <w:rFonts w:ascii="Times New Roman" w:hAnsi="Times New Roman"/>
          <w:b w:val="false"/>
          <w:i w:val="false"/>
          <w:color w:val="000000"/>
          <w:sz w:val="22"/>
        </w:rPr>
        <w:t xml:space="preserve">, effective 1/19/22. </w:t>
      </w:r>
    </w:p>
    <w:p>
      <w:pPr>
        <w:spacing w:before="210" w:after="0"/>
        <w:ind w:left="120"/>
        <w:jc w:val="both"/>
      </w:pPr>
      <w:r>
        <w:rPr>
          <w:rFonts w:ascii="Times New Roman" w:hAnsi="Times New Roman"/>
          <w:b/>
          <w:i w:val="false"/>
          <w:color w:val="000000"/>
          <w:sz w:val="22"/>
        </w:rPr>
        <w:t>657—39.10</w:t>
      </w:r>
      <w:r>
        <w:rPr>
          <w:rFonts w:ascii="Times New Roman" w:hAnsi="Times New Roman"/>
          <w:b/>
          <w:i w:val="false"/>
          <w:color w:val="000000"/>
          <w:sz w:val="22"/>
        </w:rPr>
        <w:t xml:space="preserve">(155A) </w:t>
      </w:r>
      <w:r>
        <w:rPr>
          <w:rFonts w:ascii="Times New Roman" w:hAnsi="Times New Roman"/>
          <w:b/>
          <w:i w:val="false"/>
          <w:color w:val="000000"/>
          <w:sz w:val="22"/>
        </w:rPr>
        <w:t xml:space="preserve">Vaccine administration by pharmacists—physician-approved protocol. </w:t>
      </w:r>
      <w:r>
        <w:rPr>
          <w:rFonts w:ascii="Times New Roman" w:hAnsi="Times New Roman"/>
          <w:b w:val="false"/>
          <w:i w:val="false"/>
          <w:color w:val="000000"/>
          <w:sz w:val="22"/>
        </w:rPr>
        <w:t xml:space="preserve">Rescinded </w:t>
      </w:r>
      <w:r>
        <w:rPr>
          <w:rFonts w:ascii="Times New Roman" w:hAnsi="Times New Roman"/>
          <w:b/>
          <w:i w:val="false"/>
          <w:color w:val="000000"/>
          <w:sz w:val="22"/>
        </w:rPr>
        <w:t>ARC 6076C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12/15/21</w:t>
      </w:r>
      <w:r>
        <w:rPr>
          <w:rFonts w:ascii="Times New Roman" w:hAnsi="Times New Roman"/>
          <w:b w:val="false"/>
          <w:i w:val="false"/>
          <w:color w:val="000000"/>
          <w:sz w:val="22"/>
        </w:rPr>
        <w:t xml:space="preserve">, effective 1/19/22. </w:t>
      </w:r>
    </w:p>
    <w:p>
      <w:pPr>
        <w:spacing w:before="210" w:after="0"/>
        <w:ind w:left="120"/>
        <w:jc w:val="both"/>
      </w:pPr>
      <w:r>
        <w:rPr>
          <w:rFonts w:ascii="Times New Roman" w:hAnsi="Times New Roman"/>
          <w:b/>
          <w:i w:val="false"/>
          <w:color w:val="000000"/>
          <w:sz w:val="22"/>
        </w:rPr>
        <w:t>657—39.11</w:t>
      </w:r>
      <w:r>
        <w:rPr>
          <w:rFonts w:ascii="Times New Roman" w:hAnsi="Times New Roman"/>
          <w:b/>
          <w:i w:val="false"/>
          <w:color w:val="000000"/>
          <w:sz w:val="22"/>
        </w:rPr>
        <w:t xml:space="preserve">(155A) </w:t>
      </w:r>
      <w:r>
        <w:rPr>
          <w:rFonts w:ascii="Times New Roman" w:hAnsi="Times New Roman"/>
          <w:b/>
          <w:i w:val="false"/>
          <w:color w:val="000000"/>
          <w:sz w:val="22"/>
        </w:rPr>
        <w:t xml:space="preserve">Vaccine administration by pharmacists—statewide protocol. </w:t>
      </w:r>
      <w:r>
        <w:rPr>
          <w:rFonts w:ascii="Times New Roman" w:hAnsi="Times New Roman"/>
          <w:b w:val="false"/>
          <w:i w:val="false"/>
          <w:color w:val="000000"/>
          <w:sz w:val="22"/>
        </w:rPr>
        <w:t xml:space="preserve">Rescinded </w:t>
      </w:r>
      <w:r>
        <w:rPr>
          <w:rFonts w:ascii="Times New Roman" w:hAnsi="Times New Roman"/>
          <w:b/>
          <w:i w:val="false"/>
          <w:color w:val="000000"/>
          <w:sz w:val="22"/>
        </w:rPr>
        <w:t>ARC 6076C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12/15/21</w:t>
      </w:r>
      <w:r>
        <w:rPr>
          <w:rFonts w:ascii="Times New Roman" w:hAnsi="Times New Roman"/>
          <w:b w:val="false"/>
          <w:i w:val="false"/>
          <w:color w:val="000000"/>
          <w:sz w:val="22"/>
        </w:rPr>
        <w:t xml:space="preserve">, effective 1/19/22. </w:t>
      </w:r>
    </w:p>
    <w:p>
      <w:pPr>
        <w:spacing w:before="210" w:after="0"/>
        <w:ind w:left="120"/>
        <w:jc w:val="both"/>
      </w:pPr>
      <w:r>
        <w:rPr>
          <w:rFonts w:ascii="Times New Roman" w:hAnsi="Times New Roman"/>
          <w:b/>
          <w:i w:val="false"/>
          <w:color w:val="000000"/>
          <w:sz w:val="22"/>
        </w:rPr>
        <w:t>657—39.12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657—39.13</w:t>
      </w:r>
      <w:r>
        <w:rPr>
          <w:rFonts w:ascii="Times New Roman" w:hAnsi="Times New Roman"/>
          <w:b/>
          <w:i w:val="false"/>
          <w:color w:val="000000"/>
          <w:sz w:val="22"/>
        </w:rPr>
        <w:t xml:space="preserve">(155A) </w:t>
      </w:r>
      <w:r>
        <w:rPr>
          <w:rFonts w:ascii="Times New Roman" w:hAnsi="Times New Roman"/>
          <w:b/>
          <w:i w:val="false"/>
          <w:color w:val="000000"/>
          <w:sz w:val="22"/>
        </w:rPr>
        <w:t xml:space="preserve">Collaborative pharmacy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“Collaborative pharmacy practice” </w:t>
      </w:r>
      <w:r>
        <w:rPr>
          <w:rFonts w:ascii="Times New Roman" w:hAnsi="Times New Roman"/>
          <w:b w:val="false"/>
          <w:i w:val="false"/>
          <w:color w:val="000000"/>
          <w:sz w:val="22"/>
        </w:rPr>
        <w:t>means a practice of pharmacy whereby one or more pharmacists provides patient care and drug therapy management services not otherwise permitted to be performed by a pharmacist to patients under a collaborative pharmacy practice agreement with one or more practitioners which defines the nature, scope, conditions, and limitations of the patient care and drug therapy management services to be provided by the pharmacist(s) in order to ensure that a patient achieves the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physician, dentist, podiatric physician, veterinarian, optometrist, or advanced registered nurse practitioner who holds an active license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39.13(2)</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practice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these rules, a pharmacist or pharmacy may engage in collaborative pharmacy practice under a collaborative pharmacy practice agreement with one or more practitioners, or as established by a health system pharmacy and therapeutics committee, to provide patient care and drug therapy management services to one or more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collaborative pharmacy practice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parties to the agreement, including the name(s) or category of the pharmacist(s), including registered pharmacist-intern(s) under the supervision of a pharmacist, who are authorized to perform delegated activities under the agreement and the name(s) or category of the practitioner(s) who are delegating activities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establishment of the delegating practitioner’s scope of practice authorized in the agreement and a description of the permitted activities and decisions to be performed by the pharmacist(s);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protocol, formulary, or clinical guidelines that describe or limit the pharmacist’s authority to perform the patient care or drug therapy management services and, as applicable, the drug name, class or category provided under drug therapy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process to monitor compliance with the agreement and clinical outcomes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provision addressing termination of the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signatures of the parties to the agreement and dates of signing, unless established by a health system pharmacy and therapeutics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to the collaborative pharmacy practice agreement shall review and revise such agreement as appropriate, but no less than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collaborative pharmacy practice agreement shall be maintained by the pharmacist(s) or pharmacy and be available upon request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engaging in patient care or drug therapy management services under a collaborative pharmacy practice agreement, including when the agreement is updated, each pharmacist practicing under the agreement shall attest that the pharmacist has read and understands the agreement. Documentation of pharmacist attestation shall be maintained for at least two years from the attestation date and be available upon request 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6174C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657—39.14</w:t>
      </w:r>
      <w:r>
        <w:rPr>
          <w:rFonts w:ascii="Times New Roman" w:hAnsi="Times New Roman"/>
          <w:b w:val="false"/>
          <w:i w:val="false"/>
          <w:color w:val="000000"/>
          <w:sz w:val="22"/>
        </w:rPr>
        <w:t xml:space="preserve"> and </w:t>
      </w:r>
      <w:r>
        <w:rPr>
          <w:rFonts w:ascii="Times New Roman" w:hAnsi="Times New Roman"/>
          <w:b/>
          <w:i w:val="false"/>
          <w:color w:val="000000"/>
          <w:sz w:val="22"/>
        </w:rPr>
        <w:t>39.15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657—39.16</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pilot or demonstration research projects. </w:t>
      </w:r>
      <w:r>
        <w:rPr>
          <w:rFonts w:ascii="Times New Roman" w:hAnsi="Times New Roman"/>
          <w:b w:val="false"/>
          <w:i w:val="false"/>
          <w:color w:val="000000"/>
          <w:sz w:val="22"/>
        </w:rPr>
        <w:t>The purpose of this rule is to specify the procedures to be followed in applying for approval of a pilot or demonstration research project for innovative applications in the practice of pharmacy. In reviewing projects, the board will consider only projects that expand pharmaceutical care services that contribute to positive patient outcomes. The board will not consider any project intended only to provide a competitive advantage to a single applicant or group of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the following definitions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1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the Iowa pharmacy practice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pharmacy” </w:t>
      </w:r>
      <w:r>
        <w:rPr>
          <w:rFonts w:ascii="Times New Roman" w:hAnsi="Times New Roman"/>
          <w:b w:val="false"/>
          <w:i w:val="false"/>
          <w:color w:val="000000"/>
          <w:sz w:val="22"/>
        </w:rPr>
        <w:t xml:space="preserve">means the practice of pharmacy as defined in Iowa Code section </w:t>
      </w:r>
      <w:hyperlink r:id="rId20">
        <w:r>
          <w:rPr>
            <w:rStyle w:val="Hyperlink"/>
            <w:rFonts w:ascii="Times New Roman" w:hAnsi="Times New Roman"/>
            <w:b w:val="false"/>
            <w:i w:val="false"/>
            <w:color w:val="000000"/>
            <w:sz w:val="22"/>
          </w:rPr>
          <w:t>155A.3(37)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pilot or demonstration research project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39.16(2)</w:t>
      </w:r>
      <w:r>
        <w:rPr>
          <w:rFonts w:ascii="Times New Roman" w:hAnsi="Times New Roman"/>
          <w:b w:val="false"/>
          <w:i w:val="false"/>
          <w:color w:val="000000"/>
          <w:sz w:val="22"/>
        </w:rPr>
        <w:t> </w:t>
      </w:r>
      <w:r>
        <w:rPr>
          <w:rFonts w:ascii="Times New Roman" w:hAnsi="Times New Roman"/>
          <w:b w:val="false"/>
          <w:i/>
          <w:color w:val="000000"/>
          <w:sz w:val="22"/>
        </w:rPr>
        <w:t xml:space="preserve">Scope of project. </w:t>
      </w:r>
      <w:r>
        <w:rPr>
          <w:rFonts w:ascii="Times New Roman" w:hAnsi="Times New Roman"/>
          <w:b w:val="false"/>
          <w:i w:val="false"/>
          <w:color w:val="000000"/>
          <w:sz w:val="22"/>
        </w:rPr>
        <w:t xml:space="preserve">A project may not expand the definition of the practice of pharmacy. A project may include therapeutic substitution or substitution of medical devices used in patient care if such substitution is included under a collaborative pharmacy practice agreement pursuant to rule </w:t>
      </w:r>
      <w:hyperlink r:id="rId21">
        <w:r>
          <w:rPr>
            <w:rStyle w:val="Hyperlink"/>
            <w:rFonts w:ascii="Times New Roman" w:hAnsi="Times New Roman"/>
            <w:b w:val="false"/>
            <w:i w:val="false"/>
            <w:color w:val="000000"/>
            <w:sz w:val="22"/>
          </w:rPr>
          <w:t>657—39.13</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39.16(3)</w:t>
      </w:r>
      <w:r>
        <w:rPr>
          <w:rFonts w:ascii="Times New Roman" w:hAnsi="Times New Roman"/>
          <w:b w:val="false"/>
          <w:i w:val="false"/>
          <w:color w:val="000000"/>
          <w:sz w:val="22"/>
        </w:rPr>
        <w:t> </w:t>
      </w:r>
      <w:r>
        <w:rPr>
          <w:rFonts w:ascii="Times New Roman" w:hAnsi="Times New Roman"/>
          <w:b w:val="false"/>
          <w:i/>
          <w:color w:val="000000"/>
          <w:sz w:val="22"/>
        </w:rPr>
        <w:t xml:space="preserve">Board approval of a project. </w:t>
      </w:r>
      <w:r>
        <w:rPr>
          <w:rFonts w:ascii="Times New Roman" w:hAnsi="Times New Roman"/>
          <w:b w:val="false"/>
          <w:i w:val="false"/>
          <w:color w:val="000000"/>
          <w:sz w:val="22"/>
        </w:rPr>
        <w:t xml:space="preserve">Board approval of a project may include the grant of an exception to or a waiver of rules adopted under the Act or under any law relating to the authority of prescription verification and the ability of a pharmacist to provide enhanced patient care in the practice of pharmacy. Project approval, including exception to or waiver of board rules, shall initially be for a specified period of time not exceeding 18 months from commencement of the project. The board may approve the extension or renewal of a project following consideration of a petition that clearly identifies the project, that includes a report similar to the final project report described in </w:t>
      </w:r>
      <w:hyperlink r:id="rId22">
        <w:r>
          <w:rPr>
            <w:rStyle w:val="Hyperlink"/>
            <w:rFonts w:ascii="Times New Roman" w:hAnsi="Times New Roman"/>
            <w:b w:val="false"/>
            <w:i w:val="false"/>
            <w:color w:val="000000"/>
            <w:sz w:val="22"/>
          </w:rPr>
          <w:t>paragraph 39.16(6)</w:t>
        </w:r>
        <w:r>
          <w:rPr>
            <w:rFonts w:ascii="Times New Roman" w:hAnsi="Times New Roman"/>
            <w:b w:val="false"/>
            <w:i/>
            <w:color w:val="000000"/>
            <w:sz w:val="22"/>
          </w:rPr>
          <w:t>“a,”</w:t>
        </w:r>
      </w:hyperlink>
      <w:r>
        <w:rPr>
          <w:rFonts w:ascii="Times New Roman" w:hAnsi="Times New Roman"/>
          <w:b w:val="false"/>
          <w:i w:val="false"/>
          <w:color w:val="000000"/>
          <w:sz w:val="22"/>
        </w:rPr>
        <w:t xml:space="preserve"> that describes and explains any proposed changes to the originally approved and implemented project, and that justifies the need for extending or renewing the term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39.16(4)</w:t>
      </w:r>
      <w:r>
        <w:rPr>
          <w:rFonts w:ascii="Times New Roman" w:hAnsi="Times New Roman"/>
          <w:b w:val="false"/>
          <w:i w:val="false"/>
          <w:color w:val="000000"/>
          <w:sz w:val="22"/>
        </w:rPr>
        <w:t> </w:t>
      </w:r>
      <w:r>
        <w:rPr>
          <w:rFonts w:ascii="Times New Roman" w:hAnsi="Times New Roman"/>
          <w:b w:val="false"/>
          <w:i/>
          <w:color w:val="000000"/>
          <w:sz w:val="22"/>
        </w:rPr>
        <w:t xml:space="preserve">Applying for approval of a project. </w:t>
      </w:r>
      <w:r>
        <w:rPr>
          <w:rFonts w:ascii="Times New Roman" w:hAnsi="Times New Roman"/>
          <w:b w:val="false"/>
          <w:i w:val="false"/>
          <w:color w:val="000000"/>
          <w:sz w:val="22"/>
        </w:rPr>
        <w:t>A person who wishes the board to consider approval of a project shall submit to the board a petition for approval that contains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Responsible pharmacist. </w:t>
      </w:r>
      <w:r>
        <w:rPr>
          <w:rFonts w:ascii="Times New Roman" w:hAnsi="Times New Roman"/>
          <w:b w:val="false"/>
          <w:i w:val="false"/>
          <w:color w:val="000000"/>
          <w:sz w:val="22"/>
        </w:rPr>
        <w:t>Name, address, telephone number, and pharmacist license number of each pharmacist responsible for overseeing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Location of project. </w:t>
      </w:r>
      <w:r>
        <w:rPr>
          <w:rFonts w:ascii="Times New Roman" w:hAnsi="Times New Roman"/>
          <w:b w:val="false"/>
          <w:i w:val="false"/>
          <w:color w:val="000000"/>
          <w:sz w:val="22"/>
        </w:rPr>
        <w:t>Name, address, and telephone number of each specific location and, if a location is a pharmacy, the pharmacy license number where the proposed project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Project summary. </w:t>
      </w:r>
      <w:r>
        <w:rPr>
          <w:rFonts w:ascii="Times New Roman" w:hAnsi="Times New Roman"/>
          <w:b w:val="false"/>
          <w:i w:val="false"/>
          <w:color w:val="000000"/>
          <w:sz w:val="22"/>
        </w:rPr>
        <w:t>A detailed summary of the proposed project that includes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goals, hypothesis, and objectives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full explanation of the project and how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frame for the project including the proposed start date and length of study. The time frame may not exceed 18 months from the proposed start date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or literature review to support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rule or rules to be waived in order to complete the project and a request to waive the rule 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to be used during the project to ensure that the public health and safety are not compromised as a result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39.16(5)</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or denial of a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Upon receipt of a petition for approval of a project, board staff shall initially review the petition for completeness and appropriateness. If the petition is incomplete or inappropriate for board consideration, board staff shall return the petition to the requestor with a letter explaining the reason the petition is being returned. A petition that has been returned pursuant to this paragraph may be amended or supplemented as necessary and submitted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Upon review by the board of a petition for approval of a project, the board shall either approve or deny the petition. If the board approves the petition,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specific for the project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approve the project for a specific time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May include conditions or qualifications applicable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The project site and project documentation shall be available for inspection and review by the board or its representative at any time during the project review and the approval or denial processes and, if a project is approved, throughout the approved term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maintained. </w:t>
      </w:r>
      <w:r>
        <w:rPr>
          <w:rFonts w:ascii="Times New Roman" w:hAnsi="Times New Roman"/>
          <w:b w:val="false"/>
          <w:i w:val="false"/>
          <w:color w:val="000000"/>
          <w:sz w:val="22"/>
        </w:rPr>
        <w:t>Project documentation shall be maintained and available for inspection, review, and copying by the board or its representative for at least two years following completion or termination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39.16(6)</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reports. </w:t>
      </w:r>
      <w:r>
        <w:rPr>
          <w:rFonts w:ascii="Times New Roman" w:hAnsi="Times New Roman"/>
          <w:b w:val="false"/>
          <w:i w:val="false"/>
          <w:color w:val="000000"/>
          <w:sz w:val="22"/>
        </w:rPr>
        <w:t>The pharmacist responsible for overseeing a project shall be responsible for submitting to the board any reports required as a condition of a project, including the final project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Final project report. </w:t>
      </w:r>
      <w:r>
        <w:rPr>
          <w:rFonts w:ascii="Times New Roman" w:hAnsi="Times New Roman"/>
          <w:b w:val="false"/>
          <w:i w:val="false"/>
          <w:color w:val="000000"/>
          <w:sz w:val="22"/>
        </w:rPr>
        <w:t>The final project report shall include a written summary of the results of the project and the conclusions drawn from those results. The final project report shall be submitted to the board within three months after completion or termination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The board shall receive and review any report regarding the progress of a project and the final project report at a regularly scheduled meeting of the board. The report shall be an item on the open session agenda for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3858C</w:t>
      </w:r>
      <w:r>
        <w:rPr>
          <w:rFonts w:ascii="Times New Roman" w:hAnsi="Times New Roman"/>
          <w:b w:val="false"/>
          <w:i w:val="false"/>
          <w:color w:val="000000"/>
          <w:sz w:val="16"/>
        </w:rPr>
        <w:t>, IAB 6/20/18, effective 7/25/18</w:t>
      </w:r>
      <w:r>
        <w:rPr>
          <w:rFonts w:ascii="Times New Roman" w:hAnsi="Times New Roman"/>
          <w:b w:val="false"/>
          <w:i w:val="false"/>
          <w:color w:val="000000"/>
          <w:sz w:val="16"/>
        </w:rPr>
        <w:t xml:space="preserve">; </w:t>
      </w:r>
      <w:r>
        <w:rPr>
          <w:rFonts w:ascii="Times New Roman" w:hAnsi="Times New Roman"/>
          <w:b/>
          <w:i w:val="false"/>
          <w:color w:val="000000"/>
          <w:sz w:val="16"/>
        </w:rPr>
        <w:t>ARC 6076C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147A.18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155A.2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155A.33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155A.44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2011 Iowa Acts, chapter 63, section 36</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chapter 1113, section 31</w:t>
      </w:r>
      <w:r>
        <w:rPr>
          <w:rFonts w:ascii="Times New Roman" w:hAnsi="Times New Roman"/>
          <w:b w:val="false"/>
          <w:i w:val="false"/>
          <w:color w:val="000000"/>
          <w:sz w:val="22"/>
        </w:rPr>
        <w:t xml:space="preserve">, and by </w:t>
      </w:r>
      <w:r>
        <w:rPr>
          <w:rFonts w:ascii="Times New Roman" w:hAnsi="Times New Roman"/>
          <w:b w:val="false"/>
          <w:i w:val="false"/>
          <w:color w:val="000000"/>
          <w:sz w:val="22"/>
        </w:rPr>
        <w:t>2013 Iowa Acts, chapter 138, section 128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3858C</w:t>
      </w:r>
      <w:r>
        <w:rPr>
          <w:rFonts w:ascii="Times New Roman" w:hAnsi="Times New Roman"/>
          <w:b w:val="false"/>
          <w:i w:val="false"/>
          <w:color w:val="000000"/>
          <w:sz w:val="21"/>
        </w:rPr>
        <w:t xml:space="preserve"> (Notice ARC 3509C, IAB 12/20/17)</w:t>
      </w:r>
      <w:r>
        <w:rPr>
          <w:rFonts w:ascii="Times New Roman" w:hAnsi="Times New Roman"/>
          <w:b w:val="false"/>
          <w:i w:val="false"/>
          <w:color w:val="000000"/>
          <w:sz w:val="21"/>
        </w:rPr>
        <w:t>, IAB 6/20/18, effective 7/25/18]</w:t>
      </w:r>
    </w:p>
    <w:p>
      <w:pPr>
        <w:spacing w:before="0" w:after="0"/>
        <w:ind w:left="120"/>
        <w:jc w:val="center"/>
      </w:pPr>
      <w:r>
        <w:rPr>
          <w:rFonts w:ascii="Times New Roman" w:hAnsi="Times New Roman"/>
          <w:b w:val="false"/>
          <w:i w:val="false"/>
          <w:color w:val="000000"/>
          <w:sz w:val="21"/>
        </w:rPr>
        <w:t>[Filed ARC 4270C</w:t>
      </w:r>
      <w:r>
        <w:rPr>
          <w:rFonts w:ascii="Times New Roman" w:hAnsi="Times New Roman"/>
          <w:b w:val="false"/>
          <w:i w:val="false"/>
          <w:color w:val="000000"/>
          <w:sz w:val="21"/>
        </w:rPr>
        <w:t xml:space="preserve"> (Notice ARC 4096C, IAB 10/24/18)</w:t>
      </w:r>
      <w:r>
        <w:rPr>
          <w:rFonts w:ascii="Times New Roman" w:hAnsi="Times New Roman"/>
          <w:b w:val="false"/>
          <w:i w:val="false"/>
          <w:color w:val="000000"/>
          <w:sz w:val="21"/>
        </w:rPr>
        <w:t>, IAB 1/30/19, effective 3/6/19]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4387C, IAB 4/10/19, effective 4/5/19]</w:t>
      </w:r>
    </w:p>
    <w:p>
      <w:pPr>
        <w:spacing w:before="0" w:after="0"/>
        <w:ind w:left="120"/>
        <w:jc w:val="center"/>
      </w:pPr>
      <w:r>
        <w:rPr>
          <w:rFonts w:ascii="Times New Roman" w:hAnsi="Times New Roman"/>
          <w:b w:val="false"/>
          <w:i w:val="false"/>
          <w:color w:val="000000"/>
          <w:sz w:val="21"/>
        </w:rPr>
        <w:t>[Filed Emergency After Notice ARC 4555C</w:t>
      </w:r>
      <w:r>
        <w:rPr>
          <w:rFonts w:ascii="Times New Roman" w:hAnsi="Times New Roman"/>
          <w:b w:val="false"/>
          <w:i w:val="false"/>
          <w:color w:val="000000"/>
          <w:sz w:val="21"/>
        </w:rPr>
        <w:t xml:space="preserve"> (Notice ARC 4450C, IAB 5/22/19)</w:t>
      </w:r>
      <w:r>
        <w:rPr>
          <w:rFonts w:ascii="Times New Roman" w:hAnsi="Times New Roman"/>
          <w:b w:val="false"/>
          <w:i w:val="false"/>
          <w:color w:val="000000"/>
          <w:sz w:val="21"/>
        </w:rPr>
        <w:t>, IAB 7/17/19, effective 7/1/19]</w:t>
      </w:r>
    </w:p>
    <w:p>
      <w:pPr>
        <w:spacing w:before="0" w:after="0"/>
        <w:ind w:left="120"/>
        <w:jc w:val="center"/>
      </w:pPr>
      <w:r>
        <w:rPr>
          <w:rFonts w:ascii="Times New Roman" w:hAnsi="Times New Roman"/>
          <w:b w:val="false"/>
          <w:i w:val="false"/>
          <w:color w:val="000000"/>
          <w:sz w:val="21"/>
        </w:rPr>
        <w:t>[Filed ARC 4583C</w:t>
      </w:r>
      <w:r>
        <w:rPr>
          <w:rFonts w:ascii="Times New Roman" w:hAnsi="Times New Roman"/>
          <w:b w:val="false"/>
          <w:i w:val="false"/>
          <w:color w:val="000000"/>
          <w:sz w:val="21"/>
        </w:rPr>
        <w:t xml:space="preserve"> (Notice ARC 4388C, IAB 4/10/19)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5348C</w:t>
      </w:r>
      <w:r>
        <w:rPr>
          <w:rFonts w:ascii="Times New Roman" w:hAnsi="Times New Roman"/>
          <w:b w:val="false"/>
          <w:i w:val="false"/>
          <w:color w:val="000000"/>
          <w:sz w:val="21"/>
        </w:rPr>
        <w:t xml:space="preserve"> (Notice ARC 5113C, IAB 7/29/20)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6076C</w:t>
      </w:r>
      <w:r>
        <w:rPr>
          <w:rFonts w:ascii="Times New Roman" w:hAnsi="Times New Roman"/>
          <w:b w:val="false"/>
          <w:i w:val="false"/>
          <w:color w:val="000000"/>
          <w:sz w:val="21"/>
        </w:rPr>
        <w:t xml:space="preserve"> (Notice ARC 5833C,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6174C</w:t>
      </w:r>
      <w:r>
        <w:rPr>
          <w:rFonts w:ascii="Times New Roman" w:hAnsi="Times New Roman"/>
          <w:b w:val="false"/>
          <w:i w:val="false"/>
          <w:color w:val="000000"/>
          <w:sz w:val="21"/>
        </w:rPr>
        <w:t xml:space="preserve"> (Notice ARC 6012C,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p>
      <w:pPr>
        <w:pBdr>
          <w:bottom w:space="2"/>
        </w:pBdr>
        <w:spacing w:before="0" w:after="0"/>
        <w:ind w:left="120"/>
        <w:jc w:val="both"/>
      </w:pPr>
      <w:r>
        <w:rPr>
          <w:rFonts w:ascii="Times New Roman" w:hAnsi="Times New Roman"/>
          <w:b w:val="false"/>
          <w:i w:val="false"/>
          <w:color w:val="000000"/>
          <w:sz w:val="22"/>
        </w:rPr>
        <w:t>March 6, 2019, effective date of ARC 4270C [amendments to ch 39] delayed 70 days by the Administrative Rules Review Committee at its meeting held February 8, 2019; delay lifted at the meeting held April 5, 2019.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5A.46.pdf" Type="http://schemas.openxmlformats.org/officeDocument/2006/relationships/hyperlink" Id="rId5"/>
    <Relationship TargetMode="External" Target="http://pharmacy.iowa.gov" Type="http://schemas.openxmlformats.org/officeDocument/2006/relationships/hyperlink" Id="rId6"/>
    <Relationship TargetMode="External" Target="https://www.legis.iowa.gov/docs/ico/chapter/147A.12.pdf" Type="http://schemas.openxmlformats.org/officeDocument/2006/relationships/hyperlink" Id="rId7"/>
    <Relationship TargetMode="External" Target="https://www.legis.iowa.gov/docs/ico/chapter/147A.13.pdf" Type="http://schemas.openxmlformats.org/officeDocument/2006/relationships/hyperlink" Id="rId8"/>
    <Relationship TargetMode="External" Target="https://www.legis.iowa.gov/docs/ico/chapter/801.4.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152.pdf" Type="http://schemas.openxmlformats.org/officeDocument/2006/relationships/hyperlink" Id="rId11"/>
    <Relationship TargetMode="External" Target="https://www.legis.iowa.gov/docs/ico/chapter/152E.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47A.1.pdf" Type="http://schemas.openxmlformats.org/officeDocument/2006/relationships/hyperlink" Id="rId15"/>
    <Relationship TargetMode="External" Target="https://www.legis.iowa.gov/docs/ico/chapter/147A.1.pdf" Type="http://schemas.openxmlformats.org/officeDocument/2006/relationships/hyperlink" Id="rId16"/>
    <Relationship TargetMode="External" Target="https://www.legis.iowa.gov/docs/iac/rule/657.6.10.pdf" Type="http://schemas.openxmlformats.org/officeDocument/2006/relationships/hyperlink" Id="rId17"/>
    <Relationship TargetMode="External" Target="https://www.legis.iowa.gov/docs/iac/rule/657.8.19.pdf" Type="http://schemas.openxmlformats.org/officeDocument/2006/relationships/hyperlink" Id="rId18"/>
    <Relationship TargetMode="External" Target="https://www.legis.iowa.gov/docs/ico/chapter/155A.pdf" Type="http://schemas.openxmlformats.org/officeDocument/2006/relationships/hyperlink" Id="rId19"/>
    <Relationship TargetMode="External" Target="https://www.legis.iowa.gov/docs/ico/chapter/155A.3.pdf" Type="http://schemas.openxmlformats.org/officeDocument/2006/relationships/hyperlink" Id="rId20"/>
    <Relationship TargetMode="External" Target="https://www.legis.iowa.gov/docs/iac/rule/657.39.13.pdf" Type="http://schemas.openxmlformats.org/officeDocument/2006/relationships/hyperlink" Id="rId21"/>
    <Relationship TargetMode="External" Target="https://www.legis.iowa.gov/docs/iac/rule/657.39.16.pdf" Type="http://schemas.openxmlformats.org/officeDocument/2006/relationships/hyperlink" Id="rId22"/>
    <Relationship TargetMode="External" Target="https://www.legis.iowa.gov/docs/ico/chapter/135.190.pdf" Type="http://schemas.openxmlformats.org/officeDocument/2006/relationships/hyperlink" Id="rId23"/>
    <Relationship TargetMode="External" Target="https://www.legis.iowa.gov/docs/ico/chapter/147.76.pdf" Type="http://schemas.openxmlformats.org/officeDocument/2006/relationships/hyperlink" Id="rId24"/>
    <Relationship TargetMode="External" Target="https://www.legis.iowa.gov/docs/ico/chapter/147A.18.pdf" Type="http://schemas.openxmlformats.org/officeDocument/2006/relationships/hyperlink" Id="rId25"/>
    <Relationship TargetMode="External" Target="https://www.legis.iowa.gov/docs/ico/chapter/155A.2.pdf" Type="http://schemas.openxmlformats.org/officeDocument/2006/relationships/hyperlink" Id="rId26"/>
    <Relationship TargetMode="External" Target="https://www.legis.iowa.gov/docs/ico/chapter/155A.3.pdf" Type="http://schemas.openxmlformats.org/officeDocument/2006/relationships/hyperlink" Id="rId27"/>
    <Relationship TargetMode="External" Target="https://www.legis.iowa.gov/docs/ico/chapter/155A.13.pdf" Type="http://schemas.openxmlformats.org/officeDocument/2006/relationships/hyperlink" Id="rId28"/>
    <Relationship TargetMode="External" Target="https://www.legis.iowa.gov/docs/ico/chapter/155A.33.pdf" Type="http://schemas.openxmlformats.org/officeDocument/2006/relationships/hyperlink" Id="rId29"/>
    <Relationship TargetMode="External" Target="https://www.legis.iowa.gov/docs/ico/chapter/155A.44.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