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DISCIPLINE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657—36.1</w:t>
      </w:r>
      <w:r>
        <w:rPr>
          <w:rFonts w:ascii="Times New Roman" w:hAnsi="Times New Roman"/>
          <w:b/>
          <w:i w:val="false"/>
          <w:color w:val="000000"/>
          <w:sz w:val="22"/>
        </w:rPr>
        <w:t xml:space="preserve">(147,155A,272C)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board has the authority to impose discipline for any violations of Iowa Code chapters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the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657—36.2</w:t>
      </w:r>
      <w:r>
        <w:rPr>
          <w:rFonts w:ascii="Times New Roman" w:hAnsi="Times New Roman"/>
          <w:b/>
          <w:i w:val="false"/>
          <w:color w:val="000000"/>
          <w:sz w:val="22"/>
        </w:rPr>
        <w:t xml:space="preserve">(147,155A,272C)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registration, or permit issued by the board, regardless of whether the license, registration, or permit is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or entity possessing a license, registration, or permit issued by the board, regardless of whether the license, registration, or permit is 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657—36.3</w:t>
      </w:r>
      <w:r>
        <w:rPr>
          <w:rFonts w:ascii="Times New Roman" w:hAnsi="Times New Roman"/>
          <w:b/>
          <w:i w:val="false"/>
          <w:color w:val="000000"/>
          <w:sz w:val="22"/>
        </w:rPr>
        <w:t xml:space="preserve">(147,155A,272C) </w:t>
      </w:r>
      <w:r>
        <w:rPr>
          <w:rFonts w:ascii="Times New Roman" w:hAnsi="Times New Roman"/>
          <w:b/>
          <w:i w:val="false"/>
          <w:color w:val="000000"/>
          <w:sz w:val="22"/>
        </w:rPr>
        <w:t xml:space="preserve">Complaints, investigations, and board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board may, upon receipt of a written or verbal complaint or upon its own motion pursuant to other evidence received by the board, review and investigate alleged acts or omissions that may violate the board’s rules or that are related to the ethical or professional conduct of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investigative files. </w:t>
      </w:r>
      <w:r>
        <w:rPr>
          <w:rFonts w:ascii="Times New Roman" w:hAnsi="Times New Roman"/>
          <w:b w:val="false"/>
          <w:i w:val="false"/>
          <w:color w:val="000000"/>
          <w:sz w:val="22"/>
        </w:rPr>
        <w:t xml:space="preserve">Complaint files, investigation files, and all other investigation reports and investigative information in the possession of the board or its employees or agents that relate to licensee discipline shall be confidential pursuant to Iowa Code section </w:t>
      </w:r>
      <w:hyperlink r:id="rId1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allegations. </w:t>
      </w:r>
      <w:r>
        <w:rPr>
          <w:rFonts w:ascii="Times New Roman" w:hAnsi="Times New Roman"/>
          <w:b w:val="false"/>
          <w:i w:val="false"/>
          <w:color w:val="000000"/>
          <w:sz w:val="22"/>
        </w:rPr>
        <w:t>In order to determine if probable cause exists for a disciplinary hearing, the board, the executive director, or someone designated by the executive director shall cause an investigation to be made into the allegations of the complaint. The licensee that is the subject of the complaint shall be given a reasonable opportunity to present to the investigator a position or defense respecting the allegations of the complaint prior to the commencement of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36.3(4)</w:t>
      </w:r>
      <w:r>
        <w:rPr>
          <w:rFonts w:ascii="Times New Roman" w:hAnsi="Times New Roman"/>
          <w:b w:val="false"/>
          <w:i w:val="false"/>
          <w:color w:val="000000"/>
          <w:sz w:val="22"/>
        </w:rPr>
        <w:t> </w:t>
      </w:r>
      <w:r>
        <w:rPr>
          <w:rFonts w:ascii="Times New Roman" w:hAnsi="Times New Roman"/>
          <w:b w:val="false"/>
          <w:i/>
          <w:color w:val="000000"/>
          <w:sz w:val="22"/>
        </w:rPr>
        <w:t xml:space="preserve">Investigatory subpoena powers. </w:t>
      </w:r>
      <w:r>
        <w:rPr>
          <w:rFonts w:ascii="Times New Roman" w:hAnsi="Times New Roman"/>
          <w:b w:val="false"/>
          <w:i w:val="false"/>
          <w:color w:val="000000"/>
          <w:sz w:val="22"/>
        </w:rPr>
        <w:t xml:space="preserve">The board is authorized by law to subpoena books, papers, records, and any other real evidence, whether or not privileged or confidential under law, which are necessary for the board to decide whether to institute a contested case proceeding. The issuance of investigative subpoenas is governed by rule </w:t>
      </w:r>
      <w:hyperlink r:id="rId13">
        <w:r>
          <w:rPr>
            <w:rStyle w:val="Hyperlink"/>
            <w:rFonts w:ascii="Times New Roman" w:hAnsi="Times New Roman"/>
            <w:b w:val="false"/>
            <w:i w:val="false"/>
            <w:color w:val="000000"/>
            <w:sz w:val="22"/>
          </w:rPr>
          <w:t>657—36.4</w:t>
        </w:r>
      </w:hyperlink>
      <w:r>
        <w:rPr>
          <w:rFonts w:ascii="Times New Roman" w:hAnsi="Times New Roman"/>
          <w:b w:val="false"/>
          <w:i w:val="false"/>
          <w:color w:val="000000"/>
          <w:sz w:val="22"/>
        </w:rPr>
        <w:t>(17A,147,152,272C).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36.3(5)</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Upon completion of the investigation, the investigator(s) shall prepare a report for the board’s consideration. The report may contain evidence gathered by the investigator, findings made by the investigator, the licensee’s response to the allegations, and the applicable laws or rules alleged to have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36.3(6)</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w:t>
      </w:r>
      <w:r>
        <w:rPr>
          <w:rFonts w:ascii="Times New Roman" w:hAnsi="Times New Roman"/>
          <w:b w:val="false"/>
          <w:i w:val="false"/>
          <w:color w:val="000000"/>
          <w:sz w:val="22"/>
        </w:rPr>
        <w:t>The board shall review all investigations. Participation in the review of investigative materials shall not bar any board member from participating in any subsequent disciplinary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r>
        <w:rPr>
          <w:rFonts w:ascii="Times New Roman" w:hAnsi="Times New Roman"/>
          <w:b w:val="false"/>
          <w:i w:val="false"/>
          <w:color w:val="000000"/>
          <w:sz w:val="22"/>
        </w:rPr>
        <w:t>After reviewing an investigation, the board may institute a disciplinary proceeding by filing one or more statements of charges, approve a combined statement of charges and settlement agreement, send a confidential letter of education or administrative warning to the licensee, request additional investigation, including peer review, refer the case to another regulatory authority with jurisdiction over the issue, or close the case without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Confidential action. </w:t>
      </w:r>
      <w:r>
        <w:rPr>
          <w:rFonts w:ascii="Times New Roman" w:hAnsi="Times New Roman"/>
          <w:b w:val="false"/>
          <w:i w:val="false"/>
          <w:color w:val="000000"/>
          <w:sz w:val="22"/>
        </w:rPr>
        <w:t xml:space="preserve">If the board determines that formal disciplinary action is not warranted, the board may send a confidential letter of education or administrative warning to the licensee. The purpose of a confidential letter of education or administrative warning is to alert the licensee to possible violations of Iowa law or board rules so that the licensee may address the issues. Confidential letters of education and administrative warnings do not constitute formal disciplinary action and are not open for inspection under Iowa Code chapter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board shall maintain a copy of the confidential letter of education or administrative warning in the confidential investigative file regarding the licensee. Confidential letters of education and administrative warnings may be used as evidence against a licensee in future administrative hearings.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657—36.4</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Issuance of investigatory subpoenas. </w:t>
      </w:r>
      <w:r>
        <w:rPr>
          <w:rFonts w:ascii="Times New Roman" w:hAnsi="Times New Roman"/>
          <w:b w:val="false"/>
          <w:i w:val="false"/>
          <w:color w:val="000000"/>
          <w:sz w:val="22"/>
        </w:rPr>
        <w:t xml:space="preserve">The board shall have the authority to issue an investigatory subpoena in accordance with the provisions of Iowa Code section </w:t>
      </w:r>
      <w:hyperlink r:id="rId15">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w:t>
      </w:r>
      <w:r>
        <w:rPr>
          <w:rFonts w:ascii="Times New Roman" w:hAnsi="Times New Roman"/>
          <w:b w:val="false"/>
          <w:i w:val="false"/>
          <w:color w:val="000000"/>
          <w:sz w:val="22"/>
        </w:rPr>
        <w:t> </w:t>
      </w:r>
      <w:r>
        <w:rPr>
          <w:rFonts w:ascii="Times New Roman" w:hAnsi="Times New Roman"/>
          <w:b w:val="false"/>
          <w:i/>
          <w:color w:val="000000"/>
          <w:sz w:val="22"/>
        </w:rPr>
        <w:t xml:space="preserve">Justification. </w:t>
      </w:r>
      <w:r>
        <w:rPr>
          <w:rFonts w:ascii="Times New Roman" w:hAnsi="Times New Roman"/>
          <w:b w:val="false"/>
          <w:i w:val="false"/>
          <w:color w:val="000000"/>
          <w:sz w:val="22"/>
        </w:rPr>
        <w:t>The executive director or designee may, upon the written request of a board investigator or on the executive director’s own initiative, subpoena books, papers, records and other real evidence which are necessary for the board to decide whether to institute a contested case proceeding. In the case of a subpoena for mental health records, each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36.4(2)</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A written request for a subpoena or the executive director’s written memorandum in support of the issuance of a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documents sought to be subpoenaed are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16">
        <w:r>
          <w:rPr>
            <w:rStyle w:val="Hyperlink"/>
            <w:rFonts w:ascii="Times New Roman" w:hAnsi="Times New Roman"/>
            <w:b w:val="false"/>
            <w:i w:val="false"/>
            <w:color w:val="000000"/>
            <w:sz w:val="22"/>
          </w:rPr>
          <w:t>subrule 36.4(1)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36.4(3)</w:t>
      </w:r>
      <w:r>
        <w:rPr>
          <w:rFonts w:ascii="Times New Roman" w:hAnsi="Times New Roman"/>
          <w:b w:val="false"/>
          <w:i w:val="false"/>
          <w:color w:val="000000"/>
          <w:sz w:val="22"/>
        </w:rPr>
        <w:t> </w:t>
      </w:r>
      <w:r>
        <w:rPr>
          <w:rFonts w:ascii="Times New Roman" w:hAnsi="Times New Roman"/>
          <w:b w:val="false"/>
          <w:i/>
          <w:color w:val="000000"/>
          <w:sz w:val="22"/>
        </w:rPr>
        <w:t xml:space="preserve">Contents of subpoena. </w:t>
      </w:r>
      <w:r>
        <w:rPr>
          <w:rFonts w:ascii="Times New Roman" w:hAnsi="Times New Roman"/>
          <w:b w:val="false"/>
          <w:i w:val="false"/>
          <w:color w:val="000000"/>
          <w:sz w:val="22"/>
        </w:rPr>
        <w:t>Each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36.4(4)</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Any person who is aggrieved or adversely affected by compliance with the subpoena and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36.4(5)</w:t>
      </w:r>
      <w:r>
        <w:rPr>
          <w:rFonts w:ascii="Times New Roman" w:hAnsi="Times New Roman"/>
          <w:b w:val="false"/>
          <w:i w:val="false"/>
          <w:color w:val="000000"/>
          <w:sz w:val="22"/>
        </w:rPr>
        <w:t> </w:t>
      </w:r>
      <w:r>
        <w:rPr>
          <w:rFonts w:ascii="Times New Roman" w:hAnsi="Times New Roman"/>
          <w:b w:val="false"/>
          <w:i/>
          <w:color w:val="000000"/>
          <w:sz w:val="22"/>
        </w:rPr>
        <w:t xml:space="preserve">Timely filing of motion. </w:t>
      </w:r>
      <w:r>
        <w:rPr>
          <w:rFonts w:ascii="Times New Roman" w:hAnsi="Times New Roman"/>
          <w:b w:val="false"/>
          <w:i w:val="false"/>
          <w:color w:val="000000"/>
          <w:sz w:val="22"/>
        </w:rPr>
        <w:t>Upon receipt of a timely motion to quash or modify a subpoena, the board may request an administrative law judge to issue a decision or the board may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36.4(6)</w:t>
      </w:r>
      <w:r>
        <w:rPr>
          <w:rFonts w:ascii="Times New Roman" w:hAnsi="Times New Roman"/>
          <w:b w:val="false"/>
          <w:i w:val="false"/>
          <w:color w:val="000000"/>
          <w:sz w:val="22"/>
        </w:rPr>
        <w:t> </w:t>
      </w:r>
      <w:r>
        <w:rPr>
          <w:rFonts w:ascii="Times New Roman" w:hAnsi="Times New Roman"/>
          <w:b w:val="false"/>
          <w:i/>
          <w:color w:val="000000"/>
          <w:sz w:val="22"/>
        </w:rPr>
        <w:t xml:space="preserve">Appeal of administrative law judge ruling. </w:t>
      </w:r>
      <w:r>
        <w:rPr>
          <w:rFonts w:ascii="Times New Roman" w:hAnsi="Times New Roman"/>
          <w:b w:val="false"/>
          <w:i w:val="false"/>
          <w:color w:val="000000"/>
          <w:sz w:val="22"/>
        </w:rPr>
        <w:t xml:space="preserve">A person aggrieved by a ruling of an administrative law judge who desires to challenge that ruling must appeal the ruling to the board by filing a notice of appeal with the board within ten days after service of the decision of the administrative law judge in accordance with rule </w:t>
      </w:r>
      <w:hyperlink r:id="rId17">
        <w:r>
          <w:rPr>
            <w:rStyle w:val="Hyperlink"/>
            <w:rFonts w:ascii="Times New Roman" w:hAnsi="Times New Roman"/>
            <w:b w:val="false"/>
            <w:i w:val="false"/>
            <w:color w:val="000000"/>
            <w:sz w:val="22"/>
          </w:rPr>
          <w:t>657—35.17</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36.4(7)</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(1) the person is notified that the investigation has been concluded with no formal action, or (2)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657—36.5</w:t>
      </w:r>
      <w:r>
        <w:rPr>
          <w:rFonts w:ascii="Times New Roman" w:hAnsi="Times New Roman"/>
          <w:b/>
          <w:i w:val="false"/>
          <w:color w:val="000000"/>
          <w:sz w:val="22"/>
        </w:rPr>
        <w:t xml:space="preserve">(147,272C)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Any case may be referred to peer review for evaluation of the professional services rendered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36.5(1)</w:t>
      </w:r>
      <w:r>
        <w:rPr>
          <w:rFonts w:ascii="Times New Roman" w:hAnsi="Times New Roman"/>
          <w:b w:val="false"/>
          <w:i w:val="false"/>
          <w:color w:val="000000"/>
          <w:sz w:val="22"/>
        </w:rPr>
        <w:t> </w:t>
      </w:r>
      <w:r>
        <w:rPr>
          <w:rFonts w:ascii="Times New Roman" w:hAnsi="Times New Roman"/>
          <w:b w:val="false"/>
          <w:i/>
          <w:color w:val="000000"/>
          <w:sz w:val="22"/>
        </w:rPr>
        <w:t xml:space="preserve">Contract and case referral. </w:t>
      </w:r>
      <w:r>
        <w:rPr>
          <w:rFonts w:ascii="Times New Roman" w:hAnsi="Times New Roman"/>
          <w:b w:val="false"/>
          <w:i w:val="false"/>
          <w:color w:val="000000"/>
          <w:sz w:val="22"/>
        </w:rPr>
        <w:t>The board shall enter into a contract with peer reviewers to provide peer review services. The board or board staff shall determine which peer reviewer(s) will review a case and what investigative information shall be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w:t>
      </w:r>
      <w:r>
        <w:rPr>
          <w:rFonts w:ascii="Times New Roman" w:hAnsi="Times New Roman"/>
          <w:b w:val="false"/>
          <w:i w:val="false"/>
          <w:color w:val="000000"/>
          <w:sz w:val="22"/>
        </w:rPr>
        <w:t> </w:t>
      </w:r>
      <w:r>
        <w:rPr>
          <w:rFonts w:ascii="Times New Roman" w:hAnsi="Times New Roman"/>
          <w:b w:val="false"/>
          <w:i/>
          <w:color w:val="000000"/>
          <w:sz w:val="22"/>
        </w:rPr>
        <w:t xml:space="preserve">Written opinion. </w:t>
      </w:r>
      <w:r>
        <w:rPr>
          <w:rFonts w:ascii="Times New Roman" w:hAnsi="Times New Roman"/>
          <w:b w:val="false"/>
          <w:i w:val="false"/>
          <w:color w:val="000000"/>
          <w:sz w:val="22"/>
        </w:rPr>
        <w:t>Peer reviewers shall review the information provided by the board and provide a written report to the board. The written report shall contain an opinion of the peer reviewer regarding whether the licensee conformed to minimum standards of acceptable and prevailing practice of pharmacy and the rationale supporting the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Peer reviewers shall observe the confidentiality requirements imposed by Iowa Code section </w:t>
      </w:r>
      <w:hyperlink r:id="rId1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w:t>
      </w:r>
      <w:r>
        <w:rPr>
          <w:rFonts w:ascii="Times New Roman" w:hAnsi="Times New Roman"/>
          <w:b w:val="false"/>
          <w:i w:val="false"/>
          <w:color w:val="000000"/>
          <w:sz w:val="22"/>
        </w:rPr>
        <w:t> </w:t>
      </w:r>
      <w:r>
        <w:rPr>
          <w:rFonts w:ascii="Times New Roman" w:hAnsi="Times New Roman"/>
          <w:b w:val="false"/>
          <w:i/>
          <w:color w:val="000000"/>
          <w:sz w:val="22"/>
        </w:rPr>
        <w:t xml:space="preserve">Board review and action. </w:t>
      </w:r>
      <w:r>
        <w:rPr>
          <w:rFonts w:ascii="Times New Roman" w:hAnsi="Times New Roman"/>
          <w:b w:val="false"/>
          <w:i w:val="false"/>
          <w:color w:val="000000"/>
          <w:sz w:val="22"/>
        </w:rPr>
        <w:t xml:space="preserve">The board shall review the committee’s findings and proceed with action available under </w:t>
      </w:r>
      <w:hyperlink r:id="rId19">
        <w:r>
          <w:rPr>
            <w:rStyle w:val="Hyperlink"/>
            <w:rFonts w:ascii="Times New Roman" w:hAnsi="Times New Roman"/>
            <w:b w:val="false"/>
            <w:i w:val="false"/>
            <w:color w:val="000000"/>
            <w:sz w:val="22"/>
          </w:rPr>
          <w:t>subrule 36.3(6)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657—36.6</w:t>
      </w:r>
      <w:r>
        <w:rPr>
          <w:rFonts w:ascii="Times New Roman" w:hAnsi="Times New Roman"/>
          <w:b/>
          <w:i w:val="false"/>
          <w:color w:val="000000"/>
          <w:sz w:val="22"/>
        </w:rPr>
        <w:t xml:space="preserve">(147,155A,272C)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set forth in rule </w:t>
      </w:r>
      <w:hyperlink r:id="rId20">
        <w:r>
          <w:rPr>
            <w:rStyle w:val="Hyperlink"/>
            <w:rFonts w:ascii="Times New Roman" w:hAnsi="Times New Roman"/>
            <w:b w:val="false"/>
            <w:i w:val="false"/>
            <w:color w:val="000000"/>
            <w:sz w:val="22"/>
          </w:rPr>
          <w:t>657—36.7</w:t>
        </w:r>
      </w:hyperlink>
      <w:r>
        <w:rPr>
          <w:rFonts w:ascii="Times New Roman" w:hAnsi="Times New Roman"/>
          <w:b w:val="false"/>
          <w:i w:val="false"/>
          <w:color w:val="000000"/>
          <w:sz w:val="22"/>
        </w:rPr>
        <w:t>(147,155A,272C) when the board determines that the licensee has committed any of the following acts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pharmacy, to operate a pharmacy doing business in this state, or to operate as a wholesale drug distributor doing business in this state, or in making application for a registration to practice as a pharmacist-intern, a pharmacy technician, or a pharmacy support person. Fraud in procuring a license includes false representations of a material fact, whether by word or conduct, by false or misleading allegations, or by concealment of that which should have been disclosed when making application, or attempting to file or filing with the board any false or forged diploma, certificate, affidavit, identification, or qualification in making application for a license or registration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pharmacist’s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by a pharmacist from the standards of learning or skill ordinarily possessed and applied by other pharmacists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by a pharmacist to exercise in a substantial respect that degree of care which is ordinarily exercised by the average pharmacist in the state of Iowa acting under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willful or repeated departure from, or the failure to conform to, the minimal standard or acceptable and prevailing practice of pharmacy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pharmacy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36.6(4)</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Habitual intoxication or addiction to the use of drugs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inability of a licensee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which may impair a licensee’s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36.6(5)</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36.6(6)</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 Fraud in representations as to skill or ability includes, but is not limited to, a pharmacist having made deceptive or untrue representations as to competency to perform professional services which the pharmacist is not qualified to perform by virtue of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36.6(7)</w:t>
      </w:r>
      <w:r>
        <w:rPr>
          <w:rFonts w:ascii="Times New Roman" w:hAnsi="Times New Roman"/>
          <w:b w:val="false"/>
          <w:i w:val="false"/>
          <w:color w:val="000000"/>
          <w:sz w:val="22"/>
        </w:rPr>
        <w:t> </w:t>
      </w:r>
      <w:r>
        <w:rPr>
          <w:rFonts w:ascii="Times New Roman" w:hAnsi="Times New Roman"/>
          <w:b w:val="false"/>
          <w:i w:val="false"/>
          <w:color w:val="000000"/>
          <w:sz w:val="22"/>
        </w:rPr>
        <w:t>Use of untrue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of drugs for other than lawful purposes. The distribution of drugs for other than lawful purposes includes, but is not limited to, the disposition of drugs in violation of Iowa Code chapters </w:t>
      </w:r>
      <w:hyperlink r:id="rId21">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36.6(9)</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the provisions of Iowa Code chapter </w:t>
      </w:r>
      <w:hyperlink r:id="rId2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Willful or repeated violations of these Acts include, but are not limited to, a licensee’s intentionally or repeatedly violating a lawful rule or regulation promulgated by the board of pharmacy or the Iowa department of public health, violating a lawful order of the board in a disciplinary hearing, or violating the provisions of title IV (public health)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36.6(10)</w:t>
      </w:r>
      <w:r>
        <w:rPr>
          <w:rFonts w:ascii="Times New Roman" w:hAnsi="Times New Roman"/>
          <w:b w:val="false"/>
          <w:i w:val="false"/>
          <w:color w:val="000000"/>
          <w:sz w:val="22"/>
        </w:rPr>
        <w:t> </w:t>
      </w:r>
      <w:r>
        <w:rPr>
          <w:rFonts w:ascii="Times New Roman" w:hAnsi="Times New Roman"/>
          <w:b w:val="false"/>
          <w:i w:val="false"/>
          <w:color w:val="000000"/>
          <w:sz w:val="22"/>
        </w:rPr>
        <w:t>Violating a statute or law of this state, another state, or the United States, without regard to its designation as either a felony or misdemeanor, which statute or law relates to the practice of pharmacy or the distribution of controlled substances, prescription drugs, or nonprescription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36.6(11)</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a final decision entered by the licensing authority of another state, territory, or country which decision resulted in a license revocation, suspension, or other disciplinary sanction.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36.6(12)</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procuring, or advising another person to unlawfully practice pharmacy or to unlawfully perform the functions of a pharmacist-intern, a pharmacy technician, or a pharmacy support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36.6(13)</w:t>
      </w:r>
      <w:r>
        <w:rPr>
          <w:rFonts w:ascii="Times New Roman" w:hAnsi="Times New Roman"/>
          <w:b w:val="false"/>
          <w:i w:val="false"/>
          <w:color w:val="000000"/>
          <w:sz w:val="22"/>
        </w:rPr>
        <w:t> </w:t>
      </w:r>
      <w:r>
        <w:rPr>
          <w:rFonts w:ascii="Times New Roman" w:hAnsi="Times New Roman"/>
          <w:b w:val="false"/>
          <w:i w:val="false"/>
          <w:color w:val="000000"/>
          <w:sz w:val="22"/>
        </w:rPr>
        <w:t>Inability of a licensee to practice with reasonable skill and safety by reason of mental or physical impairment or chemical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36.6(14)</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 Such adjudication shall automatically suspend a license for the duration of the license or registration unless the board otherwise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36.6(15)</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 submission of a false certification of completion of continuing education, or failure to submit biennial reports of continuing education as directed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36.6(16)</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judgment or settlement of a malpractice court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36.6(17)</w:t>
      </w:r>
      <w:r>
        <w:rPr>
          <w:rFonts w:ascii="Times New Roman" w:hAnsi="Times New Roman"/>
          <w:b w:val="false"/>
          <w:i w:val="false"/>
          <w:color w:val="000000"/>
          <w:sz w:val="22"/>
        </w:rPr>
        <w:t> </w:t>
      </w:r>
      <w:r>
        <w:rPr>
          <w:rFonts w:ascii="Times New Roman" w:hAnsi="Times New Roman"/>
          <w:b w:val="false"/>
          <w:i w:val="false"/>
          <w:color w:val="000000"/>
          <w:sz w:val="22"/>
        </w:rPr>
        <w:t>Failure to file reports concerning acts or omissions committed by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36.6(18)</w:t>
      </w:r>
      <w:r>
        <w:rPr>
          <w:rFonts w:ascii="Times New Roman" w:hAnsi="Times New Roman"/>
          <w:b w:val="false"/>
          <w:i w:val="false"/>
          <w:color w:val="000000"/>
          <w:sz w:val="22"/>
        </w:rPr>
        <w:t> </w:t>
      </w:r>
      <w:r>
        <w:rPr>
          <w:rFonts w:ascii="Times New Roman" w:hAnsi="Times New Roman"/>
          <w:b w:val="false"/>
          <w:i w:val="false"/>
          <w:color w:val="000000"/>
          <w:sz w:val="22"/>
        </w:rPr>
        <w:t>Willful or repeated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36.6(19)</w:t>
      </w:r>
      <w:r>
        <w:rPr>
          <w:rFonts w:ascii="Times New Roman" w:hAnsi="Times New Roman"/>
          <w:b w:val="false"/>
          <w:i w:val="false"/>
          <w:color w:val="000000"/>
          <w:sz w:val="22"/>
        </w:rPr>
        <w:t> </w:t>
      </w:r>
      <w:r>
        <w:rPr>
          <w:rFonts w:ascii="Times New Roman" w:hAnsi="Times New Roman"/>
          <w:b w:val="false"/>
          <w:i w:val="false"/>
          <w:color w:val="000000"/>
          <w:sz w:val="22"/>
        </w:rPr>
        <w:t>Willful or gross negligence.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36.6(20)</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revocation or suspension of a license or registration listed in Iowa Code section </w:t>
      </w:r>
      <w:hyperlink r:id="rId2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Iowa Code chapter </w:t>
      </w:r>
      <w:hyperlink r:id="rId2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or any of the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36.6(22)</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pharmacy without an active and current Iowa pharmacist license, operating a pharmacy without a current pharmacy license, operating a prescription drug wholesale facility without a current wholesale drug license, operating an outsourcing facility without a current outsourcing facility license, practicing as a pharmacist-intern without a current pharmacist-intern registration, assisting a pharmacist with technical functions associated with the practice of pharmacy without a current pharmacy technician registration except as provided in the introductory paragraph of rule </w:t>
      </w:r>
      <w:hyperlink r:id="rId28">
        <w:r>
          <w:rPr>
            <w:rStyle w:val="Hyperlink"/>
            <w:rFonts w:ascii="Times New Roman" w:hAnsi="Times New Roman"/>
            <w:b w:val="false"/>
            <w:i w:val="false"/>
            <w:color w:val="000000"/>
            <w:sz w:val="22"/>
          </w:rPr>
          <w:t>657—3.3</w:t>
        </w:r>
      </w:hyperlink>
      <w:r>
        <w:rPr>
          <w:rFonts w:ascii="Times New Roman" w:hAnsi="Times New Roman"/>
          <w:b w:val="false"/>
          <w:i w:val="false"/>
          <w:color w:val="000000"/>
          <w:sz w:val="22"/>
        </w:rPr>
        <w:t>(155A), or assisting a pharmacist with nontechnical functions associated with the practice of pharmacy without a current pharmacy support person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36.6(23)</w:t>
      </w:r>
      <w:r>
        <w:rPr>
          <w:rFonts w:ascii="Times New Roman" w:hAnsi="Times New Roman"/>
          <w:b w:val="false"/>
          <w:i w:val="false"/>
          <w:color w:val="000000"/>
          <w:sz w:val="22"/>
        </w:rPr>
        <w:t> </w:t>
      </w:r>
      <w:r>
        <w:rPr>
          <w:rFonts w:ascii="Times New Roman" w:hAnsi="Times New Roman"/>
          <w:b w:val="false"/>
          <w:i w:val="false"/>
          <w:color w:val="000000"/>
          <w:sz w:val="22"/>
        </w:rPr>
        <w:t>Attempting to circumvent the patient counseling requirements or discouraging patients from receiving patient counseling concerning their prescription drug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36.6(24)</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with a child support order or with a written agreement for payment of child support as evidenced by a certificate of noncompliance issued pursuant to Iowa Code chapter </w:t>
      </w:r>
      <w:hyperlink r:id="rId2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36.6(25)</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36.6(26)</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Employing or continuing to employ as a practicing pharmacist any person whose Iowa pharmacist license is not current and active, employing or continuing to employ a person to assist a pharmacist with technical functions associated with the practice of pharmacy who is not currently registered as a pharmacy technician except as provided in the introductory paragraph of rule </w:t>
      </w:r>
      <w:hyperlink r:id="rId30">
        <w:r>
          <w:rPr>
            <w:rStyle w:val="Hyperlink"/>
            <w:rFonts w:ascii="Times New Roman" w:hAnsi="Times New Roman"/>
            <w:b w:val="false"/>
            <w:i w:val="false"/>
            <w:color w:val="000000"/>
            <w:sz w:val="22"/>
          </w:rPr>
          <w:t>657—3.3</w:t>
        </w:r>
      </w:hyperlink>
      <w:r>
        <w:rPr>
          <w:rFonts w:ascii="Times New Roman" w:hAnsi="Times New Roman"/>
          <w:b w:val="false"/>
          <w:i w:val="false"/>
          <w:color w:val="000000"/>
          <w:sz w:val="22"/>
        </w:rPr>
        <w:t>(155A), or employing or continuing to employ a person to assist a pharmacist with nontechnical functions associated with the practice of pharmacy who is not currently registered as a pharmacy support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36.6(27)</w:t>
      </w:r>
      <w:r>
        <w:rPr>
          <w:rFonts w:ascii="Times New Roman" w:hAnsi="Times New Roman"/>
          <w:b w:val="false"/>
          <w:i w:val="false"/>
          <w:color w:val="000000"/>
          <w:sz w:val="22"/>
        </w:rPr>
        <w:t> </w:t>
      </w:r>
      <w:r>
        <w:rPr>
          <w:rFonts w:ascii="Times New Roman" w:hAnsi="Times New Roman"/>
          <w:b w:val="false"/>
          <w:i w:val="false"/>
          <w:color w:val="000000"/>
          <w:sz w:val="22"/>
        </w:rPr>
        <w:t>Retaliating against a pharmacist, pharmacist-intern, pharmacy technician, or pharmacy support person for making allegations of illegal or unethical activities, making required reports to the board, or cooperating with a board investigation or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36.6(28)</w:t>
      </w:r>
      <w:r>
        <w:rPr>
          <w:rFonts w:ascii="Times New Roman" w:hAnsi="Times New Roman"/>
          <w:b w:val="false"/>
          <w:i w:val="false"/>
          <w:color w:val="000000"/>
          <w:sz w:val="22"/>
        </w:rPr>
        <w:t> </w:t>
      </w:r>
      <w:r>
        <w:rPr>
          <w:rFonts w:ascii="Times New Roman" w:hAnsi="Times New Roman"/>
          <w:b w:val="false"/>
          <w:i w:val="false"/>
          <w:color w:val="000000"/>
          <w:sz w:val="22"/>
        </w:rPr>
        <w:t xml:space="preserve"> Failing to create and maintain complete and accurate records as required by state or federal law or regulation or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36.6(29)</w:t>
      </w:r>
      <w:r>
        <w:rPr>
          <w:rFonts w:ascii="Times New Roman" w:hAnsi="Times New Roman"/>
          <w:b w:val="false"/>
          <w:i w:val="false"/>
          <w:color w:val="000000"/>
          <w:sz w:val="22"/>
        </w:rPr>
        <w:t> </w:t>
      </w:r>
      <w:r>
        <w:rPr>
          <w:rFonts w:ascii="Times New Roman" w:hAnsi="Times New Roman"/>
          <w:b w:val="false"/>
          <w:i w:val="false"/>
          <w:color w:val="000000"/>
          <w:sz w:val="22"/>
        </w:rPr>
        <w:t>Violating the pharmacy or drug laws or rules of another state while under the jurisdiction of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36.6(30)</w:t>
      </w:r>
      <w:r>
        <w:rPr>
          <w:rFonts w:ascii="Times New Roman" w:hAnsi="Times New Roman"/>
          <w:b w:val="false"/>
          <w:i w:val="false"/>
          <w:color w:val="000000"/>
          <w:sz w:val="22"/>
        </w:rPr>
        <w:t> </w:t>
      </w:r>
      <w:r>
        <w:rPr>
          <w:rFonts w:ascii="Times New Roman" w:hAnsi="Times New Roman"/>
          <w:b w:val="false"/>
          <w:i w:val="false"/>
          <w:color w:val="000000"/>
          <w:sz w:val="22"/>
        </w:rPr>
        <w:t>Having a license revoked or suspended or having other disciplinary action taken by a licensing authority of this state or of another state, territory, or country for conduct substantially equivalent to any of the grounds for disciplinary action in Iowa. A copy of the record from the licensing authority taking the disciplinary action shall be conclusive evidence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mandatory child or dependent adult abuse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36.6(32)</w:t>
      </w:r>
      <w:r>
        <w:rPr>
          <w:rFonts w:ascii="Times New Roman" w:hAnsi="Times New Roman"/>
          <w:b w:val="false"/>
          <w:i w:val="false"/>
          <w:color w:val="000000"/>
          <w:sz w:val="22"/>
        </w:rPr>
        <w:t> </w:t>
      </w:r>
      <w:r>
        <w:rPr>
          <w:rFonts w:ascii="Times New Roman" w:hAnsi="Times New Roman"/>
          <w:b w:val="false"/>
          <w:i w:val="false"/>
          <w:color w:val="000000"/>
          <w:sz w:val="22"/>
        </w:rPr>
        <w:t>Failure to timely provide to the board or a representative of the board prescription fill data or other required pharmacy or controlled substances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36.6(33)</w:t>
      </w:r>
      <w:r>
        <w:rPr>
          <w:rFonts w:ascii="Times New Roman" w:hAnsi="Times New Roman"/>
          <w:b w:val="false"/>
          <w:i w:val="false"/>
          <w:color w:val="000000"/>
          <w:sz w:val="22"/>
        </w:rPr>
        <w:t> </w:t>
      </w:r>
      <w:r>
        <w:rPr>
          <w:rFonts w:ascii="Times New Roman" w:hAnsi="Times New Roman"/>
          <w:b w:val="false"/>
          <w:i w:val="false"/>
          <w:color w:val="000000"/>
          <w:sz w:val="22"/>
        </w:rPr>
        <w:t xml:space="preserve"> Nonpayment of a state debt as evidenced by a certificate of noncompliance issued pursuant to Iowa Code chapter </w:t>
      </w:r>
      <w:hyperlink r:id="rId3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36.6(34)</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relating to the practice of pharmacy or to the distribution of drugs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36.6(35)</w:t>
      </w:r>
      <w:r>
        <w:rPr>
          <w:rFonts w:ascii="Times New Roman" w:hAnsi="Times New Roman"/>
          <w:b w:val="false"/>
          <w:i w:val="false"/>
          <w:color w:val="000000"/>
          <w:sz w:val="22"/>
        </w:rPr>
        <w:t> </w:t>
      </w:r>
      <w:r>
        <w:rPr>
          <w:rFonts w:ascii="Times New Roman" w:hAnsi="Times New Roman"/>
          <w:b w:val="false"/>
          <w:i w:val="false"/>
          <w:color w:val="000000"/>
          <w:sz w:val="22"/>
        </w:rPr>
        <w:t>Obtaining, possessing, or attempting to obtain or possess prescription drugs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36.6(36)</w:t>
      </w:r>
      <w:r>
        <w:rPr>
          <w:rFonts w:ascii="Times New Roman" w:hAnsi="Times New Roman"/>
          <w:b w:val="false"/>
          <w:i w:val="false"/>
          <w:color w:val="000000"/>
          <w:sz w:val="22"/>
        </w:rPr>
        <w:t> </w:t>
      </w:r>
      <w:r>
        <w:rPr>
          <w:rFonts w:ascii="Times New Roman" w:hAnsi="Times New Roman"/>
          <w:b w:val="false"/>
          <w:i w:val="false"/>
          <w:color w:val="000000"/>
          <w:sz w:val="22"/>
        </w:rPr>
        <w:t>Diverting prescription drugs from a pharmacy for personal use or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36.6(37)</w:t>
      </w:r>
      <w:r>
        <w:rPr>
          <w:rFonts w:ascii="Times New Roman" w:hAnsi="Times New Roman"/>
          <w:b w:val="false"/>
          <w:i w:val="false"/>
          <w:color w:val="000000"/>
          <w:sz w:val="22"/>
        </w:rPr>
        <w:t> </w:t>
      </w:r>
      <w:r>
        <w:rPr>
          <w:rFonts w:ascii="Times New Roman" w:hAnsi="Times New Roman"/>
          <w:b w:val="false"/>
          <w:i w:val="false"/>
          <w:color w:val="000000"/>
          <w:sz w:val="22"/>
        </w:rPr>
        <w:t>Practicing pharmacy, or assisting in the practice of pharmacy, while under the influence of alcohol or illicit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36.6(38)</w:t>
      </w:r>
      <w:r>
        <w:rPr>
          <w:rFonts w:ascii="Times New Roman" w:hAnsi="Times New Roman"/>
          <w:b w:val="false"/>
          <w:i w:val="false"/>
          <w:color w:val="000000"/>
          <w:sz w:val="22"/>
        </w:rPr>
        <w:t> </w:t>
      </w:r>
      <w:r>
        <w:rPr>
          <w:rFonts w:ascii="Times New Roman" w:hAnsi="Times New Roman"/>
          <w:b w:val="false"/>
          <w:i w:val="false"/>
          <w:color w:val="000000"/>
          <w:sz w:val="22"/>
        </w:rPr>
        <w:t>Practicing pharmacy, or assisting in the practice of pharmacy, while under the influence of prescription drugs or substances for which the licensee does not have a lawful prescription or while impaired by the use of legitimately prescribed pharmacological agents, drugs, or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36.6(39)</w:t>
      </w:r>
      <w:r>
        <w:rPr>
          <w:rFonts w:ascii="Times New Roman" w:hAnsi="Times New Roman"/>
          <w:b w:val="false"/>
          <w:i w:val="false"/>
          <w:color w:val="000000"/>
          <w:sz w:val="22"/>
        </w:rPr>
        <w:t> </w:t>
      </w:r>
      <w:r>
        <w:rPr>
          <w:rFonts w:ascii="Times New Roman" w:hAnsi="Times New Roman"/>
          <w:b w:val="false"/>
          <w:i w:val="false"/>
          <w:color w:val="000000"/>
          <w:sz w:val="22"/>
        </w:rPr>
        <w:t>Forging or altering a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36.6(40)</w:t>
      </w:r>
      <w:r>
        <w:rPr>
          <w:rFonts w:ascii="Times New Roman" w:hAnsi="Times New Roman"/>
          <w:b w:val="false"/>
          <w:i w:val="false"/>
          <w:color w:val="000000"/>
          <w:sz w:val="22"/>
        </w:rPr>
        <w:t> </w:t>
      </w:r>
      <w:r>
        <w:rPr>
          <w:rFonts w:ascii="Times New Roman" w:hAnsi="Times New Roman"/>
          <w:b w:val="false"/>
          <w:i w:val="false"/>
          <w:color w:val="000000"/>
          <w:sz w:val="22"/>
        </w:rPr>
        <w:t xml:space="preserve"> Practicing outside the scope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36.6(41)</w:t>
      </w:r>
      <w:r>
        <w:rPr>
          <w:rFonts w:ascii="Times New Roman" w:hAnsi="Times New Roman"/>
          <w:b w:val="false"/>
          <w:i w:val="false"/>
          <w:color w:val="000000"/>
          <w:sz w:val="22"/>
        </w:rPr>
        <w:t> </w:t>
      </w:r>
      <w:r>
        <w:rPr>
          <w:rFonts w:ascii="Times New Roman" w:hAnsi="Times New Roman"/>
          <w:b w:val="false"/>
          <w:i w:val="false"/>
          <w:color w:val="000000"/>
          <w:sz w:val="22"/>
        </w:rPr>
        <w:t>Dispensing, or contributing to the dispensing of, an incorrect prescription, which includes, but is not limited to, the incorrect drug, the incorrect strength, the incorrect patient or prescriber, or the incorrect or incomplete directions.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36.6(42)</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 confidential order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36.6(43)</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the terms of an initial agreement or contract with the Iowa monitoring program for pharmacy professionals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4581C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657—36.7</w:t>
      </w:r>
      <w:r>
        <w:rPr>
          <w:rFonts w:ascii="Times New Roman" w:hAnsi="Times New Roman"/>
          <w:b/>
          <w:i w:val="false"/>
          <w:color w:val="000000"/>
          <w:sz w:val="22"/>
        </w:rPr>
        <w:t xml:space="preserve">(147,155A,272C)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color w:val="000000"/>
          <w:sz w:val="22"/>
        </w:rPr>
        <w:t xml:space="preserve">Possible sanctions.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license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license issued by the board until further order of the board or for a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Nonrenewal of a license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board, or for a specified period, the engaging in specified procedures, methods or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a licensee to complete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 a pharmacist to successfully complete any reexamination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Order a licensee to undergo a physical or mental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Impose civil penalties not to exceed $25,000.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Issue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Such other sanctions allowed by law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color w:val="000000"/>
          <w:sz w:val="22"/>
        </w:rPr>
        <w:t xml:space="preserve">Considerations in determining sanctions. </w:t>
      </w:r>
      <w:r>
        <w:rPr>
          <w:rFonts w:ascii="Times New Roman" w:hAnsi="Times New Roman"/>
          <w:b w:val="false"/>
          <w:i w:val="false"/>
          <w:color w:val="000000"/>
          <w:sz w:val="22"/>
        </w:rPr>
        <w:t>The board may consider the following factors in determining the nature and severity of the disciplinary sanction to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relative seriousness of the violation as it relates to assuring the citizens of this state a high standard of professional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extenuating circumstances or other countervailing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Number of prior violations or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Seriousness of prior violations or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657—36.8</w:t>
      </w:r>
      <w:r>
        <w:rPr>
          <w:rFonts w:ascii="Times New Roman" w:hAnsi="Times New Roman"/>
          <w:b/>
          <w:i w:val="false"/>
          <w:color w:val="000000"/>
          <w:sz w:val="22"/>
        </w:rPr>
        <w:t xml:space="preserve">(147,272C)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 xml:space="preserve">A voluntary surrender of a license may be submitted to the board as resolution of a contested case or in lieu of continued compliance with a disciplinary order of the board. A voluntary surrender, when accepted by the board, has the same force and effect as an order of revocation. The voluntary surrender of a license during the pendency of a complaint or investigation shall be considered discipline and shall have the same force and effect as an order of revocation. A request for reinstatement of a license that has been surrendered shall be handled under the terms established by rule </w:t>
      </w:r>
      <w:hyperlink r:id="rId32">
        <w:r>
          <w:rPr>
            <w:rStyle w:val="Hyperlink"/>
            <w:rFonts w:ascii="Times New Roman" w:hAnsi="Times New Roman"/>
            <w:b w:val="false"/>
            <w:i w:val="false"/>
            <w:color w:val="000000"/>
            <w:sz w:val="22"/>
          </w:rPr>
          <w:t>657—35.36</w:t>
        </w:r>
      </w:hyperlink>
      <w:r>
        <w:rPr>
          <w:rFonts w:ascii="Times New Roman" w:hAnsi="Times New Roman"/>
          <w:b w:val="false"/>
          <w:i w:val="false"/>
          <w:color w:val="000000"/>
          <w:sz w:val="22"/>
        </w:rPr>
        <w:t>(17A,147,272C).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657—36.9</w:t>
      </w:r>
      <w:r>
        <w:rPr>
          <w:rFonts w:ascii="Times New Roman" w:hAnsi="Times New Roman"/>
          <w:b/>
          <w:i w:val="false"/>
          <w:color w:val="000000"/>
          <w:sz w:val="22"/>
        </w:rPr>
        <w:t xml:space="preserve">(155A,272C) </w:t>
      </w:r>
      <w:r>
        <w:rPr>
          <w:rFonts w:ascii="Times New Roman" w:hAnsi="Times New Roman"/>
          <w:b/>
          <w:i w:val="false"/>
          <w:color w:val="000000"/>
          <w:sz w:val="22"/>
        </w:rPr>
        <w:t xml:space="preserve">Order for mental or physical examination. </w:t>
      </w:r>
      <w:r>
        <w:rPr>
          <w:rFonts w:ascii="Times New Roman" w:hAnsi="Times New Roman"/>
          <w:b w:val="false"/>
          <w:i w:val="false"/>
          <w:color w:val="000000"/>
          <w:sz w:val="22"/>
        </w:rPr>
        <w:t>A licensee is, as a condition of licensure, under a duty to submit to a mental or physical examination within a time period specified by order of the board. Such examination may be ordered upon a showing of probable cause and shall be at the expense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for mental or physical examination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of examination to which the licensee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examiner or treatment facility that the board has identified as having the potential to perform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period in which the licensee must schedule the required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time in which the licensee is required to complete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licensee cause a report of the examination results to be provided to the board within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licensee communicate with the board regarding the status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provision allowing the licensee to request additional time to schedule or complete the examination or to request that the board approve an alternative examiner or treatment facility. The board shall, in its sole discretion, determine whether to grant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36.9(2)</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order and who objects to the order may file a request for hearing. The request for hearing shall specifically identify the factual and legal issues upon which the licensee bases the objection. The hearing shall be considered a contested case proceeding and shall be governed by the provisions of </w:t>
      </w:r>
      <w:hyperlink r:id="rId33">
        <w:r>
          <w:rPr>
            <w:rStyle w:val="Hyperlink"/>
            <w:rFonts w:ascii="Times New Roman" w:hAnsi="Times New Roman"/>
            <w:b w:val="false"/>
            <w:i w:val="false"/>
            <w:color w:val="000000"/>
            <w:sz w:val="22"/>
          </w:rPr>
          <w:t>657—Chapter 35</w:t>
        </w:r>
      </w:hyperlink>
      <w:r>
        <w:rPr>
          <w:rFonts w:ascii="Times New Roman" w:hAnsi="Times New Roman"/>
          <w:b w:val="false"/>
          <w:i w:val="false"/>
          <w:color w:val="000000"/>
          <w:sz w:val="22"/>
        </w:rPr>
        <w:t>. A contested case involving an objection to an examination order will be captioned in the name of Jane or John Doe in order to maintain the licensee’s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36.9(3)</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board order shall be closed pursuant to Iowa Code section </w:t>
      </w:r>
      <w:hyperlink r:id="rId3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36.9(4)</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reports—confidential. </w:t>
      </w:r>
      <w:r>
        <w:rPr>
          <w:rFonts w:ascii="Times New Roman" w:hAnsi="Times New Roman"/>
          <w:b w:val="false"/>
          <w:i w:val="false"/>
          <w:color w:val="000000"/>
          <w:sz w:val="22"/>
        </w:rPr>
        <w:t xml:space="preserve">An examination order and any subsequent examination reports issued in the course of a board investigation are confidential investigative information pursuant to Iowa Code section </w:t>
      </w:r>
      <w:hyperlink r:id="rId35">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657—36.10</w:t>
      </w:r>
      <w:r>
        <w:rPr>
          <w:rFonts w:ascii="Times New Roman" w:hAnsi="Times New Roman"/>
          <w:b/>
          <w:i w:val="false"/>
          <w:color w:val="000000"/>
          <w:sz w:val="22"/>
        </w:rPr>
        <w:t xml:space="preserve">(272C) </w:t>
      </w:r>
      <w:r>
        <w:rPr>
          <w:rFonts w:ascii="Times New Roman" w:hAnsi="Times New Roman"/>
          <w:b/>
          <w:i w:val="false"/>
          <w:color w:val="000000"/>
          <w:sz w:val="22"/>
        </w:rPr>
        <w:t xml:space="preserve">Disciplinary hearings—fees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 in relation to a formal disciplinary action filed by the board against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“Deposition” </w:t>
      </w:r>
      <w:r>
        <w:rPr>
          <w:rFonts w:ascii="Times New Roman" w:hAnsi="Times New Roman"/>
          <w:b w:val="false"/>
          <w:i w:val="false"/>
          <w:color w:val="000000"/>
          <w:sz w:val="22"/>
        </w:rPr>
        <w:t>means the testimony of a person pursuant to subpoena or at the request of the state of Iowa taken in a setting other than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 xml:space="preserve">means costs incurred by persons appearing pursuant to subpoena or at the request of the state of Iowa for purposes of providing testimony on the part of the state of Iowa in a hearing or other official proceeding and shall include mileage reimbursement at the rate specified in Iowa Code section </w:t>
      </w:r>
      <w:hyperlink r:id="rId36">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color w:val="000000"/>
          <w:sz w:val="22"/>
        </w:rPr>
        <w:t xml:space="preserve">“Medical examination fees” </w:t>
      </w:r>
      <w:r>
        <w:rPr>
          <w:rFonts w:ascii="Times New Roman" w:hAnsi="Times New Roman"/>
          <w:b w:val="false"/>
          <w:i w:val="false"/>
          <w:color w:val="000000"/>
          <w:sz w:val="22"/>
        </w:rPr>
        <w:t>means actual costs incurred by the board in a physical, mental, chemical abuse, or other impairment-related examination or evaluation of a licensee when the examination or evaluation is conducted pursuant 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means a printed verbatim reproduction of everything said on the record during a hearing or other official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purposes of this rule, compensation shall be the same as outlined in Iowa Code section </w:t>
      </w:r>
      <w:hyperlink r:id="rId37">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as the case may be.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36.10(2)</w:t>
      </w:r>
      <w:r>
        <w:rPr>
          <w:rFonts w:ascii="Times New Roman" w:hAnsi="Times New Roman"/>
          <w:b w:val="false"/>
          <w:i w:val="false"/>
          <w:color w:val="000000"/>
          <w:sz w:val="22"/>
        </w:rPr>
        <w:t> </w:t>
      </w:r>
      <w:r>
        <w:rPr>
          <w:rFonts w:ascii="Times New Roman" w:hAnsi="Times New Roman"/>
          <w:b w:val="false"/>
          <w:i/>
          <w:color w:val="000000"/>
          <w:sz w:val="22"/>
        </w:rPr>
        <w:t xml:space="preserve">Hearing fee and recoverable costs. </w:t>
      </w:r>
      <w:r>
        <w:rPr>
          <w:rFonts w:ascii="Times New Roman" w:hAnsi="Times New Roman"/>
          <w:b w:val="false"/>
          <w:i w:val="false"/>
          <w:color w:val="000000"/>
          <w:sz w:val="22"/>
        </w:rPr>
        <w:t>The board may charge a fee not to exceed $75 for conducting a disciplinary hearing that results in disciplinary action taken by the board against the licensee. In addition to the fee, the board may recover from the licensee costs for the following procedures and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Recording fees of a certified shorthand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fees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36.10(3)</w:t>
      </w:r>
      <w:r>
        <w:rPr>
          <w:rFonts w:ascii="Times New Roman" w:hAnsi="Times New Roman"/>
          <w:b w:val="false"/>
          <w:i w:val="false"/>
          <w:color w:val="000000"/>
          <w:sz w:val="22"/>
        </w:rPr>
        <w:t> </w:t>
      </w:r>
      <w:r>
        <w:rPr>
          <w:rFonts w:ascii="Times New Roman" w:hAnsi="Times New Roman"/>
          <w:b w:val="false"/>
          <w:i/>
          <w:color w:val="000000"/>
          <w:sz w:val="22"/>
        </w:rPr>
        <w:t xml:space="preserve">Fees, costs as part of disciplinary order. </w:t>
      </w:r>
      <w:r>
        <w:rPr>
          <w:rFonts w:ascii="Times New Roman" w:hAnsi="Times New Roman"/>
          <w:b w:val="false"/>
          <w:i w:val="false"/>
          <w:color w:val="000000"/>
          <w:sz w:val="22"/>
        </w:rPr>
        <w:t>Fees and costs assessed by the board shall be described as part of the board’s final disciplinary order. Fees and costs that can be calculated at the time of the issuance of the board’s final disciplinary order shall be itemized in the order. Fees and costs that cannot be calculated at the time of the issuance of the board’s final disciplinary order may be invoiced to the licensee at a later time, provided that the board’s final disciplinary order states that the particular fees and costs will be invoiced at a later date. The board’s final disciplinary order and any invoices shall specify the time period in which the licensee shall pay the assessed fees and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36.10(4)</w:t>
      </w:r>
      <w:r>
        <w:rPr>
          <w:rFonts w:ascii="Times New Roman" w:hAnsi="Times New Roman"/>
          <w:b w:val="false"/>
          <w:i w:val="false"/>
          <w:color w:val="000000"/>
          <w:sz w:val="22"/>
        </w:rPr>
        <w:t> </w:t>
      </w:r>
      <w:r>
        <w:rPr>
          <w:rFonts w:ascii="Times New Roman" w:hAnsi="Times New Roman"/>
          <w:b w:val="false"/>
          <w:i/>
          <w:color w:val="000000"/>
          <w:sz w:val="22"/>
        </w:rPr>
        <w:t xml:space="preserve">Board treatment of collected fees, costs. </w:t>
      </w:r>
      <w:r>
        <w:rPr>
          <w:rFonts w:ascii="Times New Roman" w:hAnsi="Times New Roman"/>
          <w:b w:val="false"/>
          <w:i w:val="false"/>
          <w:color w:val="000000"/>
          <w:sz w:val="22"/>
        </w:rPr>
        <w:t xml:space="preserve">Fees and costs collected by the board shall be allocated to the expenditure category of the board in which the hearing costs were incurred. The fees and costs shall be considered repayment receipts as defined in Iowa Code section </w:t>
      </w:r>
      <w:hyperlink r:id="rId39">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36.10(5)</w:t>
      </w:r>
      <w:r>
        <w:rPr>
          <w:rFonts w:ascii="Times New Roman" w:hAnsi="Times New Roman"/>
          <w:b w:val="false"/>
          <w:i w:val="false"/>
          <w:color w:val="000000"/>
          <w:sz w:val="22"/>
        </w:rPr>
        <w:t> </w:t>
      </w:r>
      <w:r>
        <w:rPr>
          <w:rFonts w:ascii="Times New Roman" w:hAnsi="Times New Roman"/>
          <w:b w:val="false"/>
          <w:i/>
          <w:color w:val="000000"/>
          <w:sz w:val="22"/>
        </w:rPr>
        <w:t xml:space="preserve">Failure to pay assessed fees, costs. </w:t>
      </w:r>
      <w:r>
        <w:rPr>
          <w:rFonts w:ascii="Times New Roman" w:hAnsi="Times New Roman"/>
          <w:b w:val="false"/>
          <w:i w:val="false"/>
          <w:color w:val="000000"/>
          <w:sz w:val="22"/>
        </w:rPr>
        <w:t>Failure of a licensee to pay the fees and costs assessed herein within the time period specified in the board’s final disciplinary order or subsequent invoice shall constitute a violation of a lawful order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3344C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657—36.11</w:t>
      </w:r>
      <w:r>
        <w:rPr>
          <w:rFonts w:ascii="Times New Roman" w:hAnsi="Times New Roman"/>
          <w:b/>
          <w:i w:val="false"/>
          <w:color w:val="000000"/>
          <w:sz w:val="22"/>
        </w:rPr>
        <w:t xml:space="preserve">(88GA,SF304) </w:t>
      </w:r>
      <w:r>
        <w:rPr>
          <w:rFonts w:ascii="Times New Roman" w:hAnsi="Times New Roman"/>
          <w:b/>
          <w:i w:val="false"/>
          <w:color w:val="000000"/>
          <w:sz w:val="22"/>
        </w:rPr>
        <w:t xml:space="preserve">Prohibited grounds for discipline. </w:t>
      </w:r>
      <w:r>
        <w:rPr>
          <w:rFonts w:ascii="Times New Roman" w:hAnsi="Times New Roman"/>
          <w:b w:val="false"/>
          <w:i w:val="false"/>
          <w:color w:val="000000"/>
          <w:sz w:val="22"/>
        </w:rPr>
        <w:t>The board shall not suspend or revoke the license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4581C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0">
        <w:r>
          <w:rPr>
            <w:rStyle w:val="Hyperlink"/>
            <w:rFonts w:ascii="Times New Roman" w:hAnsi="Times New Roman"/>
            <w:b w:val="false"/>
            <w:i w:val="false"/>
            <w:color w:val="000000"/>
            <w:sz w:val="22"/>
          </w:rPr>
          <w:t>17A.10 to 17A.23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124.304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124B.12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126.17</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155A.6 to 155A.6B</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155A.12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155A.13 to 155A.13C</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155A.15 to 155A.18</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155A.26</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205.11</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272C.3 to 272C.6</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2/18/00, Notice 12/15/99—published 3/22/00, effective 4/26/00]</w:t>
      </w:r>
    </w:p>
    <w:p>
      <w:pPr>
        <w:spacing w:before="0" w:after="0"/>
        <w:ind w:left="120"/>
        <w:jc w:val="center"/>
      </w:pPr>
      <w:r>
        <w:rPr>
          <w:rFonts w:ascii="Times New Roman" w:hAnsi="Times New Roman"/>
          <w:b w:val="false"/>
          <w:i w:val="false"/>
          <w:color w:val="000000"/>
          <w:sz w:val="21"/>
        </w:rPr>
        <w:t>[Filed 10/24/02, Notice 7/24/02—published 11/13/02, effective 12/18/02]</w:t>
      </w:r>
    </w:p>
    <w:p>
      <w:pPr>
        <w:spacing w:before="0" w:after="0"/>
        <w:ind w:left="120"/>
        <w:jc w:val="center"/>
      </w:pPr>
      <w:r>
        <w:rPr>
          <w:rFonts w:ascii="Times New Roman" w:hAnsi="Times New Roman"/>
          <w:b w:val="false"/>
          <w:i w:val="false"/>
          <w:color w:val="000000"/>
          <w:sz w:val="21"/>
        </w:rPr>
        <w:t>[Filed 7/15/03, Notice 4/16/03—published 8/6/03, effective 9/10/03]</w:t>
      </w:r>
    </w:p>
    <w:p>
      <w:pPr>
        <w:spacing w:before="0" w:after="0"/>
        <w:ind w:left="120"/>
        <w:jc w:val="center"/>
      </w:pPr>
      <w:r>
        <w:rPr>
          <w:rFonts w:ascii="Times New Roman" w:hAnsi="Times New Roman"/>
          <w:b w:val="false"/>
          <w:i w:val="false"/>
          <w:color w:val="000000"/>
          <w:sz w:val="21"/>
        </w:rPr>
        <w:t>[Filed 11/30/06, Notice 9/27/06—published 12/20/06, effective 1/24/07]</w:t>
      </w:r>
    </w:p>
    <w:p>
      <w:pPr>
        <w:spacing w:before="0" w:after="0"/>
        <w:ind w:left="120"/>
        <w:jc w:val="center"/>
      </w:pPr>
      <w:r>
        <w:rPr>
          <w:rFonts w:ascii="Times New Roman" w:hAnsi="Times New Roman"/>
          <w:b w:val="false"/>
          <w:i w:val="false"/>
          <w:color w:val="000000"/>
          <w:sz w:val="21"/>
        </w:rPr>
        <w:t>[Filed 3/5/08, Notice 12/19/07—published 3/26/08, effective 4/30/08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9412B</w:t>
      </w:r>
      <w:r>
        <w:rPr>
          <w:rFonts w:ascii="Times New Roman" w:hAnsi="Times New Roman"/>
          <w:b w:val="false"/>
          <w:i w:val="false"/>
          <w:color w:val="000000"/>
          <w:sz w:val="21"/>
        </w:rPr>
        <w:t xml:space="preserve"> (Notice ARC 9191B, IAB 11/3/10)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1963C</w:t>
      </w:r>
      <w:r>
        <w:rPr>
          <w:rFonts w:ascii="Times New Roman" w:hAnsi="Times New Roman"/>
          <w:b w:val="false"/>
          <w:i w:val="false"/>
          <w:color w:val="000000"/>
          <w:sz w:val="21"/>
        </w:rPr>
        <w:t xml:space="preserve"> (Notice ARC 1790C,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3344C</w:t>
      </w:r>
      <w:r>
        <w:rPr>
          <w:rFonts w:ascii="Times New Roman" w:hAnsi="Times New Roman"/>
          <w:b w:val="false"/>
          <w:i w:val="false"/>
          <w:color w:val="000000"/>
          <w:sz w:val="21"/>
        </w:rPr>
        <w:t xml:space="preserve"> (Notice ARC 3135C,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4581C</w:t>
      </w:r>
      <w:r>
        <w:rPr>
          <w:rFonts w:ascii="Times New Roman" w:hAnsi="Times New Roman"/>
          <w:b w:val="false"/>
          <w:i w:val="false"/>
          <w:color w:val="000000"/>
          <w:sz w:val="21"/>
        </w:rPr>
        <w:t xml:space="preserve"> (Notice ARC 4484C,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5750C</w:t>
      </w:r>
      <w:r>
        <w:rPr>
          <w:rFonts w:ascii="Times New Roman" w:hAnsi="Times New Roman"/>
          <w:b w:val="false"/>
          <w:i w:val="false"/>
          <w:color w:val="000000"/>
          <w:sz w:val="21"/>
        </w:rPr>
        <w:t xml:space="preserve"> (Notice ARC 5454C, IAB 2/24/21)</w:t>
      </w:r>
      <w:r>
        <w:rPr>
          <w:rFonts w:ascii="Times New Roman" w:hAnsi="Times New Roman"/>
          <w:b w:val="false"/>
          <w:i w:val="false"/>
          <w:color w:val="000000"/>
          <w:sz w:val="21"/>
        </w:rPr>
        <w:t>, IAB 7/14/21, effective 8/18/21]</w:t>
      </w:r>
    </w:p>
    <w:p>
      <w:pPr>
        <w:pBdr>
          <w:bottom w:space="2"/>
        </w:pBdr>
        <w:spacing w:before="0" w:after="0"/>
        <w:ind w:left="120"/>
        <w:jc w:val="both"/>
      </w:pPr>
      <w:r>
        <w:rPr>
          <w:rFonts w:ascii="Times New Roman" w:hAnsi="Times New Roman"/>
          <w:b w:val="false"/>
          <w:i w:val="false"/>
          <w:color w:val="000000"/>
          <w:sz w:val="22"/>
        </w:rPr>
        <w:t>April 30, 2008, effective date of 36.1(4)</w:t>
      </w:r>
      <w:r>
        <w:rPr>
          <w:rFonts w:ascii="Times New Roman" w:hAnsi="Times New Roman"/>
          <w:b w:val="false"/>
          <w:i/>
          <w:color w:val="000000"/>
          <w:sz w:val="22"/>
        </w:rPr>
        <w:t>“i,” “v,”</w:t>
      </w:r>
      <w:r>
        <w:rPr>
          <w:rFonts w:ascii="Times New Roman" w:hAnsi="Times New Roman"/>
          <w:b w:val="false"/>
          <w:i w:val="false"/>
          <w:color w:val="000000"/>
          <w:sz w:val="22"/>
        </w:rPr>
        <w:t xml:space="preserve"> and </w:t>
      </w:r>
      <w:r>
        <w:rPr>
          <w:rFonts w:ascii="Times New Roman" w:hAnsi="Times New Roman"/>
          <w:b w:val="false"/>
          <w:i/>
          <w:color w:val="000000"/>
          <w:sz w:val="22"/>
        </w:rPr>
        <w:t>“aa”</w:t>
      </w:r>
      <w:r>
        <w:rPr>
          <w:rFonts w:ascii="Times New Roman" w:hAnsi="Times New Roman"/>
          <w:b w:val="false"/>
          <w:i w:val="false"/>
          <w:color w:val="000000"/>
          <w:sz w:val="22"/>
        </w:rPr>
        <w:t xml:space="preserve"> delayed 70 days by the Administrative Rules Review Committee at its meeting held April 4, 2008.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B.pdf" Type="http://schemas.openxmlformats.org/officeDocument/2006/relationships/hyperlink" Id="rId6"/>
    <Relationship TargetMode="External" Target="https://www.legis.iowa.gov/docs/ico/chapter/126.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5A.pdf" Type="http://schemas.openxmlformats.org/officeDocument/2006/relationships/hyperlink" Id="rId9"/>
    <Relationship TargetMode="External" Target="https://www.legis.iowa.gov/docs/ico/chapter/205.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ac/rule/657.36.4.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17A.13.pdf" Type="http://schemas.openxmlformats.org/officeDocument/2006/relationships/hyperlink" Id="rId15"/>
    <Relationship TargetMode="External" Target="https://www.legis.iowa.gov/docs/iac/rule/657.36.4.pdf" Type="http://schemas.openxmlformats.org/officeDocument/2006/relationships/hyperlink" Id="rId16"/>
    <Relationship TargetMode="External" Target="https://www.legis.iowa.gov/docs/iac/rule/657.35.17.pdf" Type="http://schemas.openxmlformats.org/officeDocument/2006/relationships/hyperlink" Id="rId17"/>
    <Relationship TargetMode="External" Target="https://www.legis.iowa.gov/docs/ico/chapter/272C.6.pdf" Type="http://schemas.openxmlformats.org/officeDocument/2006/relationships/hyperlink" Id="rId18"/>
    <Relationship TargetMode="External" Target="https://www.legis.iowa.gov/docs/iac/rule/657.36.3.pdf" Type="http://schemas.openxmlformats.org/officeDocument/2006/relationships/hyperlink" Id="rId19"/>
    <Relationship TargetMode="External" Target="https://www.legis.iowa.gov/docs/iac/rule/657.36.7.pdf" Type="http://schemas.openxmlformats.org/officeDocument/2006/relationships/hyperlink" Id="rId20"/>
    <Relationship TargetMode="External" Target="https://www.legis.iowa.gov/docs/ico/chapter/124.pdf" Type="http://schemas.openxmlformats.org/officeDocument/2006/relationships/hyperlink" Id="rId21"/>
    <Relationship TargetMode="External" Target="https://www.legis.iowa.gov/docs/ico/chapter/126.pdf" Type="http://schemas.openxmlformats.org/officeDocument/2006/relationships/hyperlink" Id="rId22"/>
    <Relationship TargetMode="External" Target="https://www.legis.iowa.gov/docs/ico/chapter/155A.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147.55.pdf" Type="http://schemas.openxmlformats.org/officeDocument/2006/relationships/hyperlink" Id="rId26"/>
    <Relationship TargetMode="External" Target="https://www.legis.iowa.gov/docs/ico/chapter/155A.pdf" Type="http://schemas.openxmlformats.org/officeDocument/2006/relationships/hyperlink" Id="rId27"/>
    <Relationship TargetMode="External" Target="https://www.legis.iowa.gov/docs/iac/rule/657.3.3.pdf" Type="http://schemas.openxmlformats.org/officeDocument/2006/relationships/hyperlink" Id="rId28"/>
    <Relationship TargetMode="External" Target="https://www.legis.iowa.gov/docs/ico/chapter/252J.pdf" Type="http://schemas.openxmlformats.org/officeDocument/2006/relationships/hyperlink" Id="rId29"/>
    <Relationship TargetMode="External" Target="https://www.legis.iowa.gov/docs/iac/rule/657.3.3.pdf" Type="http://schemas.openxmlformats.org/officeDocument/2006/relationships/hyperlink" Id="rId30"/>
    <Relationship TargetMode="External" Target="https://www.legis.iowa.gov/docs/ico/chapter/272D.pdf" Type="http://schemas.openxmlformats.org/officeDocument/2006/relationships/hyperlink" Id="rId31"/>
    <Relationship TargetMode="External" Target="https://www.legis.iowa.gov/docs/iac/rule/657.35.36.pdf" Type="http://schemas.openxmlformats.org/officeDocument/2006/relationships/hyperlink" Id="rId32"/>
    <Relationship TargetMode="External" Target="https://www.legis.iowa.gov/docs/iac/chapter/657.35.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co/chapter/272C.6.pdf" Type="http://schemas.openxmlformats.org/officeDocument/2006/relationships/hyperlink" Id="rId35"/>
    <Relationship TargetMode="External" Target="https://www.legis.iowa.gov/docs/ico/chapter/70A.9.pdf" Type="http://schemas.openxmlformats.org/officeDocument/2006/relationships/hyperlink" Id="rId36"/>
    <Relationship TargetMode="External" Target="https://www.legis.iowa.gov/docs/ico/chapter/622.69.pdf" Type="http://schemas.openxmlformats.org/officeDocument/2006/relationships/hyperlink" Id="rId37"/>
    <Relationship TargetMode="External" Target="https://www.legis.iowa.gov/docs/ico/chapter/622.72.pdf" Type="http://schemas.openxmlformats.org/officeDocument/2006/relationships/hyperlink" Id="rId38"/>
    <Relationship TargetMode="External" Target="https://www.legis.iowa.gov/docs/ico/chapter/8.2.pdf" Type="http://schemas.openxmlformats.org/officeDocument/2006/relationships/hyperlink" Id="rId39"/>
    <Relationship TargetMode="External" Target="https://www.legis.iowa.gov/docs/ico/chapter/17A.10-23.pdf" Type="http://schemas.openxmlformats.org/officeDocument/2006/relationships/hyperlink" Id="rId40"/>
    <Relationship TargetMode="External" Target="https://www.legis.iowa.gov/docs/ico/chapter/124.304.pdf" Type="http://schemas.openxmlformats.org/officeDocument/2006/relationships/hyperlink" Id="rId41"/>
    <Relationship TargetMode="External" Target="https://www.legis.iowa.gov/docs/ico/chapter/124B.12.pdf" Type="http://schemas.openxmlformats.org/officeDocument/2006/relationships/hyperlink" Id="rId42"/>
    <Relationship TargetMode="External" Target="https://www.legis.iowa.gov/docs/ico/chapter/126.17.pdf" Type="http://schemas.openxmlformats.org/officeDocument/2006/relationships/hyperlink" Id="rId43"/>
    <Relationship TargetMode="External" Target="https://www.legis.iowa.gov/docs/ico/chapter/147.55.pdf" Type="http://schemas.openxmlformats.org/officeDocument/2006/relationships/hyperlink" Id="rId44"/>
    <Relationship TargetMode="External" Target="https://www.legis.iowa.gov/docs/ico/chapter/155A.6-6B.pdf" Type="http://schemas.openxmlformats.org/officeDocument/2006/relationships/hyperlink" Id="rId45"/>
    <Relationship TargetMode="External" Target="https://www.legis.iowa.gov/docs/ico/chapter/155A.12.pdf" Type="http://schemas.openxmlformats.org/officeDocument/2006/relationships/hyperlink" Id="rId46"/>
    <Relationship TargetMode="External" Target="https://www.legis.iowa.gov/docs/ico/chapter/155A.13-13C.pdf" Type="http://schemas.openxmlformats.org/officeDocument/2006/relationships/hyperlink" Id="rId47"/>
    <Relationship TargetMode="External" Target="https://www.legis.iowa.gov/docs/ico/chapter/155A.15-18.pdf" Type="http://schemas.openxmlformats.org/officeDocument/2006/relationships/hyperlink" Id="rId48"/>
    <Relationship TargetMode="External" Target="https://www.legis.iowa.gov/docs/ico/chapter/155A.26.pdf" Type="http://schemas.openxmlformats.org/officeDocument/2006/relationships/hyperlink" Id="rId49"/>
    <Relationship TargetMode="External" Target="https://www.legis.iowa.gov/docs/ico/chapter/205.11.pdf" Type="http://schemas.openxmlformats.org/officeDocument/2006/relationships/hyperlink" Id="rId50"/>
    <Relationship TargetMode="External" Target="https://www.legis.iowa.gov/docs/ico/chapter/272C.3-6.pdf" Type="http://schemas.openxmlformats.org/officeDocument/2006/relationships/hyperlink" Id="rId51"/>
    <Relationship TargetMode="External" Target="https://www.legis.iowa.gov/docs/ico/chapter/272C.9.pdf" Type="http://schemas.openxmlformats.org/officeDocument/2006/relationships/hyperlink" Id="rId52"/>
    <Relationship TargetMode="External" Target="https://www.legis.iowa.gov/docs/ico/chapter/272C.10.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