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5/19/99, see 657—Ch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657—35.1</w:t>
      </w:r>
      <w:r>
        <w:rPr>
          <w:rFonts w:ascii="Times New Roman" w:hAnsi="Times New Roman"/>
          <w:b/>
          <w:i w:val="false"/>
          <w:color w:val="000000"/>
          <w:sz w:val="22"/>
        </w:rPr>
        <w:t xml:space="preserve">(17A,124,124B,126,147,155A,205,272C)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including but not limited to licensee disciplinary proceedings, license denial proceedings, and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 regardless of whether the license, registration, or permit is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or entity possessing a license, registration, or permit issued by the board, regardless of whether the license, registration, or permit is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of Iowa, as represented by the office of the attorney general, and respondent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means a reasonable ground for belief in the existence of facts warranting the specified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 xml:space="preserve">Time shall be computed as provided in Iowa Code 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color w:val="000000"/>
          <w:sz w:val="22"/>
        </w:rPr>
        <w:t xml:space="preserve">Changing time to take action.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657—35.4</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of Iowa Rules of Civil Procedure. </w:t>
      </w:r>
      <w:r>
        <w:rPr>
          <w:rFonts w:ascii="Times New Roman" w:hAnsi="Times New Roman"/>
          <w:b w:val="false"/>
          <w:i w:val="false"/>
          <w:color w:val="000000"/>
          <w:sz w:val="22"/>
        </w:rPr>
        <w:t xml:space="preserve">Except as expressly provided in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the Iowa Rules of Civil Procedure do not apply to contested case proceedings. However, upon application by a party, the board may permit the use of procedures provided for in the Iowa Rules of Civil Procedure unless doing so would unreasonably complicate the proceedings or impose an undue hardship on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657—35.5</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Combined statement of charges and settlement agreement. </w:t>
      </w:r>
      <w:r>
        <w:rPr>
          <w:rFonts w:ascii="Times New Roman" w:hAnsi="Times New Roman"/>
          <w:b w:val="false"/>
          <w:i w:val="false"/>
          <w:color w:val="000000"/>
          <w:sz w:val="22"/>
        </w:rPr>
        <w:t>Upon a determination by the board that probable cause exists to take public disciplinary action, the board and the licensee may enter into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No licensee is entitled to be offered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Entering into a combined statement of charges and settlement agreement is completely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The combined statement of charges and settlement agreement shall include a brief statement of the charges, the circumstances that led to the charges, and the terms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A combined statement of charges and settlement agreement shall constitute the commencement and resolution of a contested case proceeding. By entering into a combined statement of charges and settlement agreement, the licensee waives the right to a contested case hearing on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35.5(5)</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combined statement of charges and settlement agreement is a permanent public record open for inspection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657—35.6</w:t>
      </w:r>
      <w:r>
        <w:rPr>
          <w:rFonts w:ascii="Times New Roman" w:hAnsi="Times New Roman"/>
          <w:b/>
          <w:i w:val="false"/>
          <w:color w:val="000000"/>
          <w:sz w:val="22"/>
        </w:rPr>
        <w:t xml:space="preserve">(17A,124B,126,147,155A,205,272C)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restricted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shall be prepared outlining the measures taken to attempt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hearing shall be published once each week for three consecutive weeks in a newspaper of general circulation, published or circulated in the county of last-known residence of the respondent. The first notice of hearing shall be published at least 30 days prior to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representing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657—35.10</w:t>
        </w:r>
      </w:hyperlink>
      <w:r>
        <w:rPr>
          <w:rFonts w:ascii="Times New Roman" w:hAnsi="Times New Roman"/>
          <w:b w:val="false"/>
          <w:i w:val="false"/>
          <w:color w:val="000000"/>
          <w:sz w:val="22"/>
        </w:rPr>
        <w:t>(17A,272C),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Notification of the time period in which the respondent may file an answer;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Notification of the respondent’s right to request a closed hearing,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 notice of hearing is a permanent public record open for inspection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657—35.7</w:t>
      </w:r>
      <w:r>
        <w:rPr>
          <w:rFonts w:ascii="Times New Roman" w:hAnsi="Times New Roman"/>
          <w:b/>
          <w:i w:val="false"/>
          <w:color w:val="000000"/>
          <w:sz w:val="22"/>
        </w:rPr>
        <w:t xml:space="preserve">(17A,272C) </w:t>
      </w:r>
      <w:r>
        <w:rPr>
          <w:rFonts w:ascii="Times New Roman" w:hAnsi="Times New Roman"/>
          <w:b/>
          <w:i w:val="false"/>
          <w:color w:val="000000"/>
          <w:sz w:val="22"/>
        </w:rPr>
        <w:t xml:space="preserve">Statement of charges. </w:t>
      </w:r>
      <w:r>
        <w:rPr>
          <w:rFonts w:ascii="Times New Roman" w:hAnsi="Times New Roman"/>
          <w:b w:val="false"/>
          <w:i w:val="false"/>
          <w:color w:val="000000"/>
          <w:sz w:val="22"/>
        </w:rPr>
        <w:t xml:space="preserve">In the event the board finds there is probable cause for taking public disciplinary action against a licensee, the board shall file a statement of charges. The statement of charges shall be incorporated within the notice of hearing. The statement of charges shall set forth the acts or omissions with which the respondent is charged, including the statute(s) and rule(s) which are alleged to have been violated, and shall be in sufficient detail to enable the preparation of the respondent’s defense. Every statement of charges prepared by the board shall be reviewed by the office of the attorney general before it is filed. A statement of charges is a permanent public record open for inspection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657—35.8</w:t>
      </w:r>
      <w:r>
        <w:rPr>
          <w:rFonts w:ascii="Times New Roman" w:hAnsi="Times New Roman"/>
          <w:b/>
          <w:i w:val="false"/>
          <w:color w:val="000000"/>
          <w:sz w:val="22"/>
        </w:rPr>
        <w:t xml:space="preserve">(13,272C)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issuance of a notice of hearing, the office of the attorney general shall be responsible for the legal representation of the public interest in the contested case. The assistant attorney general assigned to prosecute a contested case before the board shall not represent the board in that case but shall represent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657—35.9</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The presiding officer in a disciplinary contested case shall be the board. When acting as presiding officer, the board may request that an administrative law judge perform certain functions as an aid to the board, such as ruling on prehearing motions, conducting the prehearing conference, ruling on evidentiary objections at hearing, assisting in deliberations, and drafting the written decision for review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for nondisciplinary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35.10(1)</w:t>
      </w:r>
      <w:r>
        <w:rPr>
          <w:rFonts w:ascii="Times New Roman" w:hAnsi="Times New Roman"/>
          <w:b w:val="false"/>
          <w:i w:val="false"/>
          <w:color w:val="000000"/>
          <w:sz w:val="22"/>
        </w:rPr>
        <w:t> </w:t>
      </w:r>
      <w:r>
        <w:rPr>
          <w:rFonts w:ascii="Times New Roman" w:hAnsi="Times New Roman"/>
          <w:b w:val="false"/>
          <w:i/>
          <w:color w:val="000000"/>
          <w:sz w:val="22"/>
        </w:rPr>
        <w:t xml:space="preserve">Request for administrative law judge.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and appeals must file a request within 20 days after service of a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35.10(2)</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35.10(3)</w:t>
      </w:r>
      <w:r>
        <w:rPr>
          <w:rFonts w:ascii="Times New Roman" w:hAnsi="Times New Roman"/>
          <w:b w:val="false"/>
          <w:i w:val="false"/>
          <w:color w:val="000000"/>
          <w:sz w:val="22"/>
        </w:rPr>
        <w:t> </w:t>
      </w:r>
      <w:r>
        <w:rPr>
          <w:rFonts w:ascii="Times New Roman" w:hAnsi="Times New Roman"/>
          <w:b w:val="false"/>
          <w:i/>
          <w:color w:val="000000"/>
          <w:sz w:val="22"/>
        </w:rPr>
        <w:t xml:space="preserve">Written ruling.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contingent upon the availability of an administrative law judge, the parties shall be notified at least 10 days prior to hearing if an administrative law judge will not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657—35.11</w:t>
      </w:r>
      <w:r>
        <w:rPr>
          <w:rFonts w:ascii="Times New Roman" w:hAnsi="Times New Roman"/>
          <w:b/>
          <w:i w:val="false"/>
          <w:color w:val="000000"/>
          <w:sz w:val="22"/>
        </w:rPr>
        <w:t xml:space="preserve">(17A,124B,147,155A,272C)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657—35.12</w:t>
      </w:r>
      <w:r>
        <w:rPr>
          <w:rFonts w:ascii="Times New Roman" w:hAnsi="Times New Roman"/>
          <w:b/>
          <w:i w:val="false"/>
          <w:color w:val="000000"/>
          <w:sz w:val="22"/>
        </w:rPr>
        <w:t xml:space="preserve">(17A,272C) </w:t>
      </w:r>
      <w:r>
        <w:rPr>
          <w:rFonts w:ascii="Times New Roman" w:hAnsi="Times New Roman"/>
          <w:b/>
          <w:i w:val="false"/>
          <w:color w:val="000000"/>
          <w:sz w:val="22"/>
        </w:rPr>
        <w:t xml:space="preserve">Telephone or electronic proceedings. </w:t>
      </w:r>
      <w:r>
        <w:rPr>
          <w:rFonts w:ascii="Times New Roman" w:hAnsi="Times New Roman"/>
          <w:b w:val="false"/>
          <w:i w:val="false"/>
          <w:color w:val="000000"/>
          <w:sz w:val="22"/>
        </w:rPr>
        <w:t xml:space="preserve">The presiding officer may resolve prehearing matters by telephone conference in which all parties have an opportunity to participate. Contested case hearings will generally not be held by telephone or electronic means in the absence of consent by all parties under compelling circumstances. Nothing shall prohibit a witness from testifying by telephone or electronic means pursuant to </w:t>
      </w:r>
      <w:hyperlink r:id="rId13">
        <w:r>
          <w:rPr>
            <w:rStyle w:val="Hyperlink"/>
            <w:rFonts w:ascii="Times New Roman" w:hAnsi="Times New Roman"/>
            <w:b w:val="false"/>
            <w:i w:val="false"/>
            <w:color w:val="000000"/>
            <w:sz w:val="22"/>
          </w:rPr>
          <w:t>subrule 35.26(3)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657—35.13</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35.13(1)</w:t>
      </w:r>
      <w:r>
        <w:rPr>
          <w:rFonts w:ascii="Times New Roman" w:hAnsi="Times New Roman"/>
          <w:b w:val="false"/>
          <w:i w:val="false"/>
          <w:color w:val="000000"/>
          <w:sz w:val="22"/>
        </w:rPr>
        <w:t> </w:t>
      </w:r>
      <w:r>
        <w:rPr>
          <w:rFonts w:ascii="Times New Roman" w:hAnsi="Times New Roman"/>
          <w:b w:val="false"/>
          <w:i/>
          <w:color w:val="000000"/>
          <w:sz w:val="22"/>
        </w:rPr>
        <w:t xml:space="preserve">Reasons for withdrawal from participation.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 If the licensee elects to appear before the board in the investigation process, the licensee waives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35.13(2)</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defined.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657—35.28</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withdrawal is not necessary.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by affidavit for the record the relevant information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35.13(4)</w:t>
      </w:r>
      <w:r>
        <w:rPr>
          <w:rFonts w:ascii="Times New Roman" w:hAnsi="Times New Roman"/>
          <w:b w:val="false"/>
          <w:i w:val="false"/>
          <w:color w:val="000000"/>
          <w:sz w:val="22"/>
        </w:rPr>
        <w:t> </w:t>
      </w:r>
      <w:r>
        <w:rPr>
          <w:rFonts w:ascii="Times New Roman" w:hAnsi="Times New Roman"/>
          <w:b w:val="false"/>
          <w:i/>
          <w:color w:val="000000"/>
          <w:sz w:val="22"/>
        </w:rPr>
        <w:t xml:space="preserve">Motion for disqualification. </w:t>
      </w:r>
      <w:r>
        <w:rPr>
          <w:rFonts w:ascii="Times New Roman" w:hAnsi="Times New Roman"/>
          <w:b w:val="false"/>
          <w:i w:val="false"/>
          <w:color w:val="000000"/>
          <w:sz w:val="22"/>
        </w:rPr>
        <w:t xml:space="preserve">If a party asserts disqualification on any appropriate ground, including those listed in </w:t>
      </w:r>
      <w:hyperlink r:id="rId16">
        <w:r>
          <w:rPr>
            <w:rStyle w:val="Hyperlink"/>
            <w:rFonts w:ascii="Times New Roman" w:hAnsi="Times New Roman"/>
            <w:b w:val="false"/>
            <w:i w:val="false"/>
            <w:color w:val="000000"/>
            <w:sz w:val="22"/>
          </w:rPr>
          <w:t>subrule 35.13(1)</w:t>
        </w:r>
      </w:hyperlink>
      <w:r>
        <w:rPr>
          <w:rFonts w:ascii="Times New Roman" w:hAnsi="Times New Roman"/>
          <w:b w:val="false"/>
          <w:i w:val="false"/>
          <w:color w:val="000000"/>
          <w:sz w:val="22"/>
        </w:rPr>
        <w:t xml:space="preserve">, the party shall file a motion supported by an affidavit pursuant to Iowa Code section </w:t>
      </w:r>
      <w:hyperlink r:id="rId17">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The motion shall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 The individual against whom disqualification is asserted shall make the initial determination as to whether disqualification is required. If the individual elects not to disqualify, the board shall make the final determination as to disqualification of that individual as part of the record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657—35.14</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Appearance. </w:t>
      </w:r>
      <w:r>
        <w:rPr>
          <w:rFonts w:ascii="Times New Roman" w:hAnsi="Times New Roman"/>
          <w:b w:val="false"/>
          <w:i w:val="false"/>
          <w:color w:val="000000"/>
          <w:sz w:val="22"/>
        </w:rPr>
        <w:t xml:space="preserve">The respondent or applicant may be represented by an attorney. The attorney must file an appearance in the contested case. If the attorney is not licensed to practice law in Iowa, the attorney must fully comply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If the respondent or applicant is an entity, the entity may designate a representative to appear on behalf of the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657—35.16</w:t>
      </w:r>
      <w:r>
        <w:rPr>
          <w:rFonts w:ascii="Times New Roman" w:hAnsi="Times New Roman"/>
          <w:b/>
          <w:i w:val="false"/>
          <w:color w:val="000000"/>
          <w:sz w:val="22"/>
        </w:rPr>
        <w:t xml:space="preserve">(17A,272C) </w:t>
      </w:r>
      <w:r>
        <w:rPr>
          <w:rFonts w:ascii="Times New Roman" w:hAnsi="Times New Roman"/>
          <w:b/>
          <w:i w:val="false"/>
          <w:color w:val="000000"/>
          <w:sz w:val="22"/>
        </w:rPr>
        <w:t xml:space="preserve">Answer. </w:t>
      </w:r>
      <w:r>
        <w:rPr>
          <w:rFonts w:ascii="Times New Roman" w:hAnsi="Times New Roman"/>
          <w:b w:val="false"/>
          <w:i w:val="false"/>
          <w:color w:val="000000"/>
          <w:sz w:val="22"/>
        </w:rPr>
        <w:t>An answer may be filed within 20 days of service of the notice of hearing and statement of charges. An answer shall specifically admit, deny, or otherwise answer all material allegations of the statement of charges to which it responds. It shall state any facts supporting any affirmative defenses and contain as many additional defenses as the respondent may claim. An answer shall state the name, address and telephone number of the person filing the answer. Any allegation in the statement of charges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657—35.17</w:t>
      </w:r>
      <w:r>
        <w:rPr>
          <w:rFonts w:ascii="Times New Roman" w:hAnsi="Times New Roman"/>
          <w:b/>
          <w:i w:val="false"/>
          <w:color w:val="000000"/>
          <w:sz w:val="22"/>
        </w:rPr>
        <w:t xml:space="preserve">(17A,272C) </w:t>
      </w:r>
      <w:r>
        <w:rPr>
          <w:rFonts w:ascii="Times New Roman" w:hAnsi="Times New Roman"/>
          <w:b/>
          <w:i w:val="false"/>
          <w:color w:val="000000"/>
          <w:sz w:val="22"/>
        </w:rPr>
        <w:t xml:space="preserve">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35.17(1)</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35.17(2)</w:t>
      </w:r>
      <w:r>
        <w:rPr>
          <w:rFonts w:ascii="Times New Roman" w:hAnsi="Times New Roman"/>
          <w:b w:val="false"/>
          <w:i w:val="false"/>
          <w:color w:val="000000"/>
          <w:sz w:val="22"/>
        </w:rPr>
        <w:t> </w:t>
      </w:r>
      <w:r>
        <w:rPr>
          <w:rFonts w:ascii="Times New Roman" w:hAnsi="Times New Roman"/>
          <w:b w:val="false"/>
          <w:i/>
          <w:color w:val="000000"/>
          <w:sz w:val="22"/>
        </w:rPr>
        <w:t xml:space="preserve">Filing—how made. </w:t>
      </w:r>
      <w:r>
        <w:rPr>
          <w:rFonts w:ascii="Times New Roman" w:hAnsi="Times New Roman"/>
          <w:b w:val="false"/>
          <w:i w:val="false"/>
          <w:color w:val="000000"/>
          <w:sz w:val="22"/>
        </w:rPr>
        <w:t>Filing may be made by delivering or mailing the document to the board office located at 400 S.W. Eighth Street, Suite E, Des Moines, Iowa 50309-4688. Filing may also be made by emailing the document to the email addresses identified in the notice of hearing as the appropriate email address for filing. A party electing to file a document via email is responsible for ensuring the document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35.17(3)</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A document is deemed filed at the time it is delivered to the board, delivered to an established courier service for immediate delivery to the board office, mailed by first-class mail or state interoffice mail to the board office, so long as there is proof of mailing, or emailed.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35.17(4)</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simultaneously served upon each of the parties of record to the proceeding, including the assistant attorney general representing the state. Except for an application for rehearing as provided in Iowa Code section </w:t>
      </w:r>
      <w:hyperlink r:id="rId1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35.17(5)</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Service may be made upon a party or attorney by email if the person consents in writing in that case to be served in that manner. The written consent shall specify the email address for such service. The written consent may be withdrawn by written notice served on the parties or attorneys.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35.17(7)</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mailing/emailing. </w:t>
      </w:r>
      <w:r>
        <w:rPr>
          <w:rFonts w:ascii="Times New Roman" w:hAnsi="Times New Roman"/>
          <w:b w:val="false"/>
          <w:i w:val="false"/>
          <w:color w:val="000000"/>
          <w:sz w:val="22"/>
        </w:rPr>
        <w:t>Proof of mailing/emailing includes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I certify under penalty of perjury and pursuant to the laws of Iowa that, on (date of mailing), I mailed copies of (describe document) addressed to the Iowa Board of Pharmacy, 400 S.W. Eighth Street, Suite E, Des Moines, Iowa 50309-4688, and to the names and addresses of the parties listed below by depositing the same in the United States mail, state interoffice mail, or email when permitted by 657 IAC </w:t>
            </w:r>
            <w:hyperlink r:id="rId19">
              <w:r>
                <w:rPr>
                  <w:rStyle w:val="Hyperlink"/>
                  <w:rFonts w:ascii="Times New Roman" w:hAnsi="Times New Roman"/>
                  <w:b w:val="false"/>
                  <w:i w:val="false"/>
                  <w:color w:val="000000"/>
                  <w:sz w:val="21"/>
                </w:rPr>
                <w:t>35.17(6)</w:t>
              </w:r>
            </w:hyperlink>
            <w:r>
              <w:rPr>
                <w:rFonts w:ascii="Times New Roman" w:hAnsi="Times New Roman"/>
                <w:b w:val="false"/>
                <w:i w:val="false"/>
                <w:color w:val="000000"/>
                <w:sz w:val="21"/>
              </w:rPr>
              <w:t>.</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657—35.18</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Investigative file. </w:t>
      </w:r>
      <w:r>
        <w:rPr>
          <w:rFonts w:ascii="Times New Roman" w:hAnsi="Times New Roman"/>
          <w:b w:val="false"/>
          <w:i w:val="false"/>
          <w:color w:val="000000"/>
          <w:sz w:val="22"/>
        </w:rPr>
        <w:t xml:space="preserve">The board’s investigative file is available to the respondent or applicant upon request only after the commencement of a contested case and only prior to the resolution of the contested case. A licensee that elects to enter into a combined statement of charges and settlement agreement is not entitled to request the investigative file. In accordance with Iowa Code section </w:t>
      </w:r>
      <w:hyperlink r:id="rId2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information contained within an investigative file is confidential and may only be used in connection with the disciplinary proceedings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 scope of discovery described in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 xml:space="preserve"> shall apply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35.19(2)</w:t>
      </w:r>
      <w:r>
        <w:rPr>
          <w:rFonts w:ascii="Times New Roman" w:hAnsi="Times New Roman"/>
          <w:b w:val="false"/>
          <w:i w:val="false"/>
          <w:color w:val="000000"/>
          <w:sz w:val="22"/>
        </w:rPr>
        <w:t> </w:t>
      </w:r>
      <w:r>
        <w:rPr>
          <w:rFonts w:ascii="Times New Roman" w:hAnsi="Times New Roman"/>
          <w:b w:val="false"/>
          <w:i/>
          <w:color w:val="000000"/>
          <w:sz w:val="22"/>
        </w:rPr>
        <w:t xml:space="preserve">Procedures available. </w:t>
      </w:r>
      <w:r>
        <w:rPr>
          <w:rFonts w:ascii="Times New Roman" w:hAnsi="Times New Roman"/>
          <w:b w:val="false"/>
          <w:i w:val="false"/>
          <w:color w:val="000000"/>
          <w:sz w:val="22"/>
        </w:rPr>
        <w:t>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Unless lengthened or shortened by the presiding officer, the time frames for discovery in the specific Iowa Rules of Civil Procedure govern those specific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1.701 through 1.717 regarding depositions shall apply to any depositions taken in a contested case proceeding. Any party taking a deposition in a contested case shall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w:t>
      </w:r>
      <w:r>
        <w:rPr>
          <w:rFonts w:ascii="Times New Roman" w:hAnsi="Times New Roman"/>
          <w:b w:val="false"/>
          <w:i w:val="false"/>
          <w:color w:val="000000"/>
          <w:sz w:val="22"/>
        </w:rPr>
        <w:t>Rule of Civil Procedure 1.509</w:t>
      </w:r>
      <w:r>
        <w:rPr>
          <w:rFonts w:ascii="Times New Roman" w:hAnsi="Times New Roman"/>
          <w:b w:val="false"/>
          <w:i w:val="false"/>
          <w:color w:val="000000"/>
          <w:sz w:val="22"/>
        </w:rPr>
        <w:t xml:space="preserve"> shall apply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w:t>
      </w:r>
      <w:r>
        <w:rPr>
          <w:rFonts w:ascii="Times New Roman" w:hAnsi="Times New Roman"/>
          <w:b w:val="false"/>
          <w:i w:val="false"/>
          <w:color w:val="000000"/>
          <w:sz w:val="22"/>
        </w:rPr>
        <w:t>Rule of Civil Procedure 1.512</w:t>
      </w:r>
      <w:r>
        <w:rPr>
          <w:rFonts w:ascii="Times New Roman" w:hAnsi="Times New Roman"/>
          <w:b w:val="false"/>
          <w:i w:val="false"/>
          <w:color w:val="000000"/>
          <w:sz w:val="22"/>
        </w:rPr>
        <w:t xml:space="preserve"> shall apply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w:t>
      </w:r>
      <w:r>
        <w:rPr>
          <w:rFonts w:ascii="Times New Roman" w:hAnsi="Times New Roman"/>
          <w:b w:val="false"/>
          <w:i w:val="false"/>
          <w:color w:val="000000"/>
          <w:sz w:val="22"/>
        </w:rPr>
        <w:t>Rule of Civil Procedure 1.510</w:t>
      </w:r>
      <w:r>
        <w:rPr>
          <w:rFonts w:ascii="Times New Roman" w:hAnsi="Times New Roman"/>
          <w:b w:val="false"/>
          <w:i w:val="false"/>
          <w:color w:val="000000"/>
          <w:sz w:val="22"/>
        </w:rPr>
        <w:t xml:space="preserve"> shall apply to any requests for admission in a contested case proceeding. Iowa </w:t>
      </w:r>
      <w:r>
        <w:rPr>
          <w:rFonts w:ascii="Times New Roman" w:hAnsi="Times New Roman"/>
          <w:b w:val="false"/>
          <w:i w:val="false"/>
          <w:color w:val="000000"/>
          <w:sz w:val="22"/>
        </w:rPr>
        <w:t>Rule of Civil Procedure 1.511</w:t>
      </w:r>
      <w:r>
        <w:rPr>
          <w:rFonts w:ascii="Times New Roman" w:hAnsi="Times New Roman"/>
          <w:b w:val="false"/>
          <w:i w:val="false"/>
          <w:color w:val="000000"/>
          <w:sz w:val="22"/>
        </w:rPr>
        <w:t xml:space="preserve"> regarding the effect of an admission shall apply in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35.19(3)</w:t>
      </w:r>
      <w:r>
        <w:rPr>
          <w:rFonts w:ascii="Times New Roman" w:hAnsi="Times New Roman"/>
          <w:b w:val="false"/>
          <w:i w:val="false"/>
          <w:color w:val="000000"/>
          <w:sz w:val="22"/>
        </w:rPr>
        <w:t> </w:t>
      </w:r>
      <w:r>
        <w:rPr>
          <w:rFonts w:ascii="Times New Roman" w:hAnsi="Times New Roman"/>
          <w:b w:val="false"/>
          <w:i/>
          <w:color w:val="000000"/>
          <w:sz w:val="22"/>
        </w:rPr>
        <w:t xml:space="preserve">Disclosure and discovery conference. </w:t>
      </w:r>
      <w:r>
        <w:rPr>
          <w:rFonts w:ascii="Times New Roman" w:hAnsi="Times New Roman"/>
          <w:b w:val="false"/>
          <w:i w:val="false"/>
          <w:color w:val="000000"/>
          <w:sz w:val="22"/>
        </w:rPr>
        <w:t>The mandatory disclosure and discovery conference requirements in Iowa Rules of Civil Procedure 1.500 and 1.507 do not apply to contested case proceedings. However, upon application by a party, the board may order the parties to comply with these procedures unless doing so would unreasonably complicate the proceedings or impose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35.19(4)</w:t>
      </w:r>
      <w:r>
        <w:rPr>
          <w:rFonts w:ascii="Times New Roman" w:hAnsi="Times New Roman"/>
          <w:b w:val="false"/>
          <w:i w:val="false"/>
          <w:color w:val="000000"/>
          <w:sz w:val="22"/>
        </w:rPr>
        <w:t> </w:t>
      </w:r>
      <w:r>
        <w:rPr>
          <w:rFonts w:ascii="Times New Roman" w:hAnsi="Times New Roman"/>
          <w:b w:val="false"/>
          <w:i/>
          <w:color w:val="000000"/>
          <w:sz w:val="22"/>
        </w:rPr>
        <w:t xml:space="preserve">Experts. </w:t>
      </w:r>
      <w:r>
        <w:rPr>
          <w:rFonts w:ascii="Times New Roman" w:hAnsi="Times New Roman"/>
          <w:b w:val="false"/>
          <w:i w:val="false"/>
          <w:color w:val="000000"/>
          <w:sz w:val="22"/>
        </w:rPr>
        <w:t xml:space="preserve">Iowa </w:t>
      </w:r>
      <w:r>
        <w:rPr>
          <w:rFonts w:ascii="Times New Roman" w:hAnsi="Times New Roman"/>
          <w:b w:val="false"/>
          <w:i w:val="false"/>
          <w:color w:val="000000"/>
          <w:sz w:val="22"/>
        </w:rPr>
        <w:t>Rule of Civil Procedure 1.508</w:t>
      </w:r>
      <w:r>
        <w:rPr>
          <w:rFonts w:ascii="Times New Roman" w:hAnsi="Times New Roman"/>
          <w:b w:val="false"/>
          <w:i w:val="false"/>
          <w:color w:val="000000"/>
          <w:sz w:val="22"/>
        </w:rPr>
        <w:t xml:space="preserve"> shall apply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35.19(5)</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Discovery shall be served on all parties to the contested case proceeding but shall not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35.19(6)</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A party may file a motion to compel or other motion related to discovery in accordance with this subrule. Any motion filed with the board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35.19(7)</w:t>
      </w:r>
      <w:r>
        <w:rPr>
          <w:rFonts w:ascii="Times New Roman" w:hAnsi="Times New Roman"/>
          <w:b w:val="false"/>
          <w:i w:val="false"/>
          <w:color w:val="000000"/>
          <w:sz w:val="22"/>
        </w:rPr>
        <w:t> </w:t>
      </w:r>
      <w:r>
        <w:rPr>
          <w:rFonts w:ascii="Times New Roman" w:hAnsi="Times New Roman"/>
          <w:b w:val="false"/>
          <w:i/>
          <w:color w:val="000000"/>
          <w:sz w:val="22"/>
        </w:rPr>
        <w:t xml:space="preserve">Use of 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657—35.20</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35.20(1)</w:t>
      </w:r>
      <w:r>
        <w:rPr>
          <w:rFonts w:ascii="Times New Roman" w:hAnsi="Times New Roman"/>
          <w:b w:val="false"/>
          <w:i w:val="false"/>
          <w:color w:val="000000"/>
          <w:sz w:val="22"/>
        </w:rPr>
        <w:t> </w:t>
      </w:r>
      <w:r>
        <w:rPr>
          <w:rFonts w:ascii="Times New Roman" w:hAnsi="Times New Roman"/>
          <w:b w:val="false"/>
          <w:i/>
          <w:color w:val="000000"/>
          <w:sz w:val="22"/>
        </w:rPr>
        <w:t xml:space="preserve">Types of subpoenas. </w:t>
      </w:r>
      <w:r>
        <w:rPr>
          <w:rFonts w:ascii="Times New Roman" w:hAnsi="Times New Roman"/>
          <w:b w:val="false"/>
          <w:i w:val="false"/>
          <w:color w:val="000000"/>
          <w:sz w:val="22"/>
        </w:rPr>
        <w:t xml:space="preserve">Subpoenas issued in a contested case may compel the attendance of witnesses at depositions or hearing and may compel the production of books, papers, records, and other real evidence. A command to produce evidence or to permit inspection may be joined with a command to appear at deposition or hearing or may be issued separately. Subpoenas shall be issued by the executive director or designee upon a written request that complies with the requirements of this rule. A request for a subpoena of mental health records must confirm that the conditions described in </w:t>
      </w:r>
      <w:hyperlink r:id="rId21">
        <w:r>
          <w:rPr>
            <w:rStyle w:val="Hyperlink"/>
            <w:rFonts w:ascii="Times New Roman" w:hAnsi="Times New Roman"/>
            <w:b w:val="false"/>
            <w:i w:val="false"/>
            <w:color w:val="000000"/>
            <w:sz w:val="22"/>
          </w:rPr>
          <w:t>subrule 35.20(3)</w:t>
        </w:r>
      </w:hyperlink>
      <w:r>
        <w:rPr>
          <w:rFonts w:ascii="Times New Roman" w:hAnsi="Times New Roman"/>
          <w:b w:val="false"/>
          <w:i w:val="false"/>
          <w:color w:val="000000"/>
          <w:sz w:val="22"/>
        </w:rPr>
        <w:t xml:space="preserve"> have been satisfied prior to the issuance of the subpoena. The executive director or designee may refuse to issue a subpoena if the request does not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35.20(2)</w:t>
      </w:r>
      <w:r>
        <w:rPr>
          <w:rFonts w:ascii="Times New Roman" w:hAnsi="Times New Roman"/>
          <w:b w:val="false"/>
          <w:i w:val="false"/>
          <w:color w:val="000000"/>
          <w:sz w:val="22"/>
        </w:rPr>
        <w:t> </w:t>
      </w:r>
      <w:r>
        <w:rPr>
          <w:rFonts w:ascii="Times New Roman" w:hAnsi="Times New Roman"/>
          <w:b w:val="false"/>
          <w:i/>
          <w:color w:val="000000"/>
          <w:sz w:val="22"/>
        </w:rPr>
        <w:t xml:space="preserve"> Request for subpoena—contents.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22">
        <w:r>
          <w:rPr>
            <w:rStyle w:val="Hyperlink"/>
            <w:rFonts w:ascii="Times New Roman" w:hAnsi="Times New Roman"/>
            <w:b w:val="false"/>
            <w:i w:val="false"/>
            <w:color w:val="000000"/>
            <w:sz w:val="22"/>
          </w:rPr>
          <w:t>subrule 35.20(3)</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35.20(3)</w:t>
      </w:r>
      <w:r>
        <w:rPr>
          <w:rFonts w:ascii="Times New Roman" w:hAnsi="Times New Roman"/>
          <w:b w:val="false"/>
          <w:i w:val="false"/>
          <w:color w:val="000000"/>
          <w:sz w:val="22"/>
        </w:rPr>
        <w:t> </w:t>
      </w:r>
      <w:r>
        <w:rPr>
          <w:rFonts w:ascii="Times New Roman" w:hAnsi="Times New Roman"/>
          <w:b w:val="false"/>
          <w:i/>
          <w:color w:val="000000"/>
          <w:sz w:val="22"/>
        </w:rPr>
        <w:t xml:space="preserve">Request for subpoena—mental health records. </w:t>
      </w:r>
      <w:r>
        <w:rPr>
          <w:rFonts w:ascii="Times New Roman" w:hAnsi="Times New Roman"/>
          <w:b w:val="false"/>
          <w:i w:val="false"/>
          <w:color w:val="000000"/>
          <w:sz w:val="22"/>
        </w:rPr>
        <w:t>In the case of a request for a subpoena of mental health records, the request must confirm compliance with the following conditions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issues in the case reasonably justifies the issuance of the requested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the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35.20(4)</w:t>
      </w:r>
      <w:r>
        <w:rPr>
          <w:rFonts w:ascii="Times New Roman" w:hAnsi="Times New Roman"/>
          <w:b w:val="false"/>
          <w:i w:val="false"/>
          <w:color w:val="000000"/>
          <w:sz w:val="22"/>
        </w:rPr>
        <w:t> </w:t>
      </w:r>
      <w:r>
        <w:rPr>
          <w:rFonts w:ascii="Times New Roman" w:hAnsi="Times New Roman"/>
          <w:b w:val="false"/>
          <w:i/>
          <w:color w:val="000000"/>
          <w:sz w:val="22"/>
        </w:rPr>
        <w:t xml:space="preserve"> Content of subpoena.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subpoena. </w:t>
      </w:r>
      <w:r>
        <w:rPr>
          <w:rFonts w:ascii="Times New Roman" w:hAnsi="Times New Roman"/>
          <w:b w:val="false"/>
          <w:i w:val="false"/>
          <w:color w:val="000000"/>
          <w:sz w:val="22"/>
        </w:rPr>
        <w:t>Unless a subpoena is requested to compel testimony or documents for rebuttal or impeachment purposes, the executive director or designee shall mail copies of all subpoenas to the parties.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35.20(6)</w:t>
      </w:r>
      <w:r>
        <w:rPr>
          <w:rFonts w:ascii="Times New Roman" w:hAnsi="Times New Roman"/>
          <w:b w:val="false"/>
          <w:i w:val="false"/>
          <w:color w:val="000000"/>
          <w:sz w:val="22"/>
        </w:rPr>
        <w:t> </w:t>
      </w:r>
      <w:r>
        <w:rPr>
          <w:rFonts w:ascii="Times New Roman" w:hAnsi="Times New Roman"/>
          <w:b w:val="false"/>
          <w:i/>
          <w:color w:val="000000"/>
          <w:sz w:val="22"/>
        </w:rPr>
        <w:t xml:space="preserve">Timely motion.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shall,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35.20(7)</w:t>
      </w:r>
      <w:r>
        <w:rPr>
          <w:rFonts w:ascii="Times New Roman" w:hAnsi="Times New Roman"/>
          <w:b w:val="false"/>
          <w:i w:val="false"/>
          <w:color w:val="000000"/>
          <w:sz w:val="22"/>
        </w:rPr>
        <w:t> </w:t>
      </w:r>
      <w:r>
        <w:rPr>
          <w:rFonts w:ascii="Times New Roman" w:hAnsi="Times New Roman"/>
          <w:b w:val="false"/>
          <w:i/>
          <w:color w:val="000000"/>
          <w:sz w:val="22"/>
        </w:rPr>
        <w:t xml:space="preserve"> Consideration of motion.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35.20(8)</w:t>
      </w:r>
      <w:r>
        <w:rPr>
          <w:rFonts w:ascii="Times New Roman" w:hAnsi="Times New Roman"/>
          <w:b w:val="false"/>
          <w:i w:val="false"/>
          <w:color w:val="000000"/>
          <w:sz w:val="22"/>
        </w:rPr>
        <w:t> </w:t>
      </w:r>
      <w:r>
        <w:rPr>
          <w:rFonts w:ascii="Times New Roman" w:hAnsi="Times New Roman"/>
          <w:b w:val="false"/>
          <w:i/>
          <w:color w:val="000000"/>
          <w:sz w:val="22"/>
        </w:rPr>
        <w:t xml:space="preserve">Appeal of ruling on motion. </w:t>
      </w:r>
      <w:r>
        <w:rPr>
          <w:rFonts w:ascii="Times New Roman" w:hAnsi="Times New Roman"/>
          <w:b w:val="false"/>
          <w:i w:val="false"/>
          <w:color w:val="000000"/>
          <w:sz w:val="22"/>
        </w:rPr>
        <w:t xml:space="preserve">A person aggrieved by a ruling of an administrative law judge who desires to challenge the ruling shall appeal the ruling to the board by serving on the executive director in accordance with rule </w:t>
      </w:r>
      <w:hyperlink r:id="rId23">
        <w:r>
          <w:rPr>
            <w:rStyle w:val="Hyperlink"/>
            <w:rFonts w:ascii="Times New Roman" w:hAnsi="Times New Roman"/>
            <w:b w:val="false"/>
            <w:i w:val="false"/>
            <w:color w:val="000000"/>
            <w:sz w:val="22"/>
          </w:rPr>
          <w:t>657—35.17</w:t>
        </w:r>
      </w:hyperlink>
      <w:r>
        <w:rPr>
          <w:rFonts w:ascii="Times New Roman" w:hAnsi="Times New Roman"/>
          <w:b w:val="false"/>
          <w:i w:val="false"/>
          <w:color w:val="000000"/>
          <w:sz w:val="22"/>
        </w:rPr>
        <w:t xml:space="preserve">(17A,272C), a notice of appeal within ten days after service of the decision of the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35.20(9)</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If the person contesting the subpoena is not a party to the contested case proceeding, the board’s decision is final for purposes of judicial review. If the person contesting the subpoena is a party to the contested case proceeding,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35.20(10)</w:t>
      </w:r>
      <w:r>
        <w:rPr>
          <w:rFonts w:ascii="Times New Roman" w:hAnsi="Times New Roman"/>
          <w:b w:val="false"/>
          <w:i w:val="false"/>
          <w:color w:val="000000"/>
          <w:sz w:val="22"/>
        </w:rPr>
        <w:t> </w:t>
      </w:r>
      <w:r>
        <w:rPr>
          <w:rFonts w:ascii="Times New Roman" w:hAnsi="Times New Roman"/>
          <w:b w:val="false"/>
          <w:i/>
          <w:color w:val="000000"/>
          <w:sz w:val="22"/>
        </w:rPr>
        <w:t xml:space="preserve">Refusal to obey subpoena. </w:t>
      </w:r>
      <w:r>
        <w:rPr>
          <w:rFonts w:ascii="Times New Roman" w:hAnsi="Times New Roman"/>
          <w:b w:val="false"/>
          <w:i w:val="false"/>
          <w:color w:val="000000"/>
          <w:sz w:val="22"/>
        </w:rPr>
        <w:t>In the event of a refusal to obey a subpoena, the board may petition the district court for its enforcement. Upon proper showing, the district court shall order the person to obey the subpoena and, if the person fails to obey the order of the court, the person may be found guilty of contempt of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657—35.21</w:t>
      </w:r>
      <w:r>
        <w:rPr>
          <w:rFonts w:ascii="Times New Roman" w:hAnsi="Times New Roman"/>
          <w:b/>
          <w:i w:val="false"/>
          <w:color w:val="000000"/>
          <w:sz w:val="22"/>
        </w:rPr>
        <w:t xml:space="preserve">(17A,272C)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No technical form for motions is required.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35.21(2)</w:t>
      </w:r>
      <w:r>
        <w:rPr>
          <w:rFonts w:ascii="Times New Roman" w:hAnsi="Times New Roman"/>
          <w:b w:val="false"/>
          <w:i w:val="false"/>
          <w:color w:val="000000"/>
          <w:sz w:val="22"/>
        </w:rPr>
        <w:t> </w:t>
      </w:r>
      <w:r>
        <w:rPr>
          <w:rFonts w:ascii="Times New Roman" w:hAnsi="Times New Roman"/>
          <w:b w:val="false"/>
          <w:i/>
          <w:color w:val="000000"/>
          <w:sz w:val="22"/>
        </w:rPr>
        <w:t xml:space="preserve">Timely response.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35.21(4)</w:t>
      </w:r>
      <w:r>
        <w:rPr>
          <w:rFonts w:ascii="Times New Roman" w:hAnsi="Times New Roman"/>
          <w:b w:val="false"/>
          <w:i w:val="false"/>
          <w:color w:val="000000"/>
          <w:sz w:val="22"/>
        </w:rPr>
        <w:t> </w:t>
      </w:r>
      <w:r>
        <w:rPr>
          <w:rFonts w:ascii="Times New Roman" w:hAnsi="Times New Roman"/>
          <w:b w:val="false"/>
          <w:i/>
          <w:color w:val="000000"/>
          <w:sz w:val="22"/>
        </w:rPr>
        <w:t xml:space="preserve">Timely filing. </w:t>
      </w:r>
      <w:r>
        <w:rPr>
          <w:rFonts w:ascii="Times New Roman" w:hAnsi="Times New Roman"/>
          <w:b w:val="false"/>
          <w:i w:val="false"/>
          <w:color w:val="000000"/>
          <w:sz w:val="22"/>
        </w:rPr>
        <w:t>Motions pertaining to the hearing shall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35.21(5)</w:t>
      </w:r>
      <w:r>
        <w:rPr>
          <w:rFonts w:ascii="Times New Roman" w:hAnsi="Times New Roman"/>
          <w:b w:val="false"/>
          <w:i w:val="false"/>
          <w:color w:val="000000"/>
          <w:sz w:val="22"/>
        </w:rPr>
        <w:t> </w:t>
      </w:r>
      <w:r>
        <w:rPr>
          <w:rFonts w:ascii="Times New Roman" w:hAnsi="Times New Roman"/>
          <w:b w:val="false"/>
          <w:i/>
          <w:color w:val="000000"/>
          <w:sz w:val="22"/>
        </w:rPr>
        <w:t xml:space="preserve">Dispositive motions. </w:t>
      </w:r>
      <w:r>
        <w:rPr>
          <w:rFonts w:ascii="Times New Roman" w:hAnsi="Times New Roman"/>
          <w:b w:val="false"/>
          <w:i w:val="false"/>
          <w:color w:val="000000"/>
          <w:sz w:val="22"/>
        </w:rPr>
        <w:t>Dispositive motions, such as motions for summary judgment or motions to dismiss, must be filed with the board and served on all parties to the contested case proceeding at least 30 days prior to the scheduled hearing date, unless otherwise ordered or permitted by the presiding officer. Any party may file a written response to a dispositive motion within 10 days after the motion is served, unless the time for response is otherwise lengthened or shortened by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657—35.22</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35.22(1)</w:t>
      </w:r>
      <w:r>
        <w:rPr>
          <w:rFonts w:ascii="Times New Roman" w:hAnsi="Times New Roman"/>
          <w:b w:val="false"/>
          <w:i w:val="false"/>
          <w:color w:val="000000"/>
          <w:sz w:val="22"/>
        </w:rPr>
        <w:t> </w:t>
      </w:r>
      <w:r>
        <w:rPr>
          <w:rFonts w:ascii="Times New Roman" w:hAnsi="Times New Roman"/>
          <w:b w:val="false"/>
          <w:i/>
          <w:color w:val="000000"/>
          <w:sz w:val="22"/>
        </w:rPr>
        <w:t xml:space="preserve">Request or order for conference. </w:t>
      </w:r>
      <w:r>
        <w:rPr>
          <w:rFonts w:ascii="Times New Roman" w:hAnsi="Times New Roman"/>
          <w:b w:val="false"/>
          <w:i w:val="false"/>
          <w:color w:val="000000"/>
          <w:sz w:val="22"/>
        </w:rPr>
        <w:t>Any party may request a prehearing conference. Prehearing conferences shall be conducted by the executive director, who may request that an administrative law judge conduct the prehearing conference. A written request for prehearing conference or an order for prehearing conference on the executive director’s own motion shall be filed not less than seven days prior to the hearing date, unless authorized by the person conducting the prehearing conference.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35.22(2)</w:t>
      </w:r>
      <w:r>
        <w:rPr>
          <w:rFonts w:ascii="Times New Roman" w:hAnsi="Times New Roman"/>
          <w:b w:val="false"/>
          <w:i w:val="false"/>
          <w:color w:val="000000"/>
          <w:sz w:val="22"/>
        </w:rPr>
        <w:t> </w:t>
      </w:r>
      <w:r>
        <w:rPr>
          <w:rFonts w:ascii="Times New Roman" w:hAnsi="Times New Roman"/>
          <w:b w:val="false"/>
          <w:i/>
          <w:color w:val="000000"/>
          <w:sz w:val="22"/>
        </w:rPr>
        <w:t xml:space="preserve">Conference subjects. </w:t>
      </w:r>
      <w:r>
        <w:rPr>
          <w:rFonts w:ascii="Times New Roman" w:hAnsi="Times New Roman"/>
          <w:b w:val="false"/>
          <w:i w:val="false"/>
          <w:color w:val="000000"/>
          <w:sz w:val="22"/>
        </w:rPr>
        <w:t>Each party shall be prepared to discuss the following subjects at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executive director or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Other than rebuttal exhibits,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35.22(3)</w:t>
      </w:r>
      <w:r>
        <w:rPr>
          <w:rFonts w:ascii="Times New Roman" w:hAnsi="Times New Roman"/>
          <w:b w:val="false"/>
          <w:i w:val="false"/>
          <w:color w:val="000000"/>
          <w:sz w:val="22"/>
        </w:rPr>
        <w:t> </w:t>
      </w:r>
      <w:r>
        <w:rPr>
          <w:rFonts w:ascii="Times New Roman" w:hAnsi="Times New Roman"/>
          <w:b w:val="false"/>
          <w:i/>
          <w:color w:val="000000"/>
          <w:sz w:val="22"/>
        </w:rPr>
        <w:t xml:space="preserve">Conducted by telephone. </w:t>
      </w:r>
      <w:r>
        <w:rPr>
          <w:rFonts w:ascii="Times New Roman" w:hAnsi="Times New Roman"/>
          <w:b w:val="false"/>
          <w:i w:val="false"/>
          <w:color w:val="000000"/>
          <w:sz w:val="22"/>
        </w:rPr>
        <w:t>Prehearing conferences shall be conducted by telephone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35.22(4)</w:t>
      </w:r>
      <w:r>
        <w:rPr>
          <w:rFonts w:ascii="Times New Roman" w:hAnsi="Times New Roman"/>
          <w:b w:val="false"/>
          <w:i w:val="false"/>
          <w:color w:val="000000"/>
          <w:sz w:val="22"/>
        </w:rPr>
        <w:t> </w:t>
      </w:r>
      <w:r>
        <w:rPr>
          <w:rFonts w:ascii="Times New Roman" w:hAnsi="Times New Roman"/>
          <w:b w:val="false"/>
          <w:i/>
          <w:color w:val="000000"/>
          <w:sz w:val="22"/>
        </w:rPr>
        <w:t xml:space="preserve">Intra-agency appeal. </w:t>
      </w:r>
      <w:r>
        <w:rPr>
          <w:rFonts w:ascii="Times New Roman" w:hAnsi="Times New Roman"/>
          <w:b w:val="false"/>
          <w:i w:val="false"/>
          <w:color w:val="000000"/>
          <w:sz w:val="22"/>
        </w:rPr>
        <w:t>A party must seek intra-agency appeal to the board of prehearing rulings made by an administrative law judge in order to adequately exhaust administrative remedies. Such appeals must be filed within ten days of the date of the issuance of the challenged ruling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657—35.23</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requests for continuances shall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request. </w:t>
      </w:r>
      <w:r>
        <w:rPr>
          <w:rFonts w:ascii="Times New Roman" w:hAnsi="Times New Roman"/>
          <w:b w:val="false"/>
          <w:i w:val="false"/>
          <w:color w:val="000000"/>
          <w:sz w:val="22"/>
        </w:rPr>
        <w:t>A written request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35.23(2)</w:t>
      </w:r>
      <w:r>
        <w:rPr>
          <w:rFonts w:ascii="Times New Roman" w:hAnsi="Times New Roman"/>
          <w:b w:val="false"/>
          <w:i w:val="false"/>
          <w:color w:val="000000"/>
          <w:sz w:val="22"/>
        </w:rPr>
        <w:t> </w:t>
      </w:r>
      <w:r>
        <w:rPr>
          <w:rFonts w:ascii="Times New Roman" w:hAnsi="Times New Roman"/>
          <w:b w:val="false"/>
          <w:i/>
          <w:color w:val="000000"/>
          <w:sz w:val="22"/>
        </w:rPr>
        <w:t xml:space="preserve">Notice to parties. </w:t>
      </w:r>
      <w:r>
        <w:rPr>
          <w:rFonts w:ascii="Times New Roman" w:hAnsi="Times New Roman"/>
          <w:b w:val="false"/>
          <w:i w:val="false"/>
          <w:color w:val="000000"/>
          <w:sz w:val="22"/>
        </w:rPr>
        <w:t>No request for continuance shall be made or granted without notice to all parties except in an emergency where notice is not feasible. The presiding officer may allow an oral application for continuance at the contested case hearing only in the event of an unanticipated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35.23(3)</w:t>
      </w:r>
      <w:r>
        <w:rPr>
          <w:rFonts w:ascii="Times New Roman" w:hAnsi="Times New Roman"/>
          <w:b w:val="false"/>
          <w:i w:val="false"/>
          <w:color w:val="000000"/>
          <w:sz w:val="22"/>
        </w:rPr>
        <w:t> </w:t>
      </w:r>
      <w:r>
        <w:rPr>
          <w:rFonts w:ascii="Times New Roman" w:hAnsi="Times New Roman"/>
          <w:b w:val="false"/>
          <w:i/>
          <w:color w:val="000000"/>
          <w:sz w:val="22"/>
        </w:rPr>
        <w:t xml:space="preserve">Authorized individuals. </w:t>
      </w:r>
      <w:r>
        <w:rPr>
          <w:rFonts w:ascii="Times New Roman" w:hAnsi="Times New Roman"/>
          <w:b w:val="false"/>
          <w:i w:val="false"/>
          <w:color w:val="000000"/>
          <w:sz w:val="22"/>
        </w:rPr>
        <w:t>The presiding officer or the executive director has the authority to grant or deny a request for a continuance in accordance with this subrule. The executive director or an administrative law judge may enter an order granting an uncontested request for a continuance. Upon consultation with the board chair, the executive director or an administrative law judge may deny an uncontested request for a continuance or may rule on a contested request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35.23(4)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request. </w:t>
      </w:r>
      <w:r>
        <w:rPr>
          <w:rFonts w:ascii="Times New Roman" w:hAnsi="Times New Roman"/>
          <w:b w:val="false"/>
          <w:i w:val="false"/>
          <w:color w:val="000000"/>
          <w:sz w:val="22"/>
        </w:rPr>
        <w:t>In determining whether to grant a continuance, the presiding officer or the executive director may require documentation of any grounds for a continuance and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657—35.24</w:t>
      </w:r>
      <w:r>
        <w:rPr>
          <w:rFonts w:ascii="Times New Roman" w:hAnsi="Times New Roman"/>
          <w:b/>
          <w:i w:val="false"/>
          <w:color w:val="000000"/>
          <w:sz w:val="22"/>
        </w:rPr>
        <w:t xml:space="preserve">(17A,272C)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35.24(1)</w:t>
      </w:r>
      <w:r>
        <w:rPr>
          <w:rFonts w:ascii="Times New Roman" w:hAnsi="Times New Roman"/>
          <w:b w:val="false"/>
          <w:i w:val="false"/>
          <w:color w:val="000000"/>
          <w:sz w:val="22"/>
        </w:rPr>
        <w:t> </w:t>
      </w:r>
      <w:r>
        <w:rPr>
          <w:rFonts w:ascii="Times New Roman" w:hAnsi="Times New Roman"/>
          <w:b w:val="false"/>
          <w:i/>
          <w:color w:val="000000"/>
          <w:sz w:val="22"/>
        </w:rPr>
        <w:t xml:space="preserve">Initiation and participation. </w:t>
      </w:r>
      <w:r>
        <w:rPr>
          <w:rFonts w:ascii="Times New Roman" w:hAnsi="Times New Roman"/>
          <w:b w:val="false"/>
          <w:i w:val="false"/>
          <w:color w:val="000000"/>
          <w:sz w:val="22"/>
        </w:rPr>
        <w:t>A contested case may be resolved by settlement agreement. Settlement negotiations may be initiated by any party at any stage of a contested case. No party is required to participate in the settlement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35.24(2)</w:t>
      </w:r>
      <w:r>
        <w:rPr>
          <w:rFonts w:ascii="Times New Roman" w:hAnsi="Times New Roman"/>
          <w:b w:val="false"/>
          <w:i w:val="false"/>
          <w:color w:val="000000"/>
          <w:sz w:val="22"/>
        </w:rPr>
        <w:t> </w:t>
      </w:r>
      <w:r>
        <w:rPr>
          <w:rFonts w:ascii="Times New Roman" w:hAnsi="Times New Roman"/>
          <w:b w:val="false"/>
          <w:i/>
          <w:color w:val="000000"/>
          <w:sz w:val="22"/>
        </w:rPr>
        <w:t xml:space="preserve">Assistant attorney general and board chair discussion of possible settlement. </w:t>
      </w:r>
      <w:r>
        <w:rPr>
          <w:rFonts w:ascii="Times New Roman" w:hAnsi="Times New Roman"/>
          <w:b w:val="false"/>
          <w:i w:val="false"/>
          <w:color w:val="000000"/>
          <w:sz w:val="22"/>
        </w:rPr>
        <w:t xml:space="preserve">If the respondent initiates or consents to settlement negotiations, the assistant attorney general prosecuting the case may discuss settlement with the board chair without violating the prohibition against ex parte communications in Iowa Code section </w:t>
      </w:r>
      <w:hyperlink r:id="rId2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without disqualifying the board chair from participating in the adjudication of the contested case. The full board shall not be involved in settlement negotiations until a proposed settlement agreement executed by the respondent is submitted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35.24(3)</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proposed settlement. </w:t>
      </w:r>
      <w:r>
        <w:rPr>
          <w:rFonts w:ascii="Times New Roman" w:hAnsi="Times New Roman"/>
          <w:b w:val="false"/>
          <w:i w:val="false"/>
          <w:color w:val="000000"/>
          <w:sz w:val="22"/>
        </w:rPr>
        <w:t>By signing the proposed settlement agreement, the respondent authorizes an assistant attorney general to have ex parte communications with the board related to the terms of the proposed settlement. If the board fails to approve the proposed settlement agreement, it shall be of no force or effect to either party and shall not be admissible at hearing. Upon rejecting a proposed settlement agreement, the board may suggest alternative terms of settlement, which the respondent is free to accept or reject.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35.24(4)</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 settlement agreement is a permanent public record open for inspection under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657—35.25</w:t>
      </w:r>
      <w:r>
        <w:rPr>
          <w:rFonts w:ascii="Times New Roman" w:hAnsi="Times New Roman"/>
          <w:b/>
          <w:i w:val="false"/>
          <w:color w:val="000000"/>
          <w:sz w:val="22"/>
        </w:rPr>
        <w:t xml:space="preserve">(17A,124B,126,147,155A,205,272C) </w:t>
      </w:r>
      <w:r>
        <w:rPr>
          <w:rFonts w:ascii="Times New Roman" w:hAnsi="Times New Roman"/>
          <w:b/>
          <w:i w:val="false"/>
          <w:color w:val="000000"/>
          <w:sz w:val="22"/>
        </w:rPr>
        <w:t xml:space="preserve">Hearing procedures in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35.25(1)</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presiding officer shall be in control of the proceedings and shall have the authority to administer oaths and to admit or exclude testimony or evidence and shall rule on all motions and objections. The board may request that an administrative law judge assist the board by performing any of these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35.25(2)</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in the opinion of the board, it is desirable to obtain specialists within an area of practice when holding disciplinary hearings, the board may appoint a panel of three specialists who are not board members to make findings of fact and to report to the board. Such findings shall not include any recommendation for or against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35.25(3)</w:t>
      </w:r>
      <w:r>
        <w:rPr>
          <w:rFonts w:ascii="Times New Roman" w:hAnsi="Times New Roman"/>
          <w:b w:val="false"/>
          <w:i w:val="false"/>
          <w:color w:val="000000"/>
          <w:sz w:val="22"/>
        </w:rPr>
        <w:t> </w:t>
      </w:r>
      <w:r>
        <w:rPr>
          <w:rFonts w:ascii="Times New Roman" w:hAnsi="Times New Roman"/>
          <w:b w:val="false"/>
          <w:i/>
          <w:color w:val="000000"/>
          <w:sz w:val="22"/>
        </w:rPr>
        <w:t xml:space="preserve">Right of participation or representation. </w:t>
      </w:r>
      <w:r>
        <w:rPr>
          <w:rFonts w:ascii="Times New Roman" w:hAnsi="Times New Roman"/>
          <w:b w:val="false"/>
          <w:i w:val="false"/>
          <w:color w:val="000000"/>
          <w:sz w:val="22"/>
        </w:rPr>
        <w:t>An applicant or respondent has the right to participate or to be represented in all hearings related to the party’s case. Partnerships, corporations, or associations may be represented by any member, officer, director, or duly authorized agent. Any applicant or respondent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35.25(4)</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 xml:space="preserve">All objections shall be timely made and stated on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35.25(5)</w:t>
      </w:r>
      <w:r>
        <w:rPr>
          <w:rFonts w:ascii="Times New Roman" w:hAnsi="Times New Roman"/>
          <w:b w:val="false"/>
          <w:i w:val="false"/>
          <w:color w:val="000000"/>
          <w:sz w:val="22"/>
        </w:rPr>
        <w:t> </w:t>
      </w:r>
      <w:r>
        <w:rPr>
          <w:rFonts w:ascii="Times New Roman" w:hAnsi="Times New Roman"/>
          <w:b w:val="false"/>
          <w:i/>
          <w:color w:val="000000"/>
          <w:sz w:val="22"/>
        </w:rPr>
        <w:t xml:space="preserve">Rights of all parties. </w:t>
      </w:r>
      <w:r>
        <w:rPr>
          <w:rFonts w:ascii="Times New Roman" w:hAnsi="Times New Roman"/>
          <w:b w:val="false"/>
          <w:i w:val="false"/>
          <w:color w:val="000000"/>
          <w:sz w:val="22"/>
        </w:rPr>
        <w:t>Subject to terms prescribed by the presiding officer, parties have the right to introduce evidence on issues of material fact, cross-examine witnesses present at the hearing as necessary for a full and true disclosure of the facts, present evidence in rebuttal,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35.25(6)</w:t>
      </w:r>
      <w:r>
        <w:rPr>
          <w:rFonts w:ascii="Times New Roman" w:hAnsi="Times New Roman"/>
          <w:b w:val="false"/>
          <w:i w:val="false"/>
          <w:color w:val="000000"/>
          <w:sz w:val="22"/>
        </w:rPr>
        <w:t> </w:t>
      </w:r>
      <w:r>
        <w:rPr>
          <w:rFonts w:ascii="Times New Roman" w:hAnsi="Times New Roman"/>
          <w:b w:val="false"/>
          <w:i/>
          <w:color w:val="000000"/>
          <w:sz w:val="22"/>
        </w:rPr>
        <w:t xml:space="preserve">Disorderly conduct.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35.25(8)</w:t>
      </w:r>
      <w:r>
        <w:rPr>
          <w:rFonts w:ascii="Times New Roman" w:hAnsi="Times New Roman"/>
          <w:b w:val="false"/>
          <w:i w:val="false"/>
          <w:color w:val="000000"/>
          <w:sz w:val="22"/>
        </w:rPr>
        <w:t> </w:t>
      </w:r>
      <w:r>
        <w:rPr>
          <w:rFonts w:ascii="Times New Roman" w:hAnsi="Times New Roman"/>
          <w:b w:val="false"/>
          <w:i/>
          <w:color w:val="000000"/>
          <w:sz w:val="22"/>
        </w:rPr>
        <w:t xml:space="preserve">Appeal of administrative law judge rulings. </w:t>
      </w:r>
      <w:r>
        <w:rPr>
          <w:rFonts w:ascii="Times New Roman" w:hAnsi="Times New Roman"/>
          <w:b w:val="false"/>
          <w:i w:val="false"/>
          <w:color w:val="000000"/>
          <w:sz w:val="22"/>
        </w:rPr>
        <w:t>All rulings by an administrative law judge who acts either as presiding officer or as an aid to the board are subject to appeal to the board. While a party may seek immediate board review of rulings made by an administrative law judge when the administrative law judge is sitting with and acting as an aid to the board or panel of specialists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35.25(9)</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board members and administrative law judge have the right to question a witness.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35.25(10)</w:t>
      </w:r>
      <w:r>
        <w:rPr>
          <w:rFonts w:ascii="Times New Roman" w:hAnsi="Times New Roman"/>
          <w:b w:val="false"/>
          <w:i w:val="false"/>
          <w:color w:val="000000"/>
          <w:sz w:val="22"/>
        </w:rPr>
        <w:t> </w:t>
      </w:r>
      <w:r>
        <w:rPr>
          <w:rFonts w:ascii="Times New Roman" w:hAnsi="Times New Roman"/>
          <w:b w:val="false"/>
          <w:i/>
          <w:color w:val="000000"/>
          <w:sz w:val="22"/>
        </w:rPr>
        <w:t xml:space="preserve">Open/closed hearing and protective order. </w:t>
      </w:r>
      <w:r>
        <w:rPr>
          <w:rFonts w:ascii="Times New Roman" w:hAnsi="Times New Roman"/>
          <w:b w:val="false"/>
          <w:i w:val="false"/>
          <w:color w:val="000000"/>
          <w:sz w:val="22"/>
        </w:rPr>
        <w:t xml:space="preserve">The hearing shall be open to the public unless the respondent requests that the hearing be closed, in accordance with Iowa Code section </w:t>
      </w:r>
      <w:hyperlink r:id="rId26">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At the request of either party, or on the board’s own motion, the presiding officer may issue a protective order to protect documents which are privileged or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657—35.26</w:t>
      </w:r>
      <w:r>
        <w:rPr>
          <w:rFonts w:ascii="Times New Roman" w:hAnsi="Times New Roman"/>
          <w:b/>
          <w:i w:val="false"/>
          <w:color w:val="000000"/>
          <w:sz w:val="22"/>
        </w:rPr>
        <w:t xml:space="preserve">(17A,272C)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Relevant evidence is admissible, subject to the discretion of the presiding officer. Irrelevant, immaterial and unduly repetitious evidence should be excluded. A finding will be based upon the kind of evidence on which reasonably prudent persons are accustomed to rely for the conduct of their serious affairs, and may be based on hearsay or other types of evidence which may or would be inadmissible in a jury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A brief statement of the grounds upon which it is based shall accompany the objection.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35.26(2)</w:t>
      </w:r>
      <w:r>
        <w:rPr>
          <w:rFonts w:ascii="Times New Roman" w:hAnsi="Times New Roman"/>
          <w:b w:val="false"/>
          <w:i w:val="false"/>
          <w:color w:val="000000"/>
          <w:sz w:val="22"/>
        </w:rPr>
        <w:t> </w:t>
      </w:r>
      <w:r>
        <w:rPr>
          <w:rFonts w:ascii="Times New Roman" w:hAnsi="Times New Roman"/>
          <w:b w:val="false"/>
          <w:i/>
          <w:color w:val="000000"/>
          <w:sz w:val="22"/>
        </w:rPr>
        <w:t xml:space="preserve">Exhibits.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Copies of admitted documents should be distributed to individual board members and the administrative law judge. Unless prior arrangements have been made, the party seeking admission of a document should arrive at the hearing prepared with sufficient copies of the document to distribute to opposing parties, board members, the administrative law judge, and witnesses who are expected to examine the document. The state’s exhibits shall be marked numerically, and the applicant’s or respondent’s exhibits shall be marked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original is not required to prove the content of a writing, recording, or photograph. Duplicates or photocopies are admissible. Any objection related to the authenticity of an exhibit shall go to the weight given to that exhibit and not preclude its admissibility.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35.26(3)</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terms prescribed by the presiding officer and the limitations in Iowa </w:t>
      </w:r>
      <w:r>
        <w:rPr>
          <w:rFonts w:ascii="Times New Roman" w:hAnsi="Times New Roman"/>
          <w:b w:val="false"/>
          <w:i w:val="false"/>
          <w:color w:val="000000"/>
          <w:sz w:val="22"/>
        </w:rPr>
        <w:t>Rule of Civil Procedure 1.704</w:t>
      </w:r>
      <w:r>
        <w:rPr>
          <w:rFonts w:ascii="Times New Roman" w:hAnsi="Times New Roman"/>
          <w:b w:val="false"/>
          <w:i w:val="false"/>
          <w:color w:val="000000"/>
          <w:sz w:val="22"/>
        </w:rPr>
        <w:t xml:space="preserve">, parties may present the testimony of witnesses in person, by telephone, by videoconference, by affidavit, or by written or video deposition. If a witness is providing testimony in person, by telephone, or by videoconference, use of any deposition is limited by Iowa </w:t>
      </w:r>
      <w:r>
        <w:rPr>
          <w:rFonts w:ascii="Times New Roman" w:hAnsi="Times New Roman"/>
          <w:b w:val="false"/>
          <w:i w:val="false"/>
          <w:color w:val="000000"/>
          <w:sz w:val="22"/>
        </w:rPr>
        <w:t>Rule of Civil Procedure 1.704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are entitled to be represented by an attorney at their own expense. In a closed hearing, the attorney may be present only when the client testifies. The attorney may assert legal privileges personal to the client, but may not make other objections. The attorney may only ask questions of the client to prevent a misstatement from being entered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in a contested case shall be responsible for any witness fees and expenses incurred by witnesses appearing at the contested case hearing, unless otherwise specified or allocated in an order. The costs for lay witnesses shall be determined in accordance with Iowa Code section </w:t>
      </w:r>
      <w:hyperlink r:id="rId27">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shall be determined in accordance with Iowa Code section </w:t>
      </w:r>
      <w:hyperlink r:id="rId28">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657—35.27</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35.27(1)</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35.27(2)</w:t>
      </w:r>
      <w:r>
        <w:rPr>
          <w:rFonts w:ascii="Times New Roman" w:hAnsi="Times New Roman"/>
          <w:b w:val="false"/>
          <w:i w:val="false"/>
          <w:color w:val="000000"/>
          <w:sz w:val="22"/>
        </w:rPr>
        <w:t> </w:t>
      </w:r>
      <w:r>
        <w:rPr>
          <w:rFonts w:ascii="Times New Roman" w:hAnsi="Times New Roman"/>
          <w:b w:val="false"/>
          <w:i/>
          <w:color w:val="000000"/>
          <w:sz w:val="22"/>
        </w:rPr>
        <w:t xml:space="preserve">Motion for default.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35.27(3)</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shall become final board action unless, within 15 days after the date of notification or mailing of the decision, a motion to vacate is filed and served on all parties or unless an appeal of a decision on the merits is timely initiated within the time provided by rule </w:t>
      </w:r>
      <w:hyperlink r:id="rId29">
        <w:r>
          <w:rPr>
            <w:rStyle w:val="Hyperlink"/>
            <w:rFonts w:ascii="Times New Roman" w:hAnsi="Times New Roman"/>
            <w:b w:val="false"/>
            <w:i w:val="false"/>
            <w:color w:val="000000"/>
            <w:sz w:val="22"/>
          </w:rPr>
          <w:t>657—35.30</w:t>
        </w:r>
      </w:hyperlink>
      <w:r>
        <w:rPr>
          <w:rFonts w:ascii="Times New Roman" w:hAnsi="Times New Roman"/>
          <w:b w:val="false"/>
          <w:i w:val="false"/>
          <w:color w:val="000000"/>
          <w:sz w:val="22"/>
        </w:rPr>
        <w:t>(17A,272C).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35.27(5)</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35.27(6)</w:t>
      </w:r>
      <w:r>
        <w:rPr>
          <w:rFonts w:ascii="Times New Roman" w:hAnsi="Times New Roman"/>
          <w:b w:val="false"/>
          <w:i w:val="false"/>
          <w:color w:val="000000"/>
          <w:sz w:val="22"/>
        </w:rPr>
        <w:t> </w:t>
      </w:r>
      <w:r>
        <w:rPr>
          <w:rFonts w:ascii="Times New Roman" w:hAnsi="Times New Roman"/>
          <w:b w:val="false"/>
          <w:i/>
          <w:color w:val="000000"/>
          <w:sz w:val="22"/>
        </w:rPr>
        <w:t xml:space="preserve">“Good cause” defined. </w:t>
      </w:r>
      <w:r>
        <w:rPr>
          <w:rFonts w:ascii="Times New Roman" w:hAnsi="Times New Roman"/>
          <w:b w:val="false"/>
          <w:i w:val="false"/>
          <w:color w:val="000000"/>
          <w:sz w:val="22"/>
        </w:rPr>
        <w:t xml:space="preserve">“Good cause,” for purposes of this rule, shall have the same meaning as “good cause” for setting aside a default judgment under Iowa </w:t>
      </w:r>
      <w:r>
        <w:rPr>
          <w:rFonts w:ascii="Times New Roman" w:hAnsi="Times New Roman"/>
          <w:b w:val="false"/>
          <w:i w:val="false"/>
          <w:color w:val="000000"/>
          <w:sz w:val="22"/>
        </w:rPr>
        <w:t>Rule of Civil Procedure 1.971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35.27(7)</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on motion to vacate. </w:t>
      </w:r>
      <w:r>
        <w:rPr>
          <w:rFonts w:ascii="Times New Roman" w:hAnsi="Times New Roman"/>
          <w:b w:val="false"/>
          <w:i w:val="false"/>
          <w:color w:val="000000"/>
          <w:sz w:val="22"/>
        </w:rPr>
        <w:t>A decision by an administrative law judge granting or denying a motion to vacate is subject to appeal to the board within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35.27(8)</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If a motion to vacate is granted and no timely appeal to the board has been filed, the presiding officer shall issue a rescheduling order setting a new hearing date and the contested case shall proceed accordingly.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657—35.28</w:t>
      </w:r>
      <w:r>
        <w:rPr>
          <w:rFonts w:ascii="Times New Roman" w:hAnsi="Times New Roman"/>
          <w:b/>
          <w:i w:val="false"/>
          <w:color w:val="000000"/>
          <w:sz w:val="22"/>
        </w:rPr>
        <w:t xml:space="preserve">(17A,272C)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35.28(1)</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 xml:space="preserve">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board or seeking the advice or help of persons other than those with a personal interest in, or those engaged in personally investigating as defined in </w:t>
      </w:r>
      <w:hyperlink r:id="rId30">
        <w:r>
          <w:rPr>
            <w:rStyle w:val="Hyperlink"/>
            <w:rFonts w:ascii="Times New Roman" w:hAnsi="Times New Roman"/>
            <w:b w:val="false"/>
            <w:i w:val="false"/>
            <w:color w:val="000000"/>
            <w:sz w:val="22"/>
          </w:rPr>
          <w:t>subrule 35.13(2)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35.28(2)</w:t>
      </w:r>
      <w:r>
        <w:rPr>
          <w:rFonts w:ascii="Times New Roman" w:hAnsi="Times New Roman"/>
          <w:b w:val="false"/>
          <w:i w:val="false"/>
          <w:color w:val="000000"/>
          <w:sz w:val="22"/>
        </w:rPr>
        <w:t> </w:t>
      </w:r>
      <w:r>
        <w:rPr>
          <w:rFonts w:ascii="Times New Roman" w:hAnsi="Times New Roman"/>
          <w:b w:val="false"/>
          <w:i/>
          <w:color w:val="000000"/>
          <w:sz w:val="22"/>
        </w:rPr>
        <w:t xml:space="preserve">Duration of prohibition.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35.28(3)</w:t>
      </w:r>
      <w:r>
        <w:rPr>
          <w:rFonts w:ascii="Times New Roman" w:hAnsi="Times New Roman"/>
          <w:b w:val="false"/>
          <w:i w:val="false"/>
          <w:color w:val="000000"/>
          <w:sz w:val="22"/>
        </w:rPr>
        <w:t> </w:t>
      </w:r>
      <w:r>
        <w:rPr>
          <w:rFonts w:ascii="Times New Roman" w:hAnsi="Times New Roman"/>
          <w:b w:val="false"/>
          <w:i/>
          <w:color w:val="000000"/>
          <w:sz w:val="22"/>
        </w:rPr>
        <w:t xml:space="preserve">“Ex parte”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35.28(4)</w:t>
      </w:r>
      <w:r>
        <w:rPr>
          <w:rFonts w:ascii="Times New Roman" w:hAnsi="Times New Roman"/>
          <w:b w:val="false"/>
          <w:i w:val="false"/>
          <w:color w:val="000000"/>
          <w:sz w:val="22"/>
        </w:rPr>
        <w:t> </w:t>
      </w:r>
      <w:r>
        <w:rPr>
          <w:rFonts w:ascii="Times New Roman" w:hAnsi="Times New Roman"/>
          <w:b w:val="false"/>
          <w:i/>
          <w:color w:val="000000"/>
          <w:sz w:val="22"/>
        </w:rPr>
        <w:t xml:space="preserve">Authorized communications.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1">
        <w:r>
          <w:rPr>
            <w:rStyle w:val="Hyperlink"/>
            <w:rFonts w:ascii="Times New Roman" w:hAnsi="Times New Roman"/>
            <w:b w:val="false"/>
            <w:i w:val="false"/>
            <w:color w:val="000000"/>
            <w:sz w:val="22"/>
          </w:rPr>
          <w:t>657—35.17</w:t>
        </w:r>
      </w:hyperlink>
      <w:r>
        <w:rPr>
          <w:rFonts w:ascii="Times New Roman" w:hAnsi="Times New Roman"/>
          <w:b w:val="false"/>
          <w:i w:val="false"/>
          <w:color w:val="000000"/>
          <w:sz w:val="22"/>
        </w:rPr>
        <w:t>(17A,272C)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35.28(5)</w:t>
      </w:r>
      <w:r>
        <w:rPr>
          <w:rFonts w:ascii="Times New Roman" w:hAnsi="Times New Roman"/>
          <w:b w:val="false"/>
          <w:i w:val="false"/>
          <w:color w:val="000000"/>
          <w:sz w:val="22"/>
        </w:rPr>
        <w:t> </w:t>
      </w:r>
      <w:r>
        <w:rPr>
          <w:rFonts w:ascii="Times New Roman" w:hAnsi="Times New Roman"/>
          <w:b w:val="false"/>
          <w:i/>
          <w:color w:val="000000"/>
          <w:sz w:val="22"/>
        </w:rPr>
        <w:t xml:space="preserve">Communications between presiding officers. </w:t>
      </w:r>
      <w:r>
        <w:rPr>
          <w:rFonts w:ascii="Times New Roman" w:hAnsi="Times New Roman"/>
          <w:b w:val="false"/>
          <w:i w:val="false"/>
          <w:color w:val="000000"/>
          <w:sz w:val="22"/>
        </w:rPr>
        <w:t>Persons who jointly act as presiding officers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35.28(6)</w:t>
      </w:r>
      <w:r>
        <w:rPr>
          <w:rFonts w:ascii="Times New Roman" w:hAnsi="Times New Roman"/>
          <w:b w:val="false"/>
          <w:i w:val="false"/>
          <w:color w:val="000000"/>
          <w:sz w:val="22"/>
        </w:rPr>
        <w:t> </w:t>
      </w:r>
      <w:r>
        <w:rPr>
          <w:rFonts w:ascii="Times New Roman" w:hAnsi="Times New Roman"/>
          <w:b w:val="false"/>
          <w:i/>
          <w:color w:val="000000"/>
          <w:sz w:val="22"/>
        </w:rPr>
        <w:t xml:space="preserve">Others authorized to communicate with presiding officer.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32">
        <w:r>
          <w:rPr>
            <w:rStyle w:val="Hyperlink"/>
            <w:rFonts w:ascii="Times New Roman" w:hAnsi="Times New Roman"/>
            <w:b w:val="false"/>
            <w:i w:val="false"/>
            <w:color w:val="000000"/>
            <w:sz w:val="22"/>
          </w:rPr>
          <w:t>subrule 35.28(1)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not prohibited.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3">
        <w:r>
          <w:rPr>
            <w:rStyle w:val="Hyperlink"/>
            <w:rFonts w:ascii="Times New Roman" w:hAnsi="Times New Roman"/>
            <w:b w:val="false"/>
            <w:i w:val="false"/>
            <w:color w:val="000000"/>
            <w:sz w:val="22"/>
          </w:rPr>
          <w:t>657—35.23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35.28(8)</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received during pendency of case.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35.28(9)</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received prior to assignment as presiding officer.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4">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35.28(10)</w:t>
      </w:r>
      <w:r>
        <w:rPr>
          <w:rFonts w:ascii="Times New Roman" w:hAnsi="Times New Roman"/>
          <w:b w:val="false"/>
          <w:i w:val="false"/>
          <w:color w:val="000000"/>
          <w:sz w:val="22"/>
        </w:rPr>
        <w:t> </w:t>
      </w:r>
      <w:r>
        <w:rPr>
          <w:rFonts w:ascii="Times New Roman" w:hAnsi="Times New Roman"/>
          <w:b w:val="false"/>
          <w:i/>
          <w:color w:val="000000"/>
          <w:sz w:val="22"/>
        </w:rPr>
        <w:t xml:space="preserve">Sanctions for violation.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 prohibitions by board personnel shall be reported to the executive director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657—35.29</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 xml:space="preserve">Contested case hearings shall be recorded by electronic means or by a certified shorthand reporter. The board may assess the costs of the certified shorthand reporter to the licensee in a disciplinary hearing which results in disciplinary action taken against the licensee by the board in accordance with </w:t>
      </w:r>
      <w:hyperlink r:id="rId35">
        <w:r>
          <w:rPr>
            <w:rStyle w:val="Hyperlink"/>
            <w:rFonts w:ascii="Times New Roman" w:hAnsi="Times New Roman"/>
            <w:b w:val="false"/>
            <w:i w:val="false"/>
            <w:color w:val="000000"/>
            <w:sz w:val="22"/>
          </w:rPr>
          <w:t>657—subrule 36.10(2)</w:t>
        </w:r>
      </w:hyperlink>
      <w:r>
        <w:rPr>
          <w:rFonts w:ascii="Times New Roman" w:hAnsi="Times New Roman"/>
          <w:b w:val="false"/>
          <w:i w:val="false"/>
          <w:color w:val="000000"/>
          <w:sz w:val="22"/>
        </w:rPr>
        <w:t>. Upon request, the board shall provide a copy of the whole or any portion of the record at cost. The requesting party shall pay the cost of preparing a copy of the record or of transcribing the hearing record. If the request for the hearing record is made as a result of a petition for judicial review, the party who filed the petition shall be considered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Proposed decisions. </w:t>
      </w:r>
      <w:r>
        <w:rPr>
          <w:rFonts w:ascii="Times New Roman" w:hAnsi="Times New Roman"/>
          <w:b w:val="false"/>
          <w:i w:val="false"/>
          <w:color w:val="000000"/>
          <w:sz w:val="22"/>
        </w:rPr>
        <w:t>Decisions issued by an administrative law judge in nondisciplinary cases are proposed decisions. A proposed decision issued by an administrative law judge becomes a final decision if not timely appealed or reviewed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35.30(3)</w:t>
      </w:r>
      <w:r>
        <w:rPr>
          <w:rFonts w:ascii="Times New Roman" w:hAnsi="Times New Roman"/>
          <w:b w:val="false"/>
          <w:i w:val="false"/>
          <w:color w:val="000000"/>
          <w:sz w:val="22"/>
        </w:rPr>
        <w:t> </w:t>
      </w:r>
      <w:r>
        <w:rPr>
          <w:rFonts w:ascii="Times New Roman" w:hAnsi="Times New Roman"/>
          <w:b w:val="false"/>
          <w:i/>
          <w:color w:val="000000"/>
          <w:sz w:val="22"/>
        </w:rPr>
        <w:t xml:space="preserve">Exhaustion. </w:t>
      </w:r>
      <w:r>
        <w:rPr>
          <w:rFonts w:ascii="Times New Roman" w:hAnsi="Times New Roman"/>
          <w:b w:val="false"/>
          <w:i w:val="false"/>
          <w:color w:val="000000"/>
          <w:sz w:val="22"/>
        </w:rPr>
        <w:t>A party must timely seek intra-agency appeal of a proposed decision in order to adequately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an attorney for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which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35.30(5)</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35.30(6)</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35.30(7)</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35.30(8)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shall be the entire record made before the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657—35.31</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 final decision of the board shall include findings of fact and conclusions of law. When the board presides over the reception of the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35.31(2)</w:t>
      </w:r>
      <w:r>
        <w:rPr>
          <w:rFonts w:ascii="Times New Roman" w:hAnsi="Times New Roman"/>
          <w:b w:val="false"/>
          <w:i w:val="false"/>
          <w:color w:val="000000"/>
          <w:sz w:val="22"/>
        </w:rPr>
        <w:t> </w:t>
      </w:r>
      <w:r>
        <w:rPr>
          <w:rFonts w:ascii="Times New Roman" w:hAnsi="Times New Roman"/>
          <w:b w:val="false"/>
          <w:i/>
          <w:color w:val="000000"/>
          <w:sz w:val="22"/>
        </w:rPr>
        <w:t xml:space="preserve">Hearing fee and costs. </w:t>
      </w:r>
      <w:r>
        <w:rPr>
          <w:rFonts w:ascii="Times New Roman" w:hAnsi="Times New Roman"/>
          <w:b w:val="false"/>
          <w:i w:val="false"/>
          <w:color w:val="000000"/>
          <w:sz w:val="22"/>
        </w:rPr>
        <w:t xml:space="preserve">The board may charge a hearing fee and assess other costs to the licensee for conducting a disciplinary hearing which results in disciplinary action taken against the licensee by the board in accordance with </w:t>
      </w:r>
      <w:hyperlink r:id="rId36">
        <w:r>
          <w:rPr>
            <w:rStyle w:val="Hyperlink"/>
            <w:rFonts w:ascii="Times New Roman" w:hAnsi="Times New Roman"/>
            <w:b w:val="false"/>
            <w:i w:val="false"/>
            <w:color w:val="000000"/>
            <w:sz w:val="22"/>
          </w:rPr>
          <w:t>657—subrule 36.10(2)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r>
        <w:rPr>
          <w:rFonts w:ascii="Times New Roman" w:hAnsi="Times New Roman"/>
          <w:b w:val="false"/>
          <w:i w:val="false"/>
          <w:color w:val="000000"/>
          <w:sz w:val="22"/>
        </w:rPr>
        <w:t>Final decisions shall be served on the respondent or applicant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shall be prepared outlining the measures taken to attempt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decision shall be published once each week for three consecutive weeks in a newspaper of general circulation, published or circulated in the county of last-known residence of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respondent or applicant is represented by an attorney, the final decision shall be mailed to the attorney. The attorney may waive the requirement to serve the respondent or applicant through a written acknowledgment that the attorney is accepting service on behalf of the client. The state shall be served by first-class mail or state interoffice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35.31(4)</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 final decision is a permanent public record open for inspection under Iowa Code chapter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in accordance with Iowa Code section </w:t>
      </w:r>
      <w:hyperlink r:id="rId3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657—35.32</w:t>
      </w:r>
      <w:r>
        <w:rPr>
          <w:rFonts w:ascii="Times New Roman" w:hAnsi="Times New Roman"/>
          <w:b/>
          <w:i w:val="false"/>
          <w:color w:val="000000"/>
          <w:sz w:val="22"/>
        </w:rPr>
        <w:t xml:space="preserve">(17A,124B,126,147,155A,205,272C)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 In addition, the application shall state whether the applicant desires reconsideration of all or part of the board decision on the existing record and whether, upon showing good cause, the applicant requests an opportunity to submit additional evidence. A party may request the taking of additional evidence after the issuance of a final order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35.32(6)</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 xml:space="preserve">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 The petition must be filed within 30 days of the issuance of the final order, or if a party filed a request for rehearing that was denied, the petition must be filed within 30 days after the request for rehearing was denied or deemed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The board shall not grant a stay in any case in which the district court would be expressly prohibited by statute from granting a stay. In determining whether to grant a stay, the presiding officer or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 of relief to the applicant will substantially harm other parties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board is sufficient to justify the board’s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35.33(3)</w:t>
      </w:r>
      <w:r>
        <w:rPr>
          <w:rFonts w:ascii="Times New Roman" w:hAnsi="Times New Roman"/>
          <w:b w:val="false"/>
          <w:i w:val="false"/>
          <w:color w:val="000000"/>
          <w:sz w:val="22"/>
        </w:rPr>
        <w:t> </w:t>
      </w:r>
      <w:r>
        <w:rPr>
          <w:rFonts w:ascii="Times New Roman" w:hAnsi="Times New Roman"/>
          <w:b w:val="false"/>
          <w:i/>
          <w:color w:val="000000"/>
          <w:sz w:val="22"/>
        </w:rPr>
        <w:t xml:space="preserve">Exhaustion required. </w:t>
      </w:r>
      <w:r>
        <w:rPr>
          <w:rFonts w:ascii="Times New Roman" w:hAnsi="Times New Roman"/>
          <w:b w:val="false"/>
          <w:i w:val="false"/>
          <w:color w:val="000000"/>
          <w:sz w:val="22"/>
        </w:rPr>
        <w:t>A party must petition the board for a stay pursuant to this rule prior to requesting a stay from the district court in a judicial review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657—35.34</w:t>
      </w:r>
      <w:r>
        <w:rPr>
          <w:rFonts w:ascii="Times New Roman" w:hAnsi="Times New Roman"/>
          <w:b/>
          <w:i w:val="false"/>
          <w:color w:val="000000"/>
          <w:sz w:val="22"/>
        </w:rPr>
        <w:t xml:space="preserve">(17A,272C)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657—35.35</w:t>
      </w:r>
      <w:r>
        <w:rPr>
          <w:rFonts w:ascii="Times New Roman" w:hAnsi="Times New Roman"/>
          <w:b/>
          <w:i w:val="false"/>
          <w:color w:val="000000"/>
          <w:sz w:val="22"/>
        </w:rPr>
        <w:t xml:space="preserve">(17A,124B,126,147,155A,205,272C)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the board may issue a written order in compliance with Iowa Code section </w:t>
      </w:r>
      <w:hyperlink r:id="rId3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served on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restricted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Unless the written emergency adjudicative order is provided by personal delivery on the same day that the order issues, the board shall make reasonable immediate efforts to contact by telephone and electronic mail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of a written emergency adjudicative order shall include notification of the date on which board proceedings are scheduled for hearing. After issuance of an emergency adjudicative order, the licensee subject to the emergency adjudicative order may request a continuance of the hearing at any time by filing a request with the board. The state may only file a request for a continuance in compelling circumstances. Nothing in this subrule shall be construed to eliminate the opportunity to resolve the matter with a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35.35(5)</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An emergency adjudicative order is a permanent public record open for inspection under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Application for reinstatement. </w:t>
      </w:r>
      <w:r>
        <w:rPr>
          <w:rFonts w:ascii="Times New Roman" w:hAnsi="Times New Roman"/>
          <w:b w:val="false"/>
          <w:i w:val="false"/>
          <w:color w:val="000000"/>
          <w:sz w:val="22"/>
        </w:rPr>
        <w:t>Any person whose license has been revoked or has been voluntarily surrendered may apply for reinstatement. An application for reinstatement must be made in accordance with the terms specified in the board’s order of revocation or order accepting the voluntary surrender. Any person whose license has been suspended and the board order imposing the suspension indicates that the respondent must apply for and receive reinstatement may apply for reinstatement in accordance with the terms specified in the board’s order. All applications for reinstatement must be filed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35.36(1)</w:t>
      </w:r>
      <w:r>
        <w:rPr>
          <w:rFonts w:ascii="Times New Roman" w:hAnsi="Times New Roman"/>
          <w:b w:val="false"/>
          <w:i w:val="false"/>
          <w:color w:val="000000"/>
          <w:sz w:val="22"/>
        </w:rPr>
        <w:t> </w:t>
      </w:r>
      <w:r>
        <w:rPr>
          <w:rFonts w:ascii="Times New Roman" w:hAnsi="Times New Roman"/>
          <w:b w:val="false"/>
          <w:i/>
          <w:color w:val="000000"/>
          <w:sz w:val="22"/>
        </w:rPr>
        <w:t xml:space="preserve">Timing of application. </w:t>
      </w:r>
      <w:r>
        <w:rPr>
          <w:rFonts w:ascii="Times New Roman" w:hAnsi="Times New Roman"/>
          <w:b w:val="false"/>
          <w:i w:val="false"/>
          <w:color w:val="000000"/>
          <w:sz w:val="22"/>
        </w:rPr>
        <w:t>If the order for revocation, suspension, or acceptance of surrender of a license did not establish terms for reinstatement, an initial application for reinstatement may not be filed until at least one year has elapsed from the date of issuance of the order. Persons who have failed to satisfy the terms imposed by the board order revoking, suspending, or accepting surrender of a license shall not be entitled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35.36(2)</w:t>
      </w:r>
      <w:r>
        <w:rPr>
          <w:rFonts w:ascii="Times New Roman" w:hAnsi="Times New Roman"/>
          <w:b w:val="false"/>
          <w:i w:val="false"/>
          <w:color w:val="000000"/>
          <w:sz w:val="22"/>
        </w:rPr>
        <w:t> </w:t>
      </w:r>
      <w:r>
        <w:rPr>
          <w:rFonts w:ascii="Times New Roman" w:hAnsi="Times New Roman"/>
          <w:b w:val="false"/>
          <w:i/>
          <w:color w:val="000000"/>
          <w:sz w:val="22"/>
        </w:rPr>
        <w:t xml:space="preserve">Initiated by respondent. </w:t>
      </w:r>
      <w:r>
        <w:rPr>
          <w:rFonts w:ascii="Times New Roman" w:hAnsi="Times New Roman"/>
          <w:b w:val="false"/>
          <w:i w:val="false"/>
          <w:color w:val="000000"/>
          <w:sz w:val="22"/>
        </w:rPr>
        <w:t>Reinstatement proceedings shall be initiated by the respondent, who shall file with the board an application for reinstatement of the respondent’s license. Such application shall be docketed in the original contested case in which the license was revoked, suspended, or surrendered. The person filing the application for reinstatement shall immediately serve a copy upon the office of the attorney general and shall serve any additional documents filed in connection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application shall allege facts and circumstances which, if established, will be sufficient to enable the board to determine that the basis for the revocation, suspension, or surrender no longer exists and that it shall be in the public interest for the license to be reinstated. The application shall include written evidence supporting the respondent’s assertion that the basis for the revocation, suspension, or surrender no longer exists and that it shall be in the public interest for the license to be reinstated. Such evidence may include, but is not limited to, medical and mental health records establishing successful completion of any necessary medical or mental health treatment and aftercare recommendations; documentation verifying successful completion of any court-imposed terms of probation; statements from support group sponsors verifying active participation in a support group; verified statements from current and past employers attesting to employability; and evidence establishing that prior professional competency or unethical conduct issues have been resolved. The burden of proof to establish such facts shall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35.36(4)</w:t>
      </w:r>
      <w:r>
        <w:rPr>
          <w:rFonts w:ascii="Times New Roman" w:hAnsi="Times New Roman"/>
          <w:b w:val="false"/>
          <w:i w:val="false"/>
          <w:color w:val="000000"/>
          <w:sz w:val="22"/>
        </w:rPr>
        <w:t> </w:t>
      </w:r>
      <w:r>
        <w:rPr>
          <w:rFonts w:ascii="Times New Roman" w:hAnsi="Times New Roman"/>
          <w:b w:val="false"/>
          <w:i/>
          <w:color w:val="000000"/>
          <w:sz w:val="22"/>
        </w:rPr>
        <w:t xml:space="preserve">Review for conformity. </w:t>
      </w:r>
      <w:r>
        <w:rPr>
          <w:rFonts w:ascii="Times New Roman" w:hAnsi="Times New Roman"/>
          <w:b w:val="false"/>
          <w:i w:val="false"/>
          <w:color w:val="000000"/>
          <w:sz w:val="22"/>
        </w:rPr>
        <w:t>The executive director or designee shall review the application for reinstatement and determine if it conforms to the terms established in the board order that revoked, suspended, or accepted surrender of the license and the requirements imposed by this rule. Applications failing to comply with the specified terms or with the requirements in this rule will be denied. Such denial shall be in writing, stating the grounds, and may be appealed by requesting a hearing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35.36(5)</w:t>
      </w:r>
      <w:r>
        <w:rPr>
          <w:rFonts w:ascii="Times New Roman" w:hAnsi="Times New Roman"/>
          <w:b w:val="false"/>
          <w:i w:val="false"/>
          <w:color w:val="000000"/>
          <w:sz w:val="22"/>
        </w:rPr>
        <w:t> </w:t>
      </w:r>
      <w:r>
        <w:rPr>
          <w:rFonts w:ascii="Times New Roman" w:hAnsi="Times New Roman"/>
          <w:b w:val="false"/>
          <w:i/>
          <w:color w:val="000000"/>
          <w:sz w:val="22"/>
        </w:rPr>
        <w:t xml:space="preserve">Hearing and order. </w:t>
      </w:r>
      <w:r>
        <w:rPr>
          <w:rFonts w:ascii="Times New Roman" w:hAnsi="Times New Roman"/>
          <w:b w:val="false"/>
          <w:i w:val="false"/>
          <w:color w:val="000000"/>
          <w:sz w:val="22"/>
        </w:rPr>
        <w:t xml:space="preserve">Applications not denied for failure to conform to the terms established in the board order that revoked, suspended, or accepted surrender of the license or requirements imposed by this rule may be set for hearing before the board. The hearing shall be a contested case hearing within the meaning of Iowa Code section </w:t>
      </w:r>
      <w:hyperlink r:id="rId4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and the order to grant or deny reinstatement shall incorporate findings of fact and conclusions of law. If reinstatement is granted, terms may be imposed. Such terms may include, but are not limited to, requiring the licensee to retake and pass an examination required for initial licensure, requiring the licensee to complete continuing education, restricting the licensee from engaging in a particular practice, and imposing a probationary term with monitoring requirements. Nothing shall prohibit the board from issuing an order granting reinstatement without terms, or from entering into a stipulated order granting reinstatement with terms, in the absence of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35.36(6)</w:t>
      </w:r>
      <w:r>
        <w:rPr>
          <w:rFonts w:ascii="Times New Roman" w:hAnsi="Times New Roman"/>
          <w:b w:val="false"/>
          <w:i w:val="false"/>
          <w:color w:val="000000"/>
          <w:sz w:val="22"/>
        </w:rPr>
        <w:t> </w:t>
      </w:r>
      <w:r>
        <w:rPr>
          <w:rFonts w:ascii="Times New Roman" w:hAnsi="Times New Roman"/>
          <w:b w:val="false"/>
          <w:i/>
          <w:color w:val="000000"/>
          <w:sz w:val="22"/>
        </w:rPr>
        <w:t xml:space="preserve">License reactivation. </w:t>
      </w:r>
      <w:r>
        <w:rPr>
          <w:rFonts w:ascii="Times New Roman" w:hAnsi="Times New Roman"/>
          <w:b w:val="false"/>
          <w:i w:val="false"/>
          <w:color w:val="000000"/>
          <w:sz w:val="22"/>
        </w:rPr>
        <w:t>A licensee whose license is reinstated must complete the requirements for license reactivation in order to receive an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35.36(7)</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An order granting or denying reinstatement is a permanent public record open for inspection under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657—35.37</w:t>
      </w:r>
      <w:r>
        <w:rPr>
          <w:rFonts w:ascii="Times New Roman" w:hAnsi="Times New Roman"/>
          <w:b/>
          <w:i w:val="false"/>
          <w:color w:val="000000"/>
          <w:sz w:val="22"/>
        </w:rPr>
        <w:t xml:space="preserve">(17A,22,272C) </w:t>
      </w:r>
      <w:r>
        <w:rPr>
          <w:rFonts w:ascii="Times New Roman" w:hAnsi="Times New Roman"/>
          <w:b/>
          <w:i w:val="false"/>
          <w:color w:val="000000"/>
          <w:sz w:val="22"/>
        </w:rPr>
        <w:t xml:space="preserve">Dissemination of public records. </w:t>
      </w:r>
      <w:r>
        <w:rPr>
          <w:rFonts w:ascii="Times New Roman" w:hAnsi="Times New Roman"/>
          <w:b w:val="false"/>
          <w:i w:val="false"/>
          <w:color w:val="000000"/>
          <w:sz w:val="22"/>
        </w:rPr>
        <w:t xml:space="preserve">All documents identified in this chapter as permanent public records open for inspection under Iowa Code chapter </w:t>
      </w:r>
      <w:hyperlink r:id="rId4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are reported to national databanks in accordance with applicable reporting requirements. In addition, these documents may be posted on the board’s website, published in the board’s newsletter, distributed to national or state associations, transmitted to mailing lists or news media, issued in conjunction with a press release, or otherwise disseminated.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657—35.38</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final order of the board may be sought in accordance with the terms of Iowa Code chapter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17A.10 to 17A.23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124.304</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124B.12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126.17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155A.6 to 155A.6B</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155A.12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155A.13 to 155A.13C</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155A.15 to 155A.18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155A.26</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205.11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5/11/79, Notice 4/4/79—published 5/30/79, effective 7/4/79]</w:t>
      </w:r>
    </w:p>
    <w:p>
      <w:pPr>
        <w:spacing w:before="0" w:after="0"/>
        <w:ind w:left="120"/>
        <w:jc w:val="center"/>
      </w:pPr>
      <w:r>
        <w:rPr>
          <w:rFonts w:ascii="Times New Roman" w:hAnsi="Times New Roman"/>
          <w:b w:val="false"/>
          <w:i w:val="false"/>
          <w:color w:val="000000"/>
          <w:sz w:val="21"/>
        </w:rPr>
        <w:t>[Filed 2/12/81, Notice 12/24/80—published 3/4/81, effective 4/8/81]</w:t>
      </w:r>
    </w:p>
    <w:p>
      <w:pPr>
        <w:spacing w:before="0" w:after="0"/>
        <w:ind w:left="120"/>
        <w:jc w:val="center"/>
      </w:pPr>
      <w:r>
        <w:rPr>
          <w:rFonts w:ascii="Times New Roman" w:hAnsi="Times New Roman"/>
          <w:b w:val="false"/>
          <w:i w:val="false"/>
          <w:color w:val="000000"/>
          <w:sz w:val="21"/>
        </w:rPr>
        <w:t>[Filed emergency 7/28/81—published 8/19/81, effective 8/1/81]</w:t>
      </w:r>
    </w:p>
    <w:p>
      <w:pPr>
        <w:spacing w:before="0" w:after="0"/>
        <w:ind w:left="120"/>
        <w:jc w:val="center"/>
      </w:pPr>
      <w:r>
        <w:rPr>
          <w:rFonts w:ascii="Times New Roman" w:hAnsi="Times New Roman"/>
          <w:b w:val="false"/>
          <w:i w:val="false"/>
          <w:color w:val="000000"/>
          <w:sz w:val="21"/>
        </w:rPr>
        <w:t>[Filed emergency 9/14/81—published 9/30/81, effective 9/30/81]</w:t>
      </w:r>
    </w:p>
    <w:p>
      <w:pPr>
        <w:spacing w:before="0" w:after="0"/>
        <w:ind w:left="120"/>
        <w:jc w:val="center"/>
      </w:pPr>
      <w:r>
        <w:rPr>
          <w:rFonts w:ascii="Times New Roman" w:hAnsi="Times New Roman"/>
          <w:b w:val="false"/>
          <w:i w:val="false"/>
          <w:color w:val="000000"/>
          <w:sz w:val="21"/>
        </w:rPr>
        <w:t>[Filed 12/21/81, Notice 11/11/81—published 1/6/82, effective 2/10/82]</w:t>
      </w:r>
    </w:p>
    <w:p>
      <w:pPr>
        <w:spacing w:before="0" w:after="0"/>
        <w:ind w:left="120"/>
        <w:jc w:val="center"/>
      </w:pPr>
      <w:r>
        <w:rPr>
          <w:rFonts w:ascii="Times New Roman" w:hAnsi="Times New Roman"/>
          <w:b w:val="false"/>
          <w:i w:val="false"/>
          <w:color w:val="000000"/>
          <w:sz w:val="21"/>
        </w:rPr>
        <w:t>[Filed 7/28/82, Notice 3/17/82—published 8/18/82, effective 9/22/82]</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1/21/88, Notice 11/18/87—published 2/10/88, effective 3/16/88]</w:t>
      </w:r>
    </w:p>
    <w:p>
      <w:pPr>
        <w:spacing w:before="0" w:after="0"/>
        <w:ind w:left="120"/>
        <w:jc w:val="center"/>
      </w:pPr>
      <w:r>
        <w:rPr>
          <w:rFonts w:ascii="Times New Roman" w:hAnsi="Times New Roman"/>
          <w:b w:val="false"/>
          <w:i w:val="false"/>
          <w:color w:val="000000"/>
          <w:sz w:val="21"/>
        </w:rPr>
        <w:t>[Filed 8/5/88, Notice 5/18/88—published 8/24/88, effective 9/28/88]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10/22/92, Notice 9/2/92—published 11/11/92, effective 1/1/93]</w:t>
      </w:r>
    </w:p>
    <w:p>
      <w:pPr>
        <w:spacing w:before="0" w:after="0"/>
        <w:ind w:left="120"/>
        <w:jc w:val="center"/>
      </w:pPr>
      <w:r>
        <w:rPr>
          <w:rFonts w:ascii="Times New Roman" w:hAnsi="Times New Roman"/>
          <w:b w:val="false"/>
          <w:i w:val="false"/>
          <w:color w:val="000000"/>
          <w:sz w:val="21"/>
        </w:rPr>
        <w:t>[Filed 2/5/93, Notice 11/11/92—published 3/3/93, effective 4/8/93]</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5/1/96, Notice 1/3/96—published 5/22/96, effective 6/26/96]</w:t>
      </w:r>
    </w:p>
    <w:p>
      <w:pPr>
        <w:spacing w:before="0" w:after="0"/>
        <w:ind w:left="120"/>
        <w:jc w:val="center"/>
      </w:pPr>
      <w:r>
        <w:rPr>
          <w:rFonts w:ascii="Times New Roman" w:hAnsi="Times New Roman"/>
          <w:b w:val="false"/>
          <w:i w:val="false"/>
          <w:color w:val="000000"/>
          <w:sz w:val="21"/>
        </w:rPr>
        <w:t>[Filed 8/2/96, Notice 5/22/96—published 8/28/96, effective 10/2/96]</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7/31/98, Notice 5/20/98—published 8/26/98, effective 10/15/98]</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ARC 9412B</w:t>
      </w:r>
      <w:r>
        <w:rPr>
          <w:rFonts w:ascii="Times New Roman" w:hAnsi="Times New Roman"/>
          <w:b w:val="false"/>
          <w:i w:val="false"/>
          <w:color w:val="000000"/>
          <w:sz w:val="21"/>
        </w:rPr>
        <w:t xml:space="preserve"> (Notice ARC 9191B,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3344C</w:t>
      </w:r>
      <w:r>
        <w:rPr>
          <w:rFonts w:ascii="Times New Roman" w:hAnsi="Times New Roman"/>
          <w:b w:val="false"/>
          <w:i w:val="false"/>
          <w:color w:val="000000"/>
          <w:sz w:val="21"/>
        </w:rPr>
        <w:t xml:space="preserve"> (Notice ARC 3135C,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[Editorial change: IAC Supplement 9/8/21]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657.35.10.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ac/rule/657.35.26.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657.35.28.pdf" Type="http://schemas.openxmlformats.org/officeDocument/2006/relationships/hyperlink" Id="rId15"/>
    <Relationship TargetMode="External" Target="https://www.legis.iowa.gov/docs/iac/rule/657.35.13.pdf" Type="http://schemas.openxmlformats.org/officeDocument/2006/relationships/hyperlink" Id="rId16"/>
    <Relationship TargetMode="External" Target="https://www.legis.iowa.gov/docs/ico/chapter/17A.11.pdf" Type="http://schemas.openxmlformats.org/officeDocument/2006/relationships/hyperlink" Id="rId17"/>
    <Relationship TargetMode="External" Target="https://www.legis.iowa.gov/docs/ico/chapter/17A.16.pdf" Type="http://schemas.openxmlformats.org/officeDocument/2006/relationships/hyperlink" Id="rId18"/>
    <Relationship TargetMode="External" Target="https://www.legis.iowa.gov/docs/iac/rule/657.35.17.pdf" Type="http://schemas.openxmlformats.org/officeDocument/2006/relationships/hyperlink" Id="rId19"/>
    <Relationship TargetMode="External" Target="https://www.legis.iowa.gov/docs/ico/chapter/272C.6.pdf" Type="http://schemas.openxmlformats.org/officeDocument/2006/relationships/hyperlink" Id="rId20"/>
    <Relationship TargetMode="External" Target="https://www.legis.iowa.gov/docs/iac/rule/657.35.20.pdf" Type="http://schemas.openxmlformats.org/officeDocument/2006/relationships/hyperlink" Id="rId21"/>
    <Relationship TargetMode="External" Target="https://www.legis.iowa.gov/docs/iac/rule/657.35.20.pdf" Type="http://schemas.openxmlformats.org/officeDocument/2006/relationships/hyperlink" Id="rId22"/>
    <Relationship TargetMode="External" Target="https://www.legis.iowa.gov/docs/iac/rule/657.35.17.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co/chapter/272C.6.pdf" Type="http://schemas.openxmlformats.org/officeDocument/2006/relationships/hyperlink" Id="rId26"/>
    <Relationship TargetMode="External" Target="https://www.legis.iowa.gov/docs/ico/chapter/622.69.pdf" Type="http://schemas.openxmlformats.org/officeDocument/2006/relationships/hyperlink" Id="rId27"/>
    <Relationship TargetMode="External" Target="https://www.legis.iowa.gov/docs/ico/chapter/622.72.pdf" Type="http://schemas.openxmlformats.org/officeDocument/2006/relationships/hyperlink" Id="rId28"/>
    <Relationship TargetMode="External" Target="https://www.legis.iowa.gov/docs/iac/rule/657.35.30.pdf" Type="http://schemas.openxmlformats.org/officeDocument/2006/relationships/hyperlink" Id="rId29"/>
    <Relationship TargetMode="External" Target="https://www.legis.iowa.gov/docs/iac/rule/657.35.13.pdf" Type="http://schemas.openxmlformats.org/officeDocument/2006/relationships/hyperlink" Id="rId30"/>
    <Relationship TargetMode="External" Target="https://www.legis.iowa.gov/docs/iac/rule/657.35.17.pdf" Type="http://schemas.openxmlformats.org/officeDocument/2006/relationships/hyperlink" Id="rId31"/>
    <Relationship TargetMode="External" Target="https://www.legis.iowa.gov/docs/iac/rule/657.35.28.pdf" Type="http://schemas.openxmlformats.org/officeDocument/2006/relationships/hyperlink" Id="rId32"/>
    <Relationship TargetMode="External" Target="https://www.legis.iowa.gov/docs/iac/rule/657.35.23.pdf" Type="http://schemas.openxmlformats.org/officeDocument/2006/relationships/hyperlink" Id="rId33"/>
    <Relationship TargetMode="External" Target="https://www.legis.iowa.gov/docs/ico/chapter/17A.13.pdf" Type="http://schemas.openxmlformats.org/officeDocument/2006/relationships/hyperlink" Id="rId34"/>
    <Relationship TargetMode="External" Target="https://www.legis.iowa.gov/docs/iac/rule/657.36.10.pdf" Type="http://schemas.openxmlformats.org/officeDocument/2006/relationships/hyperlink" Id="rId35"/>
    <Relationship TargetMode="External" Target="https://www.legis.iowa.gov/docs/iac/rule/657.36.10.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272C.6.pdf" Type="http://schemas.openxmlformats.org/officeDocument/2006/relationships/hyperlink" Id="rId38"/>
    <Relationship TargetMode="External" Target="https://www.legis.iowa.gov/docs/ico/chapter/17A.18A.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17A.12.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co/chapter/22.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17A.10-23.pdf" Type="http://schemas.openxmlformats.org/officeDocument/2006/relationships/hyperlink" Id="rId45"/>
    <Relationship TargetMode="External" Target="https://www.legis.iowa.gov/docs/ico/chapter/124.304.pdf" Type="http://schemas.openxmlformats.org/officeDocument/2006/relationships/hyperlink" Id="rId46"/>
    <Relationship TargetMode="External" Target="https://www.legis.iowa.gov/docs/ico/chapter/124B.12.pdf" Type="http://schemas.openxmlformats.org/officeDocument/2006/relationships/hyperlink" Id="rId47"/>
    <Relationship TargetMode="External" Target="https://www.legis.iowa.gov/docs/ico/chapter/126.17.pdf" Type="http://schemas.openxmlformats.org/officeDocument/2006/relationships/hyperlink" Id="rId48"/>
    <Relationship TargetMode="External" Target="https://www.legis.iowa.gov/docs/ico/chapter/147.55.pdf" Type="http://schemas.openxmlformats.org/officeDocument/2006/relationships/hyperlink" Id="rId49"/>
    <Relationship TargetMode="External" Target="https://www.legis.iowa.gov/docs/ico/chapter/155A.6-6B.pdf" Type="http://schemas.openxmlformats.org/officeDocument/2006/relationships/hyperlink" Id="rId50"/>
    <Relationship TargetMode="External" Target="https://www.legis.iowa.gov/docs/ico/chapter/155A.12.pdf" Type="http://schemas.openxmlformats.org/officeDocument/2006/relationships/hyperlink" Id="rId51"/>
    <Relationship TargetMode="External" Target="https://www.legis.iowa.gov/docs/ico/chapter/155A.13-13C.pdf" Type="http://schemas.openxmlformats.org/officeDocument/2006/relationships/hyperlink" Id="rId52"/>
    <Relationship TargetMode="External" Target="https://www.legis.iowa.gov/docs/ico/chapter/155A.15-18.pdf" Type="http://schemas.openxmlformats.org/officeDocument/2006/relationships/hyperlink" Id="rId53"/>
    <Relationship TargetMode="External" Target="https://www.legis.iowa.gov/docs/ico/chapter/155A.26.pdf" Type="http://schemas.openxmlformats.org/officeDocument/2006/relationships/hyperlink" Id="rId54"/>
    <Relationship TargetMode="External" Target="https://www.legis.iowa.gov/docs/ico/chapter/205.11.pdf" Type="http://schemas.openxmlformats.org/officeDocument/2006/relationships/hyperlink" Id="rId55"/>
    <Relationship TargetMode="External" Target="https://www.legis.iowa.gov/docs/ico/chapter/272C.3-6.pdf" Type="http://schemas.openxmlformats.org/officeDocument/2006/relationships/hyperlink" Id="rId56"/>
    <Relationship TargetMode="External" Target="https://www.legis.iowa.gov/docs/ico/chapter/272C.9.pdf" Type="http://schemas.openxmlformats.org/officeDocument/2006/relationships/hyperlink" Id="rId57"/>
    <Relationship TargetMode="External" Target="https://www.legis.iowa.gov/docs/ico/chapter/272C.10.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