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 xml:space="preserve"> WAIVERS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657—34.1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 </w:t>
      </w:r>
      <w:r>
        <w:rPr>
          <w:rFonts w:ascii="Times New Roman" w:hAnsi="Times New Roman"/>
          <w:b w:val="false"/>
          <w:i w:val="false"/>
          <w:color w:val="000000"/>
          <w:sz w:val="22"/>
        </w:rPr>
        <w:t>For purposes of this chapter, a “waiver” means action by the board which suspends, in whole or in part, the requirements or provisions of a rule as applied to an identified person or business on the basis of the particular circumstances of that person or business. For simplicity, the term “person” shall include both a person and a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657—34.2</w:t>
      </w:r>
      <w:r>
        <w:rPr>
          <w:rFonts w:ascii="Times New Roman" w:hAnsi="Times New Roman"/>
          <w:b/>
          <w:i w:val="false"/>
          <w:color w:val="000000"/>
          <w:sz w:val="22"/>
        </w:rPr>
        <w:t xml:space="preserve">(17A,124,126,147,155A,205,272C)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waivers from rules adopted by the board in situations when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3347C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657—34.3</w:t>
      </w:r>
      <w:r>
        <w:rPr>
          <w:rFonts w:ascii="Times New Roman" w:hAnsi="Times New Roman"/>
          <w:b/>
          <w:i w:val="false"/>
          <w:color w:val="000000"/>
          <w:sz w:val="22"/>
        </w:rPr>
        <w:t xml:space="preserve">(17A,124,126,147,155A,205,272C) </w:t>
      </w:r>
      <w:r>
        <w:rPr>
          <w:rFonts w:ascii="Times New Roman" w:hAnsi="Times New Roman"/>
          <w:b/>
          <w:i w:val="false"/>
          <w:color w:val="000000"/>
          <w:sz w:val="22"/>
        </w:rPr>
        <w:t xml:space="preserve">Applicability of chapter. </w:t>
      </w:r>
      <w:r>
        <w:rPr>
          <w:rFonts w:ascii="Times New Roman" w:hAnsi="Times New Roman"/>
          <w:b w:val="false"/>
          <w:i w:val="false"/>
          <w:color w:val="000000"/>
          <w:sz w:val="22"/>
        </w:rPr>
        <w:t>The board may grant a waiver from a rule only if the board has jurisdiction over the rule and the requested waiver is consistent with applicable statutes, constitutional provisions, or other provisions of law. The board may not waive requirements created or duties imposed by statute.</w:t>
      </w:r>
    </w:p>
    <w:p>
      <w:pPr>
        <w:spacing w:before="0" w:after="0"/>
        <w:ind w:left="120"/>
        <w:jc w:val="both"/>
      </w:pPr>
      <w:r>
        <w:rPr>
          <w:rFonts w:ascii="Times New Roman" w:hAnsi="Times New Roman"/>
          <w:b/>
          <w:i w:val="false"/>
          <w:color w:val="000000"/>
          <w:sz w:val="22"/>
        </w:rPr>
        <w:t>657—34.4</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In response to a petition for waiver, the board may in its sole discretion issue an order waiving in whole or in part the requirements of a rule if the board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3347C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657—34.5</w:t>
      </w:r>
      <w:r>
        <w:rPr>
          <w:rFonts w:ascii="Times New Roman" w:hAnsi="Times New Roman"/>
          <w:b/>
          <w:i w:val="false"/>
          <w:color w:val="000000"/>
          <w:sz w:val="22"/>
        </w:rPr>
        <w:t xml:space="preserve">(17A,124,126,147,155A,205,272C)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waiver shall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34.5(1)</w:t>
      </w:r>
      <w:r>
        <w:rPr>
          <w:rFonts w:ascii="Times New Roman" w:hAnsi="Times New Roman"/>
          <w:b w:val="false"/>
          <w:i w:val="false"/>
          <w:color w:val="000000"/>
          <w:sz w:val="22"/>
        </w:rPr>
        <w:t> </w:t>
      </w:r>
      <w:r>
        <w:rPr>
          <w:rFonts w:ascii="Times New Roman" w:hAnsi="Times New Roman"/>
          <w:b w:val="false"/>
          <w:i/>
          <w:color w:val="000000"/>
          <w:sz w:val="22"/>
        </w:rPr>
        <w:t xml:space="preserve">License, registration, or permit application. </w:t>
      </w:r>
      <w:r>
        <w:rPr>
          <w:rFonts w:ascii="Times New Roman" w:hAnsi="Times New Roman"/>
          <w:b w:val="false"/>
          <w:i w:val="false"/>
          <w:color w:val="000000"/>
          <w:sz w:val="22"/>
        </w:rPr>
        <w:t>If the petition relates to a license, registration, or permit application, the petition shall be made in conjunction with the application for the license, registration, or permit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procedural rule governing a pending contested case, the petition shall be filed in the contested case proceeding, using the caption of the contested case. A petition cannot be submitted to waive a substantive rule the respondent has been charged with violating in a pending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34.5(3)</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registration, or permit application or to a pending contested case, the petition may be submitted to the board’s executive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3347C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657—34.6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petitioner: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for whom a waiver is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w:t>
      </w:r>
      <w:hyperlink r:id="rId5">
        <w:r>
          <w:rPr>
            <w:rStyle w:val="Hyperlink"/>
            <w:rFonts w:ascii="Times New Roman" w:hAnsi="Times New Roman"/>
            <w:b w:val="false"/>
            <w:i w:val="false"/>
            <w:color w:val="000000"/>
            <w:sz w:val="22"/>
          </w:rPr>
          <w:t>rule 657—34.4(17A)</w:t>
        </w:r>
      </w:hyperlink>
      <w:r>
        <w:rPr>
          <w:rFonts w:ascii="Times New Roman" w:hAnsi="Times New Roman"/>
          <w:b w:val="false"/>
          <w:i w:val="false"/>
          <w:color w:val="000000"/>
          <w:sz w:val="22"/>
        </w:rPr>
        <w:t>. This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p>
    <w:p>
      <w:pPr>
        <w:spacing w:before="0" w:after="0"/>
        <w:ind w:left="120"/>
        <w:jc w:val="both"/>
      </w:pPr>
      <w:r>
        <w:rPr>
          <w:rFonts w:ascii="Times New Roman" w:hAnsi="Times New Roman"/>
          <w:b w:val="false"/>
          <w:i w:val="false"/>
          <w:color w:val="000000"/>
          <w:sz w:val="22"/>
        </w:rPr>
        <w:t xml:space="preserve"> Any information known to the petitioner regarding the board’s treatment of similar cases.</w:t>
      </w:r>
    </w:p>
    <w:p>
      <w:pPr>
        <w:spacing w:before="0" w:after="0"/>
        <w:ind w:left="120"/>
        <w:jc w:val="both"/>
      </w:pPr>
    </w:p>
    <w:p>
      <w:pPr>
        <w:spacing w:before="0" w:after="0"/>
        <w:ind w:left="120"/>
        <w:jc w:val="both"/>
      </w:pPr>
      <w:r>
        <w:rPr>
          <w:rFonts w:ascii="Times New Roman" w:hAnsi="Times New Roman"/>
          <w:b w:val="false"/>
          <w:i w:val="false"/>
          <w:color w:val="000000"/>
          <w:sz w:val="22"/>
        </w:rPr>
        <w:t>     6.   </w:t>
      </w:r>
    </w:p>
    <w:p>
      <w:pPr>
        <w:spacing w:before="0" w:after="0"/>
        <w:ind w:left="120"/>
        <w:jc w:val="both"/>
      </w:pPr>
      <w:r>
        <w:rPr>
          <w:rFonts w:ascii="Times New Roman" w:hAnsi="Times New Roman"/>
          <w:b w:val="false"/>
          <w:i w:val="false"/>
          <w:color w:val="000000"/>
          <w:sz w:val="22"/>
        </w:rPr>
        <w:t xml:space="preserve"> The name, address, and telephone number of any public agency or political subdivision which also regulates the activity in question or which might be affected by the granting of the waiver.</w:t>
      </w:r>
    </w:p>
    <w:p>
      <w:pPr>
        <w:spacing w:before="0" w:after="0"/>
        <w:ind w:left="120"/>
        <w:jc w:val="both"/>
      </w:pPr>
    </w:p>
    <w:p>
      <w:pPr>
        <w:spacing w:before="0" w:after="0"/>
        <w:ind w:left="120"/>
        <w:jc w:val="both"/>
      </w:pPr>
      <w:r>
        <w:rPr>
          <w:rFonts w:ascii="Times New Roman" w:hAnsi="Times New Roman"/>
          <w:b w:val="false"/>
          <w:i w:val="false"/>
          <w:color w:val="000000"/>
          <w:sz w:val="22"/>
        </w:rPr>
        <w:t>     7.   </w:t>
      </w:r>
    </w:p>
    <w:p>
      <w:pPr>
        <w:spacing w:before="0" w:after="0"/>
        <w:ind w:left="120"/>
        <w:jc w:val="both"/>
      </w:pPr>
      <w:r>
        <w:rPr>
          <w:rFonts w:ascii="Times New Roman" w:hAnsi="Times New Roman"/>
          <w:b w:val="false"/>
          <w:i w:val="false"/>
          <w:color w:val="000000"/>
          <w:sz w:val="22"/>
        </w:rPr>
        <w:t xml:space="preserve"> The name, address, and telephone number of any person who would be adversely affected by the granting of a petition for waiver.</w:t>
      </w:r>
    </w:p>
    <w:p>
      <w:pPr>
        <w:spacing w:before="0" w:after="0"/>
        <w:ind w:left="120"/>
        <w:jc w:val="both"/>
      </w:pPr>
    </w:p>
    <w:p>
      <w:pPr>
        <w:spacing w:before="0" w:after="0"/>
        <w:ind w:left="120"/>
        <w:jc w:val="both"/>
      </w:pPr>
      <w:r>
        <w:rPr>
          <w:rFonts w:ascii="Times New Roman" w:hAnsi="Times New Roman"/>
          <w:b w:val="false"/>
          <w:i w:val="false"/>
          <w:color w:val="000000"/>
          <w:sz w:val="22"/>
        </w:rPr>
        <w:t>     8.   </w:t>
      </w:r>
    </w:p>
    <w:p>
      <w:pPr>
        <w:spacing w:before="0" w:after="0"/>
        <w:ind w:left="120"/>
        <w:jc w:val="both"/>
      </w:pPr>
      <w:r>
        <w:rPr>
          <w:rFonts w:ascii="Times New Roman" w:hAnsi="Times New Roman"/>
          <w:b w:val="false"/>
          <w:i w:val="false"/>
          <w:color w:val="000000"/>
          <w:sz w:val="22"/>
        </w:rPr>
        <w:t xml:space="preserve"> The name, address, and telephone number of any person with knowledge of facts relevant to the proposed waiver.</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3347C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657—34.7</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and providing notice.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The board may provide notice of a petition for waiver to any person who might be affected by the waiver. The board shall provide public notice of any petitions for waiver by including any petitions for waiver on the agenda of the board meeting during which the petition for waiver will be discussed.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3347C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657—34.8</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 xml:space="preserve">Rescinded </w:t>
      </w:r>
      <w:r>
        <w:rPr>
          <w:rFonts w:ascii="Times New Roman" w:hAnsi="Times New Roman"/>
          <w:b/>
          <w:i w:val="false"/>
          <w:color w:val="000000"/>
          <w:sz w:val="22"/>
        </w:rPr>
        <w:t>ARC 3347C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9/27/17</w:t>
      </w:r>
      <w:r>
        <w:rPr>
          <w:rFonts w:ascii="Times New Roman" w:hAnsi="Times New Roman"/>
          <w:b w:val="false"/>
          <w:i w:val="false"/>
          <w:color w:val="000000"/>
          <w:sz w:val="22"/>
        </w:rPr>
        <w:t xml:space="preserve">, effective 11/1/17. </w:t>
      </w:r>
    </w:p>
    <w:p>
      <w:pPr>
        <w:spacing w:before="210" w:after="0"/>
        <w:ind w:left="120"/>
        <w:jc w:val="both"/>
      </w:pPr>
      <w:r>
        <w:rPr>
          <w:rFonts w:ascii="Times New Roman" w:hAnsi="Times New Roman"/>
          <w:b/>
          <w:i w:val="false"/>
          <w:color w:val="000000"/>
          <w:sz w:val="22"/>
        </w:rPr>
        <w:t>657—34.9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3347C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9/27/17</w:t>
      </w:r>
      <w:r>
        <w:rPr>
          <w:rFonts w:ascii="Times New Roman" w:hAnsi="Times New Roman"/>
          <w:b w:val="false"/>
          <w:i w:val="false"/>
          <w:color w:val="000000"/>
          <w:sz w:val="22"/>
        </w:rPr>
        <w:t xml:space="preserve">, effective 11/1/17. </w:t>
      </w:r>
    </w:p>
    <w:p>
      <w:pPr>
        <w:spacing w:before="0" w:after="0"/>
        <w:ind w:left="120"/>
        <w:jc w:val="both"/>
      </w:pPr>
      <w:r>
        <w:rPr>
          <w:rFonts w:ascii="Times New Roman" w:hAnsi="Times New Roman"/>
          <w:b/>
          <w:i w:val="false"/>
          <w:color w:val="000000"/>
          <w:sz w:val="22"/>
        </w:rPr>
        <w:t>657—34.10</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The order shall include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The board shall evaluate each petition for a waiver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any condition on a waiver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34.10(5)</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the waiver continue to exist.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3347C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657—34.11</w:t>
      </w:r>
      <w:r>
        <w:rPr>
          <w:rFonts w:ascii="Times New Roman" w:hAnsi="Times New Roman"/>
          <w:b/>
          <w:i w:val="false"/>
          <w:color w:val="000000"/>
          <w:sz w:val="22"/>
        </w:rPr>
        <w:t xml:space="preserve">(17A,22)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made available for public inspection as provided in Iowa Code section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waiver and orders granting or denying waiver petitions are public records under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required to keep confidential. The board may accordingly redact confidential information from petitions or orders prior to public inspection.</w:t>
      </w:r>
    </w:p>
    <w:p>
      <w:pPr>
        <w:spacing w:before="0" w:after="0"/>
        <w:ind w:left="120"/>
        <w:jc w:val="both"/>
      </w:pPr>
      <w:r>
        <w:rPr>
          <w:rFonts w:ascii="Times New Roman" w:hAnsi="Times New Roman"/>
          <w:b/>
          <w:i w:val="false"/>
          <w:color w:val="000000"/>
          <w:sz w:val="22"/>
        </w:rPr>
        <w:t>657—34.12</w:t>
      </w:r>
      <w:r>
        <w:rPr>
          <w:rFonts w:ascii="Times New Roman" w:hAnsi="Times New Roman"/>
          <w:b/>
          <w:i w:val="false"/>
          <w:color w:val="000000"/>
          <w:sz w:val="22"/>
        </w:rPr>
        <w:t xml:space="preserve">(17A)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board shall make a submission on the Internet site established pursuant to Iowa Code section </w:t>
      </w:r>
      <w:hyperlink r:id="rId8">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and a citation to the statutory provisions implemented by these rules. The submission shall include a general summary of the reasons justifying the board’s actions on waiver requests. If practicable, the submission shall detail the extent to which the granting of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657—34.13</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alternative means for ensuring adequate protection of the public health, safety and welfare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657—34.14</w:t>
      </w:r>
      <w:r>
        <w:rPr>
          <w:rFonts w:ascii="Times New Roman" w:hAnsi="Times New Roman"/>
          <w:b/>
          <w:i w:val="false"/>
          <w:color w:val="000000"/>
          <w:sz w:val="22"/>
        </w:rPr>
        <w:t xml:space="preserve">(17A,124,126,147,155A,205,272C)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657—34.15</w:t>
      </w:r>
      <w:r>
        <w:rPr>
          <w:rFonts w:ascii="Times New Roman" w:hAnsi="Times New Roman"/>
          <w:b/>
          <w:i w:val="false"/>
          <w:color w:val="000000"/>
          <w:sz w:val="22"/>
        </w:rPr>
        <w:t xml:space="preserve">(17A,124,126,147,155A,205,272C)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for the person to whom the order pertains, within the terms and the specific facts indicated therein, in any proceeding in which the rule in question is sought to be invoked.</w:t>
      </w:r>
    </w:p>
    <w:p>
      <w:pPr>
        <w:spacing w:before="210" w:after="0"/>
        <w:ind w:left="120"/>
        <w:jc w:val="both"/>
      </w:pPr>
      <w:r>
        <w:rPr>
          <w:rFonts w:ascii="Times New Roman" w:hAnsi="Times New Roman"/>
          <w:b/>
          <w:i w:val="false"/>
          <w:color w:val="000000"/>
          <w:sz w:val="22"/>
        </w:rPr>
        <w:t>657—34.16</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a board’s decision to grant or deny a waiver petition may be taken in accordance with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126.17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155A.2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205.11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205.13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2/7/01, Notice 10/18/00—published 3/7/01, effective 4/11/01]</w:t>
      </w:r>
    </w:p>
    <w:p>
      <w:pPr>
        <w:spacing w:before="0" w:after="0"/>
        <w:ind w:left="120"/>
        <w:jc w:val="center"/>
      </w:pPr>
      <w:r>
        <w:rPr>
          <w:rFonts w:ascii="Times New Roman" w:hAnsi="Times New Roman"/>
          <w:b w:val="false"/>
          <w:i w:val="false"/>
          <w:color w:val="000000"/>
          <w:sz w:val="21"/>
        </w:rPr>
        <w:t>[Filed ARC 3347C</w:t>
      </w:r>
      <w:r>
        <w:rPr>
          <w:rFonts w:ascii="Times New Roman" w:hAnsi="Times New Roman"/>
          <w:b w:val="false"/>
          <w:i w:val="false"/>
          <w:color w:val="000000"/>
          <w:sz w:val="21"/>
        </w:rPr>
        <w:t xml:space="preserve"> (Notice ARC 3134C,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5348C</w:t>
      </w:r>
      <w:r>
        <w:rPr>
          <w:rFonts w:ascii="Times New Roman" w:hAnsi="Times New Roman"/>
          <w:b w:val="false"/>
          <w:i w:val="false"/>
          <w:color w:val="000000"/>
          <w:sz w:val="21"/>
        </w:rPr>
        <w:t xml:space="preserve"> (Notice ARC 5113C, IAB 7/29/20)</w:t>
      </w:r>
      <w:r>
        <w:rPr>
          <w:rFonts w:ascii="Times New Roman" w:hAnsi="Times New Roman"/>
          <w:b w:val="false"/>
          <w:i w:val="false"/>
          <w:color w:val="000000"/>
          <w:sz w:val="21"/>
        </w:rPr>
        <w:t>, IAB 12/30/20, effective 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7.34.4.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17A.9A.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7A.9A.pdf" Type="http://schemas.openxmlformats.org/officeDocument/2006/relationships/hyperlink" Id="rId10"/>
    <Relationship TargetMode="External" Target="https://www.legis.iowa.gov/docs/ico/chapter/17A.22.pdf" Type="http://schemas.openxmlformats.org/officeDocument/2006/relationships/hyperlink" Id="rId11"/>
    <Relationship TargetMode="External" Target="https://www.legis.iowa.gov/docs/ico/chapter/22.2.pdf" Type="http://schemas.openxmlformats.org/officeDocument/2006/relationships/hyperlink" Id="rId12"/>
    <Relationship TargetMode="External" Target="https://www.legis.iowa.gov/docs/ico/chapter/124.301.pdf" Type="http://schemas.openxmlformats.org/officeDocument/2006/relationships/hyperlink" Id="rId13"/>
    <Relationship TargetMode="External" Target="https://www.legis.iowa.gov/docs/ico/chapter/126.17.pdf" Type="http://schemas.openxmlformats.org/officeDocument/2006/relationships/hyperlink" Id="rId14"/>
    <Relationship TargetMode="External" Target="https://www.legis.iowa.gov/docs/ico/chapter/147.76.pdf" Type="http://schemas.openxmlformats.org/officeDocument/2006/relationships/hyperlink" Id="rId15"/>
    <Relationship TargetMode="External" Target="https://www.legis.iowa.gov/docs/ico/chapter/155A.2.pdf" Type="http://schemas.openxmlformats.org/officeDocument/2006/relationships/hyperlink" Id="rId16"/>
    <Relationship TargetMode="External" Target="https://www.legis.iowa.gov/docs/ico/chapter/205.11.pdf" Type="http://schemas.openxmlformats.org/officeDocument/2006/relationships/hyperlink" Id="rId17"/>
    <Relationship TargetMode="External" Target="https://www.legis.iowa.gov/docs/ico/chapter/205.13.pdf" Type="http://schemas.openxmlformats.org/officeDocument/2006/relationships/hyperlink" Id="rId18"/>
    <Relationship TargetMode="External" Target="https://www.legis.iowa.gov/docs/ico/chapter/272C.3.pdf" Type="http://schemas.openxmlformats.org/officeDocument/2006/relationships/hyperlink" Id="rId19"/>
    <Relationship TargetMode="External" Target="https://www.legis.iowa.gov/docs/ico/chapter/272C.4.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