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MILITARY SERVICE AND VETERAN RECIPROCITY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5">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licensure or registration requirements for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6">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1789C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4582C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7027C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experiential or educational requirement for pharmacist licensure, pharmacist-intern registration, or technician registration by submitting a military service credit application form to the board office. The board shall make available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credit application. </w:t>
      </w:r>
      <w:r>
        <w:rPr>
          <w:rFonts w:ascii="Times New Roman" w:hAnsi="Times New Roman"/>
          <w:b w:val="false"/>
          <w:i w:val="false"/>
          <w:color w:val="000000"/>
          <w:sz w:val="22"/>
        </w:rPr>
        <w:t>A military service credit application may be submitted with an application for licensure, examination, or registration or may be submitted prior to the submission of an application for licensure, examination, or registration. No fee is required with submission of a military service credit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color w:val="000000"/>
          <w:sz w:val="22"/>
        </w:rPr>
        <w:t xml:space="preserve">Credit identified. </w:t>
      </w:r>
      <w:r>
        <w:rPr>
          <w:rFonts w:ascii="Times New Roman" w:hAnsi="Times New Roman"/>
          <w:b w:val="false"/>
          <w:i w:val="false"/>
          <w:color w:val="000000"/>
          <w:sz w:val="22"/>
        </w:rPr>
        <w:t>The applicant shall identify the experiential or educational licensure or registration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color w:val="000000"/>
          <w:sz w:val="22"/>
        </w:rPr>
        <w:t xml:space="preserve">Submission of verification documentation.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color w:val="000000"/>
          <w:sz w:val="22"/>
        </w:rPr>
        <w:t xml:space="preserve">Credit determination. </w:t>
      </w:r>
      <w:r>
        <w:rPr>
          <w:rFonts w:ascii="Times New Roman" w:hAnsi="Times New Roman"/>
          <w:b w:val="false"/>
          <w:i w:val="false"/>
          <w:color w:val="000000"/>
          <w:sz w:val="22"/>
        </w:rPr>
        <w:t>Upon receipt of a completed military service credit application, the board shall promptly determine whether the verified military education, training, or service will satisfy all or any part of the identified experiential or educational qualifications for licensure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color w:val="000000"/>
          <w:sz w:val="22"/>
        </w:rPr>
        <w:t xml:space="preserve">Granting of credit. </w:t>
      </w:r>
      <w:r>
        <w:rPr>
          <w:rFonts w:ascii="Times New Roman" w:hAnsi="Times New Roman"/>
          <w:b w:val="false"/>
          <w:i w:val="false"/>
          <w:color w:val="000000"/>
          <w:sz w:val="22"/>
        </w:rPr>
        <w:t>The board shall grant credit requested in the application in whole or in part if the board determines that the verified military education, training, or service satisfies all or part of the experiential or educational qualifications for licensure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credit determination. </w:t>
      </w:r>
      <w:r>
        <w:rPr>
          <w:rFonts w:ascii="Times New Roman" w:hAnsi="Times New Roman"/>
          <w:b w:val="false"/>
          <w:i w:val="false"/>
          <w:color w:val="000000"/>
          <w:sz w:val="22"/>
        </w:rPr>
        <w:t>The board shall inform the military service applicant in writing of the credit, if any, given toward an experiential or educational qualification for licensure or registration or explain why no credit was granted. The applicant may request reconsideration of the board’s determination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applications. </w:t>
      </w:r>
      <w:r>
        <w:rPr>
          <w:rFonts w:ascii="Times New Roman" w:hAnsi="Times New Roman"/>
          <w:b w:val="false"/>
          <w:i w:val="false"/>
          <w:color w:val="000000"/>
          <w:sz w:val="22"/>
        </w:rPr>
        <w:t>The board shall grant or deny the military service credit application prior to ruling on the application for licensure, examination, or registration. The applicant shall not be required to submit any fees in connection with the license or registration application until the board issues a determination on the military service credit application. If the board does not grant the military service credit application, the applicant may withdraw any license or registration application and application fee, if submitted, or the applicant may request that the application be placed in pending status. The withdrawal of a license or registration application and fee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1789C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spouse licensure or registration. </w:t>
      </w:r>
      <w:r>
        <w:rPr>
          <w:rFonts w:ascii="Times New Roman" w:hAnsi="Times New Roman"/>
          <w:b w:val="false"/>
          <w:i w:val="false"/>
          <w:color w:val="000000"/>
          <w:sz w:val="22"/>
        </w:rPr>
        <w:t xml:space="preserve">A veteran or spouse with an unrestricted pharmacist license in another jurisdiction may apply for pharmacist licensure in Iowa by license transfer pursuant to rule </w:t>
      </w:r>
      <w:hyperlink r:id="rId7">
        <w:r>
          <w:rPr>
            <w:rStyle w:val="Hyperlink"/>
            <w:rFonts w:ascii="Times New Roman" w:hAnsi="Times New Roman"/>
            <w:b w:val="false"/>
            <w:i w:val="false"/>
            <w:color w:val="000000"/>
            <w:sz w:val="22"/>
          </w:rPr>
          <w:t>657—2.9</w:t>
        </w:r>
      </w:hyperlink>
      <w:r>
        <w:rPr>
          <w:rFonts w:ascii="Times New Roman" w:hAnsi="Times New Roman"/>
          <w:b w:val="false"/>
          <w:i w:val="false"/>
          <w:color w:val="000000"/>
          <w:sz w:val="22"/>
        </w:rPr>
        <w:t xml:space="preserve">(147,155A) and this chapter. A veteran or spouse must pass any required examinations to be eligible for pharmacist licensure by license transfer. A veteran or spouse may submit an application for pharmacist-intern registration pursuant to </w:t>
      </w:r>
      <w:hyperlink r:id="rId8">
        <w:r>
          <w:rPr>
            <w:rStyle w:val="Hyperlink"/>
            <w:rFonts w:ascii="Times New Roman" w:hAnsi="Times New Roman"/>
            <w:b w:val="false"/>
            <w:i w:val="false"/>
            <w:color w:val="000000"/>
            <w:sz w:val="22"/>
          </w:rPr>
          <w:t>657—Chapter 4</w:t>
        </w:r>
      </w:hyperlink>
      <w:r>
        <w:rPr>
          <w:rFonts w:ascii="Times New Roman" w:hAnsi="Times New Roman"/>
          <w:b w:val="false"/>
          <w:i w:val="false"/>
          <w:color w:val="000000"/>
          <w:sz w:val="22"/>
        </w:rPr>
        <w:t xml:space="preserve"> and this chapter. A veteran or spouse may submit an application for technician registration pursuant to </w:t>
      </w:r>
      <w:hyperlink r:id="rId9">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 xml:space="preserve"> and this chapter. A veteran or spouse may submit an application for pharmacy support person registration pursuant to </w:t>
      </w:r>
      <w:hyperlink r:id="rId10">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Priority application status. </w:t>
      </w:r>
      <w:r>
        <w:rPr>
          <w:rFonts w:ascii="Times New Roman" w:hAnsi="Times New Roman"/>
          <w:b w:val="false"/>
          <w:i w:val="false"/>
          <w:color w:val="000000"/>
          <w:sz w:val="22"/>
        </w:rPr>
        <w:t xml:space="preserve">A fully completed application for licensure or registration submitted by a veteran or spouse under this chapter shall be given priority status and shall be expedited.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Such an application shall contain all of the information required of all applicants for licensure or registration who hold unrestricted licenses or registrations in other jurisdictions and who are applying for licensure or registration, including, but not limited to, completion of all required forms, payment of applicable fees, disclosure of criminal or disciplinary history, and, if applicable, a criminal history background check. In addition, the applicant shall provide such documentation as is reasonably needed to verify the applicant’s status as a veteran under Iowa Code section </w:t>
      </w:r>
      <w:hyperlink r:id="rId11">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Equivalency determination. </w:t>
      </w:r>
      <w:r>
        <w:rPr>
          <w:rFonts w:ascii="Times New Roman" w:hAnsi="Times New Roman"/>
          <w:b w:val="false"/>
          <w:i w:val="false"/>
          <w:color w:val="000000"/>
          <w:sz w:val="22"/>
        </w:rPr>
        <w:t xml:space="preserve">Upon receipt of a fully completed application for licensure or registration, the board shall promptly determine if the scope of practice in the jurisdiction where the veteran or spouse is licensed or registered is substantially equivalent to the scope of practice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Licensure or registration approval. </w:t>
      </w:r>
      <w:r>
        <w:rPr>
          <w:rFonts w:ascii="Times New Roman" w:hAnsi="Times New Roman"/>
          <w:b w:val="false"/>
          <w:i w:val="false"/>
          <w:color w:val="000000"/>
          <w:sz w:val="22"/>
        </w:rPr>
        <w:t>The board shall promptly grant a license or registration, as appropriate, to the veteran or spouse if the applicant is licensed or registered in another jurisdiction whose scope of practice is substantially equivalent to the scope of practice in Iowa, unless the applicant is ineligible for licensure or registration based on other grounds, for example, the applicant’s disciplinary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additional requirements and temporary licensure or registration. </w:t>
      </w:r>
      <w:r>
        <w:rPr>
          <w:rFonts w:ascii="Times New Roman" w:hAnsi="Times New Roman"/>
          <w:b w:val="false"/>
          <w:i w:val="false"/>
          <w:color w:val="000000"/>
          <w:sz w:val="22"/>
        </w:rPr>
        <w:t>If the board determines that the veteran or spouse is licensed or registered in another jurisdiction whose scope of practice is not substantially equivalent to the scope of practice in Iowa, the board shall promptly inform the applicant of the additional education or training required for licensure or registration in Iowa. Unless the applicant is ineligible for licensure or registration based on other grounds, such as disciplinary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not passed the required examination(s) for licensure or registration, the applicant may request that the application be placed in pending status. The board may issue a temporary 90-day license in order for a pharmacist who has applied for license transfer pursuant to rule </w:t>
      </w:r>
      <w:hyperlink r:id="rId12">
        <w:r>
          <w:rPr>
            <w:rStyle w:val="Hyperlink"/>
            <w:rFonts w:ascii="Times New Roman" w:hAnsi="Times New Roman"/>
            <w:b w:val="false"/>
            <w:i w:val="false"/>
            <w:color w:val="000000"/>
            <w:sz w:val="22"/>
          </w:rPr>
          <w:t>657—2.9</w:t>
        </w:r>
      </w:hyperlink>
      <w:r>
        <w:rPr>
          <w:rFonts w:ascii="Times New Roman" w:hAnsi="Times New Roman"/>
          <w:b w:val="false"/>
          <w:i w:val="false"/>
          <w:color w:val="000000"/>
          <w:sz w:val="22"/>
        </w:rPr>
        <w:t>(147,155A) to take and pass the multistate pharmacy jurisprudence examination (MPJE), Iowa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additional education or training is required, the applicant may request that the board issue a temporary license or registration for a specified period of time upon such conditions as the board deems reasonably necessary to protect the health, welfare, and safety of the public unless the board determines that the deficiency is of a character that the public health, welfare, or safety will be adversely affected if a temporary license or registration is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or registration is denied, the board shall issue an order fully explaining the decision and shall inform the applicant of the steps the applicant may take in order to receive a temporary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or registration is issued, the application for full licensure or registration shall be placed in pending status until the necessary education or training has been successfully completed or the temporary license or registration expires, whichever occurs first. The board may extend a temporary license or registration on a case-by-case basis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1789C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4582C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7027C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657—33.4</w:t>
      </w:r>
      <w:r>
        <w:rPr>
          <w:rFonts w:ascii="Times New Roman" w:hAnsi="Times New Roman"/>
          <w:b/>
          <w:i w:val="false"/>
          <w:color w:val="000000"/>
          <w:sz w:val="22"/>
        </w:rPr>
        <w:t xml:space="preserve">(272C) </w:t>
      </w:r>
      <w:r>
        <w:rPr>
          <w:rFonts w:ascii="Times New Roman" w:hAnsi="Times New Roman"/>
          <w:b/>
          <w:i w:val="false"/>
          <w:color w:val="000000"/>
          <w:sz w:val="22"/>
        </w:rPr>
        <w:t xml:space="preserve">Request for contested case. </w:t>
      </w:r>
      <w:r>
        <w:rPr>
          <w:rFonts w:ascii="Times New Roman" w:hAnsi="Times New Roman"/>
          <w:b w:val="false"/>
          <w:i w:val="false"/>
          <w:color w:val="000000"/>
          <w:sz w:val="22"/>
        </w:rPr>
        <w:t xml:space="preserve">A military service applicant, a veteran, or a spouse who is aggrieved by the board’s decision to deny all or part of the military service credit application, a request for a license transfer, a request for a registration, or a request for temporary license or registration, or is aggrieved by the terms under which a temporary license or registration will be granted, may request a contested case (administrative hearing) and may participate in a contested case by telephone. A request for a contested case shall be made within 30 days of issuance of the board’s decision pursuant to </w:t>
      </w:r>
      <w:hyperlink r:id="rId13">
        <w:r>
          <w:rPr>
            <w:rStyle w:val="Hyperlink"/>
            <w:rFonts w:ascii="Times New Roman" w:hAnsi="Times New Roman"/>
            <w:b w:val="false"/>
            <w:i w:val="false"/>
            <w:color w:val="000000"/>
            <w:sz w:val="22"/>
          </w:rPr>
          <w:t>657—subrule 35.30(1)</w:t>
        </w:r>
      </w:hyperlink>
      <w:r>
        <w:rPr>
          <w:rFonts w:ascii="Times New Roman" w:hAnsi="Times New Roman"/>
          <w:b w:val="false"/>
          <w:i w:val="false"/>
          <w:color w:val="000000"/>
          <w:sz w:val="22"/>
        </w:rPr>
        <w:t>. There shall be no fees or costs assessed against the military service applicant, veteran, or spouse in connection with a contested case conducted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1789C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4582C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7027C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272C.4(11)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272C.4(12)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1789C</w:t>
      </w:r>
      <w:r>
        <w:rPr>
          <w:rFonts w:ascii="Times New Roman" w:hAnsi="Times New Roman"/>
          <w:b w:val="false"/>
          <w:i w:val="false"/>
          <w:color w:val="000000"/>
          <w:sz w:val="21"/>
        </w:rPr>
        <w:t xml:space="preserve"> (Notice ARC 1641C,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4582C</w:t>
      </w:r>
      <w:r>
        <w:rPr>
          <w:rFonts w:ascii="Times New Roman" w:hAnsi="Times New Roman"/>
          <w:b w:val="false"/>
          <w:i w:val="false"/>
          <w:color w:val="000000"/>
          <w:sz w:val="21"/>
        </w:rPr>
        <w:t xml:space="preserve"> (Notice ARC 4483C,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5750C</w:t>
      </w:r>
      <w:r>
        <w:rPr>
          <w:rFonts w:ascii="Times New Roman" w:hAnsi="Times New Roman"/>
          <w:b w:val="false"/>
          <w:i w:val="false"/>
          <w:color w:val="000000"/>
          <w:sz w:val="21"/>
        </w:rPr>
        <w:t xml:space="preserve"> (Notice ARC 5454C,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7027C</w:t>
      </w:r>
      <w:r>
        <w:rPr>
          <w:rFonts w:ascii="Times New Roman" w:hAnsi="Times New Roman"/>
          <w:b w:val="false"/>
          <w:i w:val="false"/>
          <w:color w:val="000000"/>
          <w:sz w:val="21"/>
        </w:rPr>
        <w:t xml:space="preserve"> (Notice ARC 6944C, IAB 3/8/23)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A.1.pdf" Type="http://schemas.openxmlformats.org/officeDocument/2006/relationships/hyperlink" Id="rId5"/>
    <Relationship TargetMode="External" Target="https://www.legis.iowa.gov/docs/ico/chapter/35.1.pdf" Type="http://schemas.openxmlformats.org/officeDocument/2006/relationships/hyperlink" Id="rId6"/>
    <Relationship TargetMode="External" Target="https://www.legis.iowa.gov/docs/iac/rule/657.2.9.pdf" Type="http://schemas.openxmlformats.org/officeDocument/2006/relationships/hyperlink" Id="rId7"/>
    <Relationship TargetMode="External" Target="https://www.legis.iowa.gov/docs/iac/chapter/657.4.pdf" Type="http://schemas.openxmlformats.org/officeDocument/2006/relationships/hyperlink" Id="rId8"/>
    <Relationship TargetMode="External" Target="https://www.legis.iowa.gov/docs/iac/chapter/657.3.pdf" Type="http://schemas.openxmlformats.org/officeDocument/2006/relationships/hyperlink" Id="rId9"/>
    <Relationship TargetMode="External" Target="https://www.legis.iowa.gov/docs/iac/chapter/657.5.pdf" Type="http://schemas.openxmlformats.org/officeDocument/2006/relationships/hyperlink" Id="rId10"/>
    <Relationship TargetMode="External" Target="https://www.legis.iowa.gov/docs/ico/chapter/35.1.pdf" Type="http://schemas.openxmlformats.org/officeDocument/2006/relationships/hyperlink" Id="rId11"/>
    <Relationship TargetMode="External" Target="https://www.legis.iowa.gov/docs/iac/rule/657.2.9.pdf" Type="http://schemas.openxmlformats.org/officeDocument/2006/relationships/hyperlink" Id="rId12"/>
    <Relationship TargetMode="External" Target="https://www.legis.iowa.gov/docs/iac/rule/657.35.30.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272C.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