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CRIMINAL CONVICTIONS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657—31.1</w:t>
      </w:r>
      <w:r>
        <w:rPr>
          <w:rFonts w:ascii="Times New Roman" w:hAnsi="Times New Roman"/>
          <w:b/>
          <w:i w:val="false"/>
          <w:color w:val="000000"/>
          <w:sz w:val="22"/>
        </w:rPr>
        <w:t xml:space="preserve">(272C)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The purpose of this chapter is to establish the process by which an individual’s criminal history is utilized by the board in a determination of eligibility for licensure or registration and in licensing and registration decisions. This chapter applies to individuals who are seeking licensure or registration with the board and individuals who are seeking a licensure or registration eligibility determination from the board based on their prior criminal convictions.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657—31.2</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duties and responsibilities of the practice of pharmacy. A conviction is directly related to the duties and responsibilities of the practice of pharmacy if either (1) the actions taken in furtherance of an offense are actions customarily performed within the scope of pharmacy practice, or (2) the circumstances under which an offense was committed are circumstances customary to licensed pharmacy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or registration issued by the board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657—31.3</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License application. </w:t>
      </w:r>
      <w:r>
        <w:rPr>
          <w:rFonts w:ascii="Times New Roman" w:hAnsi="Times New Roman"/>
          <w:b w:val="false"/>
          <w:i w:val="false"/>
          <w:color w:val="000000"/>
          <w:sz w:val="22"/>
        </w:rPr>
        <w:t xml:space="preserve">Unless an applicant for licensure petitions the board for an eligibility determination pursuant to rule </w:t>
      </w:r>
      <w:hyperlink r:id="rId5">
        <w:r>
          <w:rPr>
            <w:rStyle w:val="Hyperlink"/>
            <w:rFonts w:ascii="Times New Roman" w:hAnsi="Times New Roman"/>
            <w:b w:val="false"/>
            <w:i w:val="false"/>
            <w:color w:val="000000"/>
            <w:sz w:val="22"/>
          </w:rPr>
          <w:t>657—31.4</w:t>
        </w:r>
      </w:hyperlink>
      <w:r>
        <w:rPr>
          <w:rFonts w:ascii="Times New Roman" w:hAnsi="Times New Roman"/>
          <w:b w:val="false"/>
          <w:i w:val="false"/>
          <w:color w:val="000000"/>
          <w:sz w:val="22"/>
        </w:rPr>
        <w:t>(272C),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Submission of criminal record and personal statement.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pharmacy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Submission of evidence of rehabilitation. </w:t>
      </w:r>
      <w:r>
        <w:rPr>
          <w:rFonts w:ascii="Times New Roman" w:hAnsi="Times New Roman"/>
          <w:b w:val="false"/>
          <w:i w:val="false"/>
          <w:color w:val="000000"/>
          <w:sz w:val="22"/>
        </w:rPr>
        <w:t>An applicant must submit as part of the license application all evidence of rehabilitation that the applicant wishes to be considered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color w:val="000000"/>
          <w:sz w:val="22"/>
        </w:rPr>
        <w:t xml:space="preserve">Board authority.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6">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31.3(5)</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requirements.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31.3(6)</w:t>
      </w:r>
      <w:r>
        <w:rPr>
          <w:rFonts w:ascii="Times New Roman" w:hAnsi="Times New Roman"/>
          <w:b w:val="false"/>
          <w:i w:val="false"/>
          <w:color w:val="000000"/>
          <w:sz w:val="22"/>
        </w:rPr>
        <w:t> </w:t>
      </w:r>
      <w:r>
        <w:rPr>
          <w:rFonts w:ascii="Times New Roman" w:hAnsi="Times New Roman"/>
          <w:b w:val="false"/>
          <w:i/>
          <w:color w:val="000000"/>
          <w:sz w:val="22"/>
        </w:rPr>
        <w:t xml:space="preserve">Nonrefundable fees. </w:t>
      </w:r>
      <w:r>
        <w:rPr>
          <w:rFonts w:ascii="Times New Roman" w:hAnsi="Times New Roman"/>
          <w:b w:val="false"/>
          <w:i w:val="false"/>
          <w:color w:val="000000"/>
          <w:sz w:val="22"/>
        </w:rPr>
        <w:t>Any application fees paid will not be refunded if the license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657—31.4</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not yet submitted a completed license application may petition the board for a determination of whether one or more of the individual’s convictions are disqualifying offenses that would render the individual ineligible for licensure. An individual with a conviction is not required to petition the board for an eligibility determination prior to applying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val="false"/>
          <w:color w:val="000000"/>
          <w:sz w:val="22"/>
        </w:rPr>
        <w:t>To petition the board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practice of pharmacy and why the board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evidence of rehabilitation that the petitioner wishes to be considered by the board;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657—31.5</w:t>
      </w:r>
      <w:r>
        <w:rPr>
          <w:rFonts w:ascii="Times New Roman" w:hAnsi="Times New Roman"/>
          <w:b/>
          <w:i w:val="false"/>
          <w:color w:val="000000"/>
          <w:sz w:val="22"/>
        </w:rPr>
        <w:t xml:space="preserve">(272C) </w:t>
      </w:r>
      <w:r>
        <w:rPr>
          <w:rFonts w:ascii="Times New Roman" w:hAnsi="Times New Roman"/>
          <w:b/>
          <w:i w:val="false"/>
          <w:color w:val="000000"/>
          <w:sz w:val="22"/>
        </w:rPr>
        <w:t xml:space="preserve">Appeal. </w:t>
      </w:r>
      <w:r>
        <w:rPr>
          <w:rFonts w:ascii="Times New Roman" w:hAnsi="Times New Roman"/>
          <w:b w:val="false"/>
          <w:i w:val="false"/>
          <w:color w:val="000000"/>
          <w:sz w:val="22"/>
        </w:rPr>
        <w:t>A petitioner deemed ineligible for licensure or an applicant denied licensure due to a disqualifying offense may appeal the decision in the manner and time frame set forth in the board’s written decision. A timely appeal will initiate a nondisciplinary contested case proceeding. The board’s rules governing contested case proceedings will apply unless otherwise specified in these rules. If the petitioner or applicant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The contested case hearing shall be closed to the public, and the board’s review of a proposed decision shall occur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office of the attorney general shall represent the board’s initial ineligibility determination or license denial and shall have the burden of proof to establish that the convictions of the petitioner or applicant include at least one disqualifying offense. Upon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A petitioner or applicant must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shall be in accordance with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657—31.6</w:t>
      </w:r>
      <w:r>
        <w:rPr>
          <w:rFonts w:ascii="Times New Roman" w:hAnsi="Times New Roman"/>
          <w:b/>
          <w:i w:val="false"/>
          <w:color w:val="000000"/>
          <w:sz w:val="22"/>
        </w:rPr>
        <w:t xml:space="preserve">(272C) </w:t>
      </w:r>
      <w:r>
        <w:rPr>
          <w:rFonts w:ascii="Times New Roman" w:hAnsi="Times New Roman"/>
          <w:b/>
          <w:i w:val="false"/>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5750C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272C.1(8)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5750C</w:t>
      </w:r>
      <w:r>
        <w:rPr>
          <w:rFonts w:ascii="Times New Roman" w:hAnsi="Times New Roman"/>
          <w:b w:val="false"/>
          <w:i w:val="false"/>
          <w:color w:val="000000"/>
          <w:sz w:val="21"/>
        </w:rPr>
        <w:t xml:space="preserve"> (Notice ARC 5454C, IAB 2/24/21)</w:t>
      </w:r>
      <w:r>
        <w:rPr>
          <w:rFonts w:ascii="Times New Roman" w:hAnsi="Times New Roman"/>
          <w:b w:val="false"/>
          <w:i w:val="false"/>
          <w:color w:val="000000"/>
          <w:sz w:val="21"/>
        </w:rPr>
        <w:t>, IAB 7/14/21, effective 8/18/21]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7.31.4.pdf" Type="http://schemas.openxmlformats.org/officeDocument/2006/relationships/hyperlink" Id="rId5"/>
    <Relationship TargetMode="External" Target="https://www.legis.iowa.gov/docs/ico/chapter/272C.15.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72C.1.pdf" Type="http://schemas.openxmlformats.org/officeDocument/2006/relationships/hyperlink" Id="rId8"/>
    <Relationship TargetMode="External" Target="https://www.legis.iowa.gov/docs/ico/chapter/272C.1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