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IOWA MONITORING PROGRAM FOR PHARMACY PROFESSIONALS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657—30.1</w:t>
      </w:r>
      <w:r>
        <w:rPr>
          <w:rFonts w:ascii="Times New Roman" w:hAnsi="Times New Roman"/>
          <w:b/>
          <w:i w:val="false"/>
          <w:color w:val="000000"/>
          <w:sz w:val="22"/>
        </w:rPr>
        <w:t xml:space="preserve">(272C) </w:t>
      </w:r>
      <w:r>
        <w:rPr>
          <w:rFonts w:ascii="Times New Roman" w:hAnsi="Times New Roman"/>
          <w:b/>
          <w:i w:val="false"/>
          <w:color w:val="000000"/>
          <w:sz w:val="22"/>
        </w:rPr>
        <w:t xml:space="preserve">Iowa monitoring program for pharmacy professionals committee. </w:t>
      </w:r>
      <w:r>
        <w:rPr>
          <w:rFonts w:ascii="Times New Roman" w:hAnsi="Times New Roman"/>
          <w:b w:val="false"/>
          <w:i w:val="false"/>
          <w:color w:val="000000"/>
          <w:sz w:val="22"/>
        </w:rPr>
        <w:t xml:space="preserve">Pursuant to the authority of Iowa Code section </w:t>
      </w:r>
      <w:hyperlink r:id="rId5">
        <w:r>
          <w:rPr>
            <w:rStyle w:val="Hyperlink"/>
            <w:rFonts w:ascii="Times New Roman" w:hAnsi="Times New Roman"/>
            <w:b w:val="false"/>
            <w:i w:val="false"/>
            <w:color w:val="000000"/>
            <w:sz w:val="22"/>
          </w:rPr>
          <w:t>272C.3(1)</w:t>
        </w:r>
      </w:hyperlink>
      <w:r>
        <w:rPr>
          <w:rFonts w:ascii="Times New Roman" w:hAnsi="Times New Roman"/>
          <w:b w:val="false"/>
          <w:i/>
          <w:color w:val="000000"/>
          <w:sz w:val="22"/>
        </w:rPr>
        <w:t>“k,”</w:t>
      </w:r>
      <w:r>
        <w:rPr>
          <w:rFonts w:ascii="Times New Roman" w:hAnsi="Times New Roman"/>
          <w:b w:val="false"/>
          <w:i w:val="false"/>
          <w:color w:val="000000"/>
          <w:sz w:val="22"/>
        </w:rPr>
        <w:t xml:space="preserve"> the board establishes the committee for the Iowa monitoring program for pharmacy professionals. The purpose of the committee is to provide a program to support the evaluation and monitoring of licensees who are impaired as a result of alcohol or drug abuse, dependency, or addiction, or by any mental or physical disorder or disability, while protecting the health, safety and welfare of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2834C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657—30.2</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Iowa monitoring program for pharmacy professionals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means the written document executed by an applicant or licensee and the committee after the committee receives a report from an approved treatment provider, which establishes the terms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“Impairment” </w:t>
      </w:r>
      <w:r>
        <w:rPr>
          <w:rFonts w:ascii="Times New Roman" w:hAnsi="Times New Roman"/>
          <w:b w:val="false"/>
          <w:i w:val="false"/>
          <w:color w:val="000000"/>
          <w:sz w:val="22"/>
        </w:rPr>
        <w:t>means an inability, or significant potential for inability, to practice with reasonable safety and skill as a result of a diagnosed substance use disorder or any diagnosed mental or physical health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agreement” </w:t>
      </w:r>
      <w:r>
        <w:rPr>
          <w:rFonts w:ascii="Times New Roman" w:hAnsi="Times New Roman"/>
          <w:b w:val="false"/>
          <w:i w:val="false"/>
          <w:color w:val="000000"/>
          <w:sz w:val="22"/>
        </w:rPr>
        <w:t>means the written document establishing the initial terms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pharmacist licensed by the board, a pharmacist-intern registered with the board, or a pharmacy technician registered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an applicant or licensee who does any of the following: self-reports an impairment to the program, is referred to the program by the board, signs an initial agreement with the committee, or signs a contract with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Iowa monitoring program for pharmacy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“Self-report” </w:t>
      </w:r>
      <w:r>
        <w:rPr>
          <w:rFonts w:ascii="Times New Roman" w:hAnsi="Times New Roman"/>
          <w:b w:val="false"/>
          <w:i w:val="false"/>
          <w:color w:val="000000"/>
          <w:sz w:val="22"/>
        </w:rPr>
        <w:t>means that an applicant or licensee provides written notification to the program that the applicant or licensee has been, is, or may be impaired. Information related to impairment or a potential impairment which is provided on a license application or renewal form may be considered a self-report.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2834C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657—30.3</w:t>
      </w:r>
      <w:r>
        <w:rPr>
          <w:rFonts w:ascii="Times New Roman" w:hAnsi="Times New Roman"/>
          <w:b/>
          <w:i w:val="false"/>
          <w:color w:val="000000"/>
          <w:sz w:val="22"/>
        </w:rPr>
        <w:t xml:space="preserve">(272C) </w:t>
      </w:r>
      <w:r>
        <w:rPr>
          <w:rFonts w:ascii="Times New Roman" w:hAnsi="Times New Roman"/>
          <w:b/>
          <w:i w:val="false"/>
          <w:color w:val="000000"/>
          <w:sz w:val="22"/>
        </w:rPr>
        <w:t xml:space="preserve">Organization of the committee. </w:t>
      </w:r>
      <w:r>
        <w:rPr>
          <w:rFonts w:ascii="Times New Roman" w:hAnsi="Times New Roman"/>
          <w:b w:val="false"/>
          <w:i w:val="false"/>
          <w:color w:val="000000"/>
          <w:sz w:val="22"/>
        </w:rPr>
        <w:t>The board shall appoint the members of the Iowa monitoring program for pharmacy professionals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The membership of the committee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of the board or the director’s designee from board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representative from the Drake University College of Pharmacy and Health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representative from the University of Iowa College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board of pharmacy licensee who has maintained sobriety for a period of no less than two years following successful completion of a recovery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health care professional with expertise in substance use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One health care professional with expertise in mental health;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One public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30.3(2)</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At the last meeting of each calendar year, the committee shall elect a chairperson and a vice chairperson, each of whom will begin serving a one-year term on January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chairperson is responsible for offering guidance and direction to staff between regularly scheduled committee meetings, including guidance and direction concerning program descriptions, interim restrictions on practice, and negotiation and execution of initial agreements and contracts on behalf of the committee. The committee retains authority to review all interim decisions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vice chairperson is responsible for providing guidance and direction to staff between regularly scheduled committee meetings if the chairperson is unavailable or unable to assist in a particular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30.3(3)</w:t>
      </w:r>
      <w:r>
        <w:rPr>
          <w:rFonts w:ascii="Times New Roman" w:hAnsi="Times New Roman"/>
          <w:b w:val="false"/>
          <w:i w:val="false"/>
          <w:color w:val="000000"/>
          <w:sz w:val="22"/>
        </w:rPr>
        <w:t> </w:t>
      </w:r>
      <w:r>
        <w:rPr>
          <w:rFonts w:ascii="Times New Roman" w:hAnsi="Times New Roman"/>
          <w:b w:val="false"/>
          <w:i/>
          <w:color w:val="000000"/>
          <w:sz w:val="22"/>
        </w:rPr>
        <w:t xml:space="preserve">Terms. </w:t>
      </w:r>
      <w:r>
        <w:rPr>
          <w:rFonts w:ascii="Times New Roman" w:hAnsi="Times New Roman"/>
          <w:b w:val="false"/>
          <w:i w:val="false"/>
          <w:color w:val="000000"/>
          <w:sz w:val="22"/>
        </w:rPr>
        <w:t>Committee members, except the executive director or designee, shall be appointed for three-year terms and shall serve for a maximum of three terms. Each term shall expire on December 31 of the third year of the term.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2834C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657—30.4</w:t>
      </w:r>
      <w:r>
        <w:rPr>
          <w:rFonts w:ascii="Times New Roman" w:hAnsi="Times New Roman"/>
          <w:b/>
          <w:i w:val="false"/>
          <w:color w:val="000000"/>
          <w:sz w:val="22"/>
        </w:rPr>
        <w:t xml:space="preserve">(272C)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w:t>
      </w:r>
      <w:r>
        <w:rPr>
          <w:rFonts w:ascii="Times New Roman" w:hAnsi="Times New Roman"/>
          <w:b w:val="false"/>
          <w:i w:val="false"/>
          <w:color w:val="000000"/>
          <w:sz w:val="22"/>
        </w:rPr>
        <w:t> </w:t>
      </w:r>
      <w:r>
        <w:rPr>
          <w:rFonts w:ascii="Times New Roman" w:hAnsi="Times New Roman"/>
          <w:b w:val="false"/>
          <w:i/>
          <w:color w:val="000000"/>
          <w:sz w:val="22"/>
        </w:rPr>
        <w:t xml:space="preserve">Self-report. </w:t>
      </w:r>
      <w:r>
        <w:rPr>
          <w:rFonts w:ascii="Times New Roman" w:hAnsi="Times New Roman"/>
          <w:b w:val="false"/>
          <w:i w:val="false"/>
          <w:color w:val="000000"/>
          <w:sz w:val="22"/>
        </w:rPr>
        <w:t>An applicant or a licensee shall self-report an impairment or potential impairment directly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w:t>
      </w:r>
      <w:r>
        <w:rPr>
          <w:rFonts w:ascii="Times New Roman" w:hAnsi="Times New Roman"/>
          <w:b w:val="false"/>
          <w:i w:val="false"/>
          <w:color w:val="000000"/>
          <w:sz w:val="22"/>
        </w:rPr>
        <w:t> </w:t>
      </w:r>
      <w:r>
        <w:rPr>
          <w:rFonts w:ascii="Times New Roman" w:hAnsi="Times New Roman"/>
          <w:b w:val="false"/>
          <w:i/>
          <w:color w:val="000000"/>
          <w:sz w:val="22"/>
        </w:rPr>
        <w:t xml:space="preserve">Board referral. </w:t>
      </w:r>
      <w:r>
        <w:rPr>
          <w:rFonts w:ascii="Times New Roman" w:hAnsi="Times New Roman"/>
          <w:b w:val="false"/>
          <w:i w:val="false"/>
          <w:color w:val="000000"/>
          <w:sz w:val="22"/>
        </w:rPr>
        <w:t>The board may refer an applicant or licensee to the program if a complaint or investigation reveals an impairment or potential impairment and the board determines that the applicant or licensee is an appropriate candidate for review by the committee. The board may refer a licensee to the program in a public disciplinary order or other public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w:t>
      </w:r>
      <w:r>
        <w:rPr>
          <w:rFonts w:ascii="Times New Roman" w:hAnsi="Times New Roman"/>
          <w:b w:val="false"/>
          <w:i w:val="false"/>
          <w:color w:val="000000"/>
          <w:sz w:val="22"/>
        </w:rPr>
        <w:t> </w:t>
      </w:r>
      <w:r>
        <w:rPr>
          <w:rFonts w:ascii="Times New Roman" w:hAnsi="Times New Roman"/>
          <w:b w:val="false"/>
          <w:i/>
          <w:color w:val="000000"/>
          <w:sz w:val="22"/>
        </w:rPr>
        <w:t xml:space="preserve">Review by the committee. </w:t>
      </w:r>
      <w:r>
        <w:rPr>
          <w:rFonts w:ascii="Times New Roman" w:hAnsi="Times New Roman"/>
          <w:b w:val="false"/>
          <w:i w:val="false"/>
          <w:color w:val="000000"/>
          <w:sz w:val="22"/>
        </w:rPr>
        <w:t>The committee will determine on a case-by-case basis whether an applicant or licensee who self-reports or is referred by the board is an appropriate candidate for participation in the program. Several factors may lead to the committee’s determination that an applicant or licensee is ineligible to participate in the program, including but not limited to if the committee finds sufficient evidence that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Diverted drugs for distribution to third parties or for personal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Adulterated, misbranded, or otherwise tampered with drugs intended for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Provided inaccurate, misleading, or fraudulent information or failed to fully cooperate with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Participated in the program, or a similar program offered by another state, without success;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Failed to sign an initial agreement or a contract when offered by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w:t>
      </w:r>
      <w:r>
        <w:rPr>
          <w:rFonts w:ascii="Times New Roman" w:hAnsi="Times New Roman"/>
          <w:b w:val="false"/>
          <w:i w:val="false"/>
          <w:color w:val="000000"/>
          <w:sz w:val="22"/>
        </w:rPr>
        <w:t> </w:t>
      </w:r>
      <w:r>
        <w:rPr>
          <w:rFonts w:ascii="Times New Roman" w:hAnsi="Times New Roman"/>
          <w:b w:val="false"/>
          <w:i/>
          <w:color w:val="000000"/>
          <w:sz w:val="22"/>
        </w:rPr>
        <w:t xml:space="preserve">Discretion. </w:t>
      </w:r>
      <w:r>
        <w:rPr>
          <w:rFonts w:ascii="Times New Roman" w:hAnsi="Times New Roman"/>
          <w:b w:val="false"/>
          <w:i w:val="false"/>
          <w:color w:val="000000"/>
          <w:sz w:val="22"/>
        </w:rPr>
        <w:t>Eligibility of a person to participate in the program is at the sole discretion of the committee. No person is entitled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w:t>
      </w:r>
      <w:r>
        <w:rPr>
          <w:rFonts w:ascii="Times New Roman" w:hAnsi="Times New Roman"/>
          <w:b w:val="false"/>
          <w:i w:val="false"/>
          <w:color w:val="000000"/>
          <w:sz w:val="22"/>
        </w:rPr>
        <w:t> </w:t>
      </w:r>
      <w:r>
        <w:rPr>
          <w:rFonts w:ascii="Times New Roman" w:hAnsi="Times New Roman"/>
          <w:b w:val="false"/>
          <w:i/>
          <w:color w:val="000000"/>
          <w:sz w:val="22"/>
        </w:rPr>
        <w:t xml:space="preserve">Authority and jurisdiction. </w:t>
      </w:r>
      <w:r>
        <w:rPr>
          <w:rFonts w:ascii="Times New Roman" w:hAnsi="Times New Roman"/>
          <w:b w:val="false"/>
          <w:i w:val="false"/>
          <w:color w:val="000000"/>
          <w:sz w:val="22"/>
        </w:rPr>
        <w:t>Participation in the program does not divest the board of its authority or jurisdiction over the participant. A participant with an impairment or potential impairment may be eligible to participate in the program while being subject to investigation or discipline by the board for matters other than the alleged impairment.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2834C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657—30.5</w:t>
      </w:r>
      <w:r>
        <w:rPr>
          <w:rFonts w:ascii="Times New Roman" w:hAnsi="Times New Roman"/>
          <w:b/>
          <w:i w:val="false"/>
          <w:color w:val="000000"/>
          <w:sz w:val="22"/>
        </w:rPr>
        <w:t xml:space="preserve">(272C) </w:t>
      </w:r>
      <w:r>
        <w:rPr>
          <w:rFonts w:ascii="Times New Roman" w:hAnsi="Times New Roman"/>
          <w:b/>
          <w:i w:val="false"/>
          <w:color w:val="000000"/>
          <w:sz w:val="22"/>
        </w:rPr>
        <w:t xml:space="preserve">Terms of participation. </w:t>
      </w:r>
      <w:r>
        <w:rPr>
          <w:rFonts w:ascii="Times New Roman" w:hAnsi="Times New Roman"/>
          <w:b w:val="false"/>
          <w:i w:val="false"/>
          <w:color w:val="000000"/>
          <w:sz w:val="22"/>
        </w:rPr>
        <w:t>A participant shall agree to comply with the program terms of participation established in the initial agreement and the contract. Participants will be responsible for all expenses incurred to comply with the terms imposed by the program. Terms of participation specified in the contract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30.5(1)</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The length of time a participant may participate in the program shall be determined by the committee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Participation in the program for participants impaired as a result of a substance use disorder is set at a minimum of three years. The committee may offer a contract with a shorter duration to a participant who can demonstrate successful participation in another state’s monitoring program, who can document similar experience, or who, as a board referral, has successfully completed a portion of the monitoring period established in the board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Length of participation in the program for participants with impairments resulting from mental or physical conditions will vary depending upon the recommendations provided by health care providers and the determination of the committee following review of all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The committee shall establish terms of participation designed to meet the specific needs of a participant. The committee shall determine the type of recovery, rehabilitation, or maintenance program required to treat the participant’s impairment. The contract shall provide a detailed description of the goals of the program, the requirements for successful participation, and the participant’s obligations therein. The committee may establish terms of participation specific to a participant’s impairment including, but not limited to, the following: treatment, aftercare, worksite monitoring, chemical screening, further evaluations, structured recovery meetings, therapy, and 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w:t>
      </w:r>
      <w:r>
        <w:rPr>
          <w:rFonts w:ascii="Times New Roman" w:hAnsi="Times New Roman"/>
          <w:b w:val="false"/>
          <w:i w:val="false"/>
          <w:color w:val="000000"/>
          <w:sz w:val="22"/>
        </w:rPr>
        <w:t> </w:t>
      </w:r>
      <w:r>
        <w:rPr>
          <w:rFonts w:ascii="Times New Roman" w:hAnsi="Times New Roman"/>
          <w:b w:val="false"/>
          <w:i/>
          <w:color w:val="000000"/>
          <w:sz w:val="22"/>
        </w:rPr>
        <w:t xml:space="preserve">Practice restrictions. </w:t>
      </w:r>
      <w:r>
        <w:rPr>
          <w:rFonts w:ascii="Times New Roman" w:hAnsi="Times New Roman"/>
          <w:b w:val="false"/>
          <w:i w:val="false"/>
          <w:color w:val="000000"/>
          <w:sz w:val="22"/>
        </w:rPr>
        <w:t>The committee may impose restrictions on the license to practice as a term of the initial agreement or contract until such time as the committee receives a report from an approved evaluator, and the committee determines, based on all relevant information, that the participant is capable of practicing with reasonable skill and safety. As a condition of participation in the program, a licensee is required to agree to restricted practice in accordance with the terms specified in the initial agreement or contract. In the event the licensee refuses to agree to or comply with the practice restrictions, the committee shall refer the licensee to the board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Noncompliance is the failure to adhere to the terms of the initial agreement or contract. Participants shall promptly notify the committee of any instances of noncompliance, including relapse. Any instances of significant noncompliance shall be reported by the committee to the board. The report shall include a description of the noncompliance and the committee’s recommendation as to whether the participant should remain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2834C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657—30.6</w:t>
      </w:r>
      <w:r>
        <w:rPr>
          <w:rFonts w:ascii="Times New Roman" w:hAnsi="Times New Roman"/>
          <w:b/>
          <w:i w:val="false"/>
          <w:color w:val="000000"/>
          <w:sz w:val="22"/>
        </w:rPr>
        <w:t xml:space="preserve">(272C)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Information in the possession of the board or the committee shall be subject to the confidentiality requirements of Iowa Code section </w:t>
      </w:r>
      <w:hyperlink r:id="rId6">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Information about participants in the program shall not be disclosed except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committee is authorized, pursuant to Iowa Code section </w:t>
      </w:r>
      <w:hyperlink r:id="rId7">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to communicate information about a current or former program participant to the applicable regulatory authorities or licensee monitoring programs in the state of Iowa and in any jurisdiction of the United States or foreign nations in which the participant is currently licensed or in which the participant seeks licensure. Program participants must report their participation to the applicable monitoring program or licensing authority in any state in which the participant is currently licensed or in which the participant seeks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30.6(2)</w:t>
      </w:r>
      <w:r>
        <w:rPr>
          <w:rFonts w:ascii="Times New Roman" w:hAnsi="Times New Roman"/>
          <w:b w:val="false"/>
          <w:i w:val="false"/>
          <w:color w:val="000000"/>
          <w:sz w:val="22"/>
        </w:rPr>
        <w:t> </w:t>
      </w:r>
      <w:r>
        <w:rPr>
          <w:rFonts w:ascii="Times New Roman" w:hAnsi="Times New Roman"/>
          <w:b w:val="false"/>
          <w:i w:val="false"/>
          <w:color w:val="000000"/>
          <w:sz w:val="22"/>
        </w:rPr>
        <w:t>The committee is authorized to communicate information about a program participant to any person assisting in the participant’s treatment, recovery, rehabilitation, monitoring, or maintenance for the duration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committee is authorized to communicate information about a program participant to the board in the event a participant does not comply with the terms of the contract as set forth in rule </w:t>
      </w:r>
      <w:hyperlink r:id="rId8">
        <w:r>
          <w:rPr>
            <w:rStyle w:val="Hyperlink"/>
            <w:rFonts w:ascii="Times New Roman" w:hAnsi="Times New Roman"/>
            <w:b w:val="false"/>
            <w:i w:val="false"/>
            <w:color w:val="000000"/>
            <w:sz w:val="22"/>
          </w:rPr>
          <w:t>657—30.5</w:t>
        </w:r>
      </w:hyperlink>
      <w:r>
        <w:rPr>
          <w:rFonts w:ascii="Times New Roman" w:hAnsi="Times New Roman"/>
          <w:b w:val="false"/>
          <w:i w:val="false"/>
          <w:color w:val="000000"/>
          <w:sz w:val="22"/>
        </w:rPr>
        <w:t>(272C). The committee may provide the board with a participant’s program file in the event the participant does not comply with the terms of the contract and the committee refers the case to the board for the filing of formal disciplinary charges or other appropriate action. If the board initiates disciplinary action against a licensee for noncompliance with the terms of the contract, the board may include in the public disciplinary documents information about a licensee’s participation in the program. The committee is also authorized to communicate information about a participant to the board in the event that the participant is under investigation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30.6(4)</w:t>
      </w:r>
      <w:r>
        <w:rPr>
          <w:rFonts w:ascii="Times New Roman" w:hAnsi="Times New Roman"/>
          <w:b w:val="false"/>
          <w:i w:val="false"/>
          <w:color w:val="000000"/>
          <w:sz w:val="22"/>
        </w:rPr>
        <w:t> </w:t>
      </w:r>
      <w:r>
        <w:rPr>
          <w:rFonts w:ascii="Times New Roman" w:hAnsi="Times New Roman"/>
          <w:b w:val="false"/>
          <w:i w:val="false"/>
          <w:color w:val="000000"/>
          <w:sz w:val="22"/>
        </w:rPr>
        <w:t>The committee is authorized to communicate information about a current or former program participant to the board if reliable information held by the committee reasonably indicates that a significant risk to the public exists. If the board initiates disciplinary action based upon this information, the board may include in the public disciplinary documents information about a licensee’s participation if necessary to address impairment issues related to the violations which are the subject of the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2834C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657—30.7</w:t>
      </w:r>
      <w:r>
        <w:rPr>
          <w:rFonts w:ascii="Times New Roman" w:hAnsi="Times New Roman"/>
          <w:b/>
          <w:i w:val="false"/>
          <w:color w:val="000000"/>
          <w:sz w:val="22"/>
        </w:rPr>
        <w:t xml:space="preserve">(28E) </w:t>
      </w:r>
      <w:r>
        <w:rPr>
          <w:rFonts w:ascii="Times New Roman" w:hAnsi="Times New Roman"/>
          <w:b/>
          <w:i w:val="false"/>
          <w:color w:val="000000"/>
          <w:sz w:val="22"/>
        </w:rPr>
        <w:t xml:space="preserve">Authority for 28E agreements. </w:t>
      </w:r>
      <w:r>
        <w:rPr>
          <w:rFonts w:ascii="Times New Roman" w:hAnsi="Times New Roman"/>
          <w:b w:val="false"/>
          <w:i w:val="false"/>
          <w:color w:val="000000"/>
          <w:sz w:val="22"/>
        </w:rPr>
        <w:t>The committee may enter into 28E agreements with other health professional licensing boards to evaluate, assist, and monitor impaired licensees from other health professions who self-report and to report to those professional licensing boards regarding the compliance of individual licensees. In the event of noncompliance, the licensee may be referred to the appropriate licensing board for appropriate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2834C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272C.3(1)</w:t>
        </w:r>
      </w:hyperlink>
      <w:r>
        <w:rPr>
          <w:rFonts w:ascii="Times New Roman" w:hAnsi="Times New Roman"/>
          <w:b w:val="false"/>
          <w:i/>
          <w:color w:val="000000"/>
          <w:sz w:val="22"/>
        </w:rPr>
        <w:t>“k.”</w:t>
      </w:r>
    </w:p>
    <w:p>
      <w:pPr>
        <w:spacing w:before="0" w:after="0"/>
        <w:ind w:left="120"/>
        <w:jc w:val="center"/>
      </w:pPr>
      <w:r>
        <w:rPr>
          <w:rFonts w:ascii="Times New Roman" w:hAnsi="Times New Roman"/>
          <w:b w:val="false"/>
          <w:i w:val="false"/>
          <w:color w:val="000000"/>
          <w:sz w:val="21"/>
        </w:rPr>
        <w:t>[Filed 4/30/98, Notice 3/25/98—published 5/20/98, effective 6/24/98]</w:t>
      </w:r>
    </w:p>
    <w:p>
      <w:pPr>
        <w:spacing w:before="0" w:after="0"/>
        <w:ind w:left="120"/>
        <w:jc w:val="center"/>
      </w:pPr>
      <w:r>
        <w:rPr>
          <w:rFonts w:ascii="Times New Roman" w:hAnsi="Times New Roman"/>
          <w:b w:val="false"/>
          <w:i w:val="false"/>
          <w:color w:val="000000"/>
          <w:sz w:val="21"/>
        </w:rPr>
        <w:t>[Filed 10/24/02, Notice 7/24/02—published 11/13/02, effective 12/18/02]</w:t>
      </w:r>
    </w:p>
    <w:p>
      <w:pPr>
        <w:spacing w:before="0" w:after="0"/>
        <w:ind w:left="120"/>
        <w:jc w:val="center"/>
      </w:pPr>
      <w:r>
        <w:rPr>
          <w:rFonts w:ascii="Times New Roman" w:hAnsi="Times New Roman"/>
          <w:b w:val="false"/>
          <w:i w:val="false"/>
          <w:color w:val="000000"/>
          <w:sz w:val="21"/>
        </w:rPr>
        <w:t>[Filed 6/2/05, Notice 3/16/05—published 6/22/05, effective 7/27/05]</w:t>
      </w:r>
    </w:p>
    <w:p>
      <w:pPr>
        <w:spacing w:before="0" w:after="0"/>
        <w:ind w:left="120"/>
        <w:jc w:val="center"/>
      </w:pPr>
      <w:r>
        <w:rPr>
          <w:rFonts w:ascii="Times New Roman" w:hAnsi="Times New Roman"/>
          <w:b w:val="false"/>
          <w:i w:val="false"/>
          <w:color w:val="000000"/>
          <w:sz w:val="21"/>
        </w:rPr>
        <w:t>[Filed ARC 0504C</w:t>
      </w:r>
      <w:r>
        <w:rPr>
          <w:rFonts w:ascii="Times New Roman" w:hAnsi="Times New Roman"/>
          <w:b w:val="false"/>
          <w:i w:val="false"/>
          <w:color w:val="000000"/>
          <w:sz w:val="21"/>
        </w:rPr>
        <w:t xml:space="preserve"> (Notice ARC 0351C,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2834C</w:t>
      </w:r>
      <w:r>
        <w:rPr>
          <w:rFonts w:ascii="Times New Roman" w:hAnsi="Times New Roman"/>
          <w:b w:val="false"/>
          <w:i w:val="false"/>
          <w:color w:val="000000"/>
          <w:sz w:val="21"/>
        </w:rPr>
        <w:t xml:space="preserve"> (Notice ARC 2662C, IAB 8/3/16)</w:t>
      </w:r>
      <w:r>
        <w:rPr>
          <w:rFonts w:ascii="Times New Roman" w:hAnsi="Times New Roman"/>
          <w:b w:val="false"/>
          <w:i w:val="false"/>
          <w:color w:val="000000"/>
          <w:sz w:val="21"/>
        </w:rPr>
        <w:t>, IAB 12/7/16, effective 1/11/17]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co/chapter/272C.6.pdf" Type="http://schemas.openxmlformats.org/officeDocument/2006/relationships/hyperlink" Id="rId6"/>
    <Relationship TargetMode="External" Target="https://www.legis.iowa.gov/docs/ico/chapter/272C.6.pdf" Type="http://schemas.openxmlformats.org/officeDocument/2006/relationships/hyperlink" Id="rId7"/>
    <Relationship TargetMode="External" Target="https://www.legis.iowa.gov/docs/iac/rule/657.30.5.pdf" Type="http://schemas.openxmlformats.org/officeDocument/2006/relationships/hyperlink" Id="rId8"/>
    <Relationship TargetMode="External" Target="https://www.legis.iowa.gov/docs/ico/chapter/272C.3.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