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PHARMACY TECHNICIANS</w:t>
      </w:r>
    </w:p>
    <w:p>
      <w:pPr>
        <w:spacing w:before="0" w:after="0"/>
        <w:ind w:left="120"/>
        <w:jc w:val="center"/>
      </w:pPr>
      <w:r>
        <w:rPr>
          <w:rFonts w:ascii="Times New Roman" w:hAnsi="Times New Roman"/>
          <w:b w:val="false"/>
          <w:i w:val="false"/>
          <w:color w:val="000000"/>
          <w:sz w:val="14"/>
        </w:rPr>
        <w:t>[Prior to 9/4/02, see 657—Ch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657—3.1</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“Cashier” </w:t>
      </w:r>
      <w:r>
        <w:rPr>
          <w:rFonts w:ascii="Times New Roman" w:hAnsi="Times New Roman"/>
          <w:b w:val="false"/>
          <w:i w:val="false"/>
          <w:color w:val="000000"/>
          <w:sz w:val="22"/>
        </w:rPr>
        <w:t>means a person whose duties within the pharmacy are limited to accessing finished, packaged prescription orders and processing payments for and delivering such orders to the patient or the patient’s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“certified technician” </w:t>
      </w:r>
      <w:r>
        <w:rPr>
          <w:rFonts w:ascii="Times New Roman" w:hAnsi="Times New Roman"/>
          <w:b w:val="false"/>
          <w:i w:val="false"/>
          <w:color w:val="000000"/>
          <w:sz w:val="22"/>
        </w:rPr>
        <w:t>means an individual who holds a valid current national certification and who has registered with the board as a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means the transport and conveyance of a finished, securely packaged prescription order to the patient or the patient’s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“Nationally accredited program” </w:t>
      </w:r>
      <w:r>
        <w:rPr>
          <w:rFonts w:ascii="Times New Roman" w:hAnsi="Times New Roman"/>
          <w:b w:val="false"/>
          <w:i w:val="false"/>
          <w:color w:val="000000"/>
          <w:sz w:val="22"/>
        </w:rPr>
        <w:t>means a program and examination for the certification of pharmacy technicians that is accredited by the NCCA.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“NCCA” </w:t>
      </w:r>
      <w:r>
        <w:rPr>
          <w:rFonts w:ascii="Times New Roman" w:hAnsi="Times New Roman"/>
          <w:b w:val="false"/>
          <w:i w:val="false"/>
          <w:color w:val="000000"/>
          <w:sz w:val="22"/>
        </w:rPr>
        <w:t>means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 </w:t>
      </w:r>
      <w:r>
        <w:rPr>
          <w:rFonts w:ascii="Times New Roman" w:hAnsi="Times New Roman"/>
          <w:b w:val="false"/>
          <w:i w:val="false"/>
          <w:color w:val="000000"/>
          <w:sz w:val="22"/>
        </w:rPr>
        <w:t xml:space="preserve">means a person, other than a licensed pharmacist, a registered pharmacist-intern, or a registered pharmacy technician, who may perform nontechnical duties assigned by the pharmacist under the pharmacist’s responsibility and supervision pursuant to </w:t>
      </w:r>
      <w:hyperlink r:id="rId5">
        <w:r>
          <w:rPr>
            <w:rStyle w:val="Hyperlink"/>
            <w:rFonts w:ascii="Times New Roman" w:hAnsi="Times New Roman"/>
            <w:b w:val="false"/>
            <w:i w:val="false"/>
            <w:color w:val="000000"/>
            <w:sz w:val="22"/>
          </w:rPr>
          <w:t>657—Chapter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w:t>
      </w:r>
      <w:r>
        <w:rPr>
          <w:rFonts w:ascii="Times New Roman" w:hAnsi="Times New Roman"/>
          <w:b w:val="false"/>
          <w:i w:val="false"/>
          <w:color w:val="000000"/>
          <w:sz w:val="22"/>
        </w:rPr>
        <w:t xml:space="preserve">means a person who is employed in Iowa by a licensed pharmacy under the responsibility of an Iowa-licensed pharmacist to assist in the technical functions of the practice of pharmacy, as provided in rule </w:t>
      </w:r>
      <w:hyperlink r:id="rId6">
        <w:r>
          <w:rPr>
            <w:rStyle w:val="Hyperlink"/>
            <w:rFonts w:ascii="Times New Roman" w:hAnsi="Times New Roman"/>
            <w:b w:val="false"/>
            <w:i w:val="false"/>
            <w:color w:val="000000"/>
            <w:sz w:val="22"/>
          </w:rPr>
          <w:t>657—3.21</w:t>
        </w:r>
      </w:hyperlink>
      <w:r>
        <w:rPr>
          <w:rFonts w:ascii="Times New Roman" w:hAnsi="Times New Roman"/>
          <w:b w:val="false"/>
          <w:i w:val="false"/>
          <w:color w:val="000000"/>
          <w:sz w:val="22"/>
        </w:rPr>
        <w:t>(155A), and includes a certified pharmacy technician and a pharmacy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“national certification” </w:t>
      </w:r>
      <w:r>
        <w:rPr>
          <w:rFonts w:ascii="Times New Roman" w:hAnsi="Times New Roman"/>
          <w:b w:val="false"/>
          <w:i w:val="false"/>
          <w:color w:val="000000"/>
          <w:sz w:val="22"/>
        </w:rPr>
        <w:t>means a certificate issued by a national pharmacy technician certification authority accredited by the NCCA attesting that the technician has successfully completed the requirements of the certification program. The term includes evidence of renewal of the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trainee”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trainee” </w:t>
      </w:r>
      <w:r>
        <w:rPr>
          <w:rFonts w:ascii="Times New Roman" w:hAnsi="Times New Roman"/>
          <w:b w:val="false"/>
          <w:i w:val="false"/>
          <w:color w:val="000000"/>
          <w:sz w:val="22"/>
        </w:rPr>
        <w:t xml:space="preserve">means an individual who is in training to become a pharmacy technician and who is in the process of acquiring national certification as a pharmacy technician as provided in rule </w:t>
      </w:r>
      <w:hyperlink r:id="rId7">
        <w:r>
          <w:rPr>
            <w:rStyle w:val="Hyperlink"/>
            <w:rFonts w:ascii="Times New Roman" w:hAnsi="Times New Roman"/>
            <w:b w:val="false"/>
            <w:i w:val="false"/>
            <w:color w:val="000000"/>
            <w:sz w:val="22"/>
          </w:rPr>
          <w:t>657—3.5</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training”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training” </w:t>
      </w:r>
      <w:r>
        <w:rPr>
          <w:rFonts w:ascii="Times New Roman" w:hAnsi="Times New Roman"/>
          <w:b w:val="false"/>
          <w:i w:val="false"/>
          <w:color w:val="000000"/>
          <w:sz w:val="22"/>
        </w:rPr>
        <w:t>means education or experience acquired for the purpose of qualifying for and preparing for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pharmacist” </w:t>
      </w:r>
      <w:r>
        <w:rPr>
          <w:rFonts w:ascii="Times New Roman" w:hAnsi="Times New Roman"/>
          <w:b w:val="false"/>
          <w:i w:val="false"/>
          <w:color w:val="000000"/>
          <w:sz w:val="22"/>
        </w:rPr>
        <w:t>means an Iowa-licensed pharmacist who is on duty in a licensed pharmacy in Iowa and who is responsible for the actions of a pharmacy technician or other supportive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657—3.2</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of registration. </w:t>
      </w:r>
      <w:r>
        <w:rPr>
          <w:rFonts w:ascii="Times New Roman" w:hAnsi="Times New Roman"/>
          <w:b w:val="false"/>
          <w:i w:val="false"/>
          <w:color w:val="000000"/>
          <w:sz w:val="22"/>
        </w:rPr>
        <w:t>A registration program for pharmacy technicians is established for the purposes of determining the competency of a pharmacy technician or of an applicant for registration as a certified pharmacy technician or pharmacy technician trainee and for the purposes of identification, tracking, and disciplinary action for violations of federal or state pharmacy or drug laws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Any person employed in Iowa as a pharmacy technician shall obtain and maintain during such employment a current registration as a certified pharmacy technician or pharmacy technician trainee pursuant to these rules. An individual commencing employment as a pharmacy technician in Iowa who fails to register as a certified pharmacy technician or pharmacy technician trainee as provided by these rules may be subject to disciplinary sanctions. A certified pharmacy technician commencing employment as a certified pharmacy technician in Iowa who fails to register as a certified pharmacy technician or who fails to maintain national certification may be subject to disciplinary sanctions. A pharmacist-intern with a current registration or a pharmacist with a current license is not required to obtain a pharmacy technician registration to work as a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provider. </w:t>
      </w:r>
      <w:r>
        <w:rPr>
          <w:rFonts w:ascii="Times New Roman" w:hAnsi="Times New Roman"/>
          <w:b w:val="false"/>
          <w:i w:val="false"/>
          <w:color w:val="000000"/>
          <w:sz w:val="22"/>
        </w:rPr>
        <w:t xml:space="preserve">Except as provided in this rule, a licensed health care provider whose registration or license is in good standing with and not subject to current disciplinary sanctions or practice restrictions imposed by the licensee’s professional licensing board and who assists in the technical functions of the practice of pharmacy shall be required to register as a certified pharmacy technician or pharmacy technician trainee pursuant to these rules. A registered nurse licensed pursuant to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is engaged in the administration of immunizations and vaccinations and the utilization of statewide protocols pursuant to a pharmacist’s order is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 Registration required. </w:t>
      </w:r>
      <w:r>
        <w:rPr>
          <w:rFonts w:ascii="Times New Roman" w:hAnsi="Times New Roman"/>
          <w:b w:val="false"/>
          <w:i w:val="false"/>
          <w:color w:val="000000"/>
          <w:sz w:val="22"/>
        </w:rPr>
        <w:t>Beginning July 1, 2021, any person not currently registered with the board as a pharmacy technician shall obtain registration prior to commencement of employment in an Iowa pharmacy as a pharmacy technician. Through June 30, 2021, any person not currently registered with the board as a pharmacy technician shall submit a completed application for registration within 30 days of accepting employment in an Iowa pharmacy as a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Technician training. </w:t>
      </w:r>
      <w:r>
        <w:rPr>
          <w:rFonts w:ascii="Times New Roman" w:hAnsi="Times New Roman"/>
          <w:b w:val="false"/>
          <w:i w:val="false"/>
          <w:color w:val="000000"/>
          <w:sz w:val="22"/>
        </w:rPr>
        <w:t>A person who is enrolled in a college-based or American Society of Health-System Pharmacists (ASHP)-accredited technician training program shall obtain a pharmacy technician trainee registration prior to beginning on-site practical experience. A person who is employed in a pharmacy and who is receiving pharmacy technician training through work experience shall obtain a pharmacy technician trainee registration prior to the commencement of pharmacy technician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Registration number. </w:t>
      </w:r>
      <w:r>
        <w:rPr>
          <w:rFonts w:ascii="Times New Roman" w:hAnsi="Times New Roman"/>
          <w:b w:val="false"/>
          <w:i w:val="false"/>
          <w:color w:val="000000"/>
          <w:sz w:val="22"/>
        </w:rPr>
        <w:t>Each pharmacy technician registered with the board will be assigned a unique registration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9407B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657—3.5</w:t>
      </w:r>
      <w:r>
        <w:rPr>
          <w:rFonts w:ascii="Times New Roman" w:hAnsi="Times New Roman"/>
          <w:b/>
          <w:i w:val="false"/>
          <w:color w:val="000000"/>
          <w:sz w:val="22"/>
        </w:rPr>
        <w:t xml:space="preserve">(155A) </w:t>
      </w:r>
      <w:r>
        <w:rPr>
          <w:rFonts w:ascii="Times New Roman" w:hAnsi="Times New Roman"/>
          <w:b/>
          <w:i w:val="false"/>
          <w:color w:val="000000"/>
          <w:sz w:val="22"/>
        </w:rPr>
        <w:t xml:space="preserve">Certification of pharmacy technicians. </w:t>
      </w:r>
      <w:r>
        <w:rPr>
          <w:rFonts w:ascii="Times New Roman" w:hAnsi="Times New Roman"/>
          <w:b w:val="false"/>
          <w:i w:val="false"/>
          <w:color w:val="000000"/>
          <w:sz w:val="22"/>
        </w:rPr>
        <w:t xml:space="preserve">Except as provided in subrule </w:t>
      </w:r>
      <w:hyperlink r:id="rId10">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all pharmacy technicians shall be required to be nationally certified as provided by this rule. National certification acquired through successful completion of any NCCA-accredited pharmacy technician certification program and examination fulfills the requirement for national certification. National certification does not replace the need for licensed pharmacist control over the performance of delegated functions, nor does national certification exempt the pharmacy technician from registration pursuant to these rules. A certified pharmacy technician shall maintain the technician’s national certification, in addition to the technician’s Iowa registration, during any period of employment in or for an Iowa pharmacy as a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trainee. </w:t>
      </w:r>
      <w:r>
        <w:rPr>
          <w:rFonts w:ascii="Times New Roman" w:hAnsi="Times New Roman"/>
          <w:b w:val="false"/>
          <w:i w:val="false"/>
          <w:color w:val="000000"/>
          <w:sz w:val="22"/>
        </w:rPr>
        <w:t xml:space="preserve">A person who is in the process of acquiring national certification as a pharmacy technician shall register with the board as a pharmacy technician trainee pursuant to rule </w:t>
      </w:r>
      <w:hyperlink r:id="rId11">
        <w:r>
          <w:rPr>
            <w:rStyle w:val="Hyperlink"/>
            <w:rFonts w:ascii="Times New Roman" w:hAnsi="Times New Roman"/>
            <w:b w:val="false"/>
            <w:i w:val="false"/>
            <w:color w:val="000000"/>
            <w:sz w:val="22"/>
          </w:rPr>
          <w:t>657—3.9</w:t>
        </w:r>
      </w:hyperlink>
      <w:r>
        <w:rPr>
          <w:rFonts w:ascii="Times New Roman" w:hAnsi="Times New Roman"/>
          <w:b w:val="false"/>
          <w:i w:val="false"/>
          <w:color w:val="000000"/>
          <w:sz w:val="22"/>
        </w:rPr>
        <w:t xml:space="preserve">(155A).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 xml:space="preserve">All applicants for a new pharmacy technician registration except as provided by subrule </w:t>
      </w:r>
      <w:hyperlink r:id="rId12">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xml:space="preserve">, and all applicants for renewal of a pharmacy technician registration pursuant to rule </w:t>
      </w:r>
      <w:hyperlink r:id="rId13">
        <w:r>
          <w:rPr>
            <w:rStyle w:val="Hyperlink"/>
            <w:rFonts w:ascii="Times New Roman" w:hAnsi="Times New Roman"/>
            <w:b w:val="false"/>
            <w:i w:val="false"/>
            <w:color w:val="000000"/>
            <w:sz w:val="22"/>
          </w:rPr>
          <w:t>657—3.10</w:t>
        </w:r>
      </w:hyperlink>
      <w:r>
        <w:rPr>
          <w:rFonts w:ascii="Times New Roman" w:hAnsi="Times New Roman"/>
          <w:b w:val="false"/>
          <w:i w:val="false"/>
          <w:color w:val="000000"/>
          <w:sz w:val="22"/>
        </w:rPr>
        <w:t>(155A), shall provide proof of current national pharmacy technician certification and shall complete the application for certified pharmacy technician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9407B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6416C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657—3.6</w:t>
      </w:r>
      <w:r>
        <w:rPr>
          <w:rFonts w:ascii="Times New Roman" w:hAnsi="Times New Roman"/>
          <w:b/>
          <w:i w:val="false"/>
          <w:color w:val="000000"/>
          <w:sz w:val="22"/>
        </w:rPr>
        <w:t xml:space="preserve">(155A) </w:t>
      </w:r>
      <w:r>
        <w:rPr>
          <w:rFonts w:ascii="Times New Roman" w:hAnsi="Times New Roman"/>
          <w:b/>
          <w:i w:val="false"/>
          <w:color w:val="000000"/>
          <w:sz w:val="22"/>
        </w:rPr>
        <w:t xml:space="preserve">Extension of deadline for national certification.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1785C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12/10/14</w:t>
      </w:r>
      <w:r>
        <w:rPr>
          <w:rFonts w:ascii="Times New Roman" w:hAnsi="Times New Roman"/>
          <w:b w:val="false"/>
          <w:i w:val="false"/>
          <w:color w:val="000000"/>
          <w:sz w:val="22"/>
        </w:rPr>
        <w:t>, effective 1/14/15.</w:t>
      </w:r>
    </w:p>
    <w:p>
      <w:pPr>
        <w:spacing w:before="210" w:after="0"/>
        <w:ind w:left="120"/>
        <w:jc w:val="both"/>
      </w:pPr>
      <w:r>
        <w:rPr>
          <w:rFonts w:ascii="Times New Roman" w:hAnsi="Times New Roman"/>
          <w:b/>
          <w:i w:val="false"/>
          <w:color w:val="000000"/>
          <w:sz w:val="22"/>
        </w:rPr>
        <w:t>657—3.7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657—3.8</w:t>
      </w:r>
      <w:r>
        <w:rPr>
          <w:rFonts w:ascii="Times New Roman" w:hAnsi="Times New Roman"/>
          <w:b/>
          <w:i w:val="false"/>
          <w:color w:val="000000"/>
          <w:sz w:val="22"/>
        </w:rPr>
        <w:t xml:space="preserve">(155A)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submit a completed application along with the appropriate nonrefundable application fee pursuant to rule </w:t>
      </w:r>
      <w:hyperlink r:id="rId14">
        <w:r>
          <w:rPr>
            <w:rStyle w:val="Hyperlink"/>
            <w:rFonts w:ascii="Times New Roman" w:hAnsi="Times New Roman"/>
            <w:b w:val="false"/>
            <w:i w:val="false"/>
            <w:color w:val="000000"/>
            <w:sz w:val="22"/>
          </w:rPr>
          <w:t>657—3.9</w:t>
        </w:r>
      </w:hyperlink>
      <w:r>
        <w:rPr>
          <w:rFonts w:ascii="Times New Roman" w:hAnsi="Times New Roman"/>
          <w:b w:val="false"/>
          <w:i w:val="false"/>
          <w:color w:val="000000"/>
          <w:sz w:val="22"/>
        </w:rPr>
        <w:t xml:space="preserve">(155A) or </w:t>
      </w:r>
      <w:hyperlink r:id="rId15">
        <w:r>
          <w:rPr>
            <w:rStyle w:val="Hyperlink"/>
            <w:rFonts w:ascii="Times New Roman" w:hAnsi="Times New Roman"/>
            <w:b w:val="false"/>
            <w:i w:val="false"/>
            <w:color w:val="000000"/>
            <w:sz w:val="22"/>
          </w:rPr>
          <w:t>657—3.10</w:t>
        </w:r>
      </w:hyperlink>
      <w:r>
        <w:rPr>
          <w:rFonts w:ascii="Times New Roman" w:hAnsi="Times New Roman"/>
          <w:b w:val="false"/>
          <w:i w:val="false"/>
          <w:color w:val="000000"/>
          <w:sz w:val="22"/>
        </w:rPr>
        <w:t xml:space="preserve">(155A).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applicant including, but not limited to, name, address, date of birth, gender,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place or places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or disciplinary action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certified pharmacy technician registration, documentation of current national pharmacy technician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657—3.9</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fee and term—technician trainee.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 nonrefundable application fee for a pharmacy technician trainee registration shall be $20. The nonrefundable application fee for a pharmacy technician trainee registration shall be submitted in the form of a personal check, certified check, cashier’s check, or money order made payable to the Iowa Board of Pharmacy when submitted with a written application or by acceptable debit or credit card when submitted with an online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 xml:space="preserve">A pharmacy technician trainee registration shall expire 12 months following the date of registration. A pharmacy technician trainee registration may be renewed only as provided in </w:t>
      </w:r>
      <w:hyperlink r:id="rId16">
        <w:r>
          <w:rPr>
            <w:rStyle w:val="Hyperlink"/>
            <w:rFonts w:ascii="Times New Roman" w:hAnsi="Times New Roman"/>
            <w:b w:val="false"/>
            <w:i w:val="false"/>
            <w:color w:val="000000"/>
            <w:sz w:val="22"/>
          </w:rPr>
          <w:t>subrules 3.9(3)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National certification completed. </w:t>
      </w:r>
      <w:r>
        <w:rPr>
          <w:rFonts w:ascii="Times New Roman" w:hAnsi="Times New Roman"/>
          <w:b w:val="false"/>
          <w:i w:val="false"/>
          <w:color w:val="000000"/>
          <w:sz w:val="22"/>
        </w:rPr>
        <w:t>When the registered pharmacy technician trainee completes national certification, and no later than the expiration of the pharmacy technician trainee registration, the technician shall submit a completed application and nonrefundable application fee for certified pharmacy technician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Expiration of registration. </w:t>
      </w:r>
      <w:r>
        <w:rPr>
          <w:rFonts w:ascii="Times New Roman" w:hAnsi="Times New Roman"/>
          <w:b w:val="false"/>
          <w:i w:val="false"/>
          <w:color w:val="000000"/>
          <w:sz w:val="22"/>
        </w:rPr>
        <w:t xml:space="preserve">Except as provided in </w:t>
      </w:r>
      <w:hyperlink r:id="rId18">
        <w:r>
          <w:rPr>
            <w:rStyle w:val="Hyperlink"/>
            <w:rFonts w:ascii="Times New Roman" w:hAnsi="Times New Roman"/>
            <w:b w:val="false"/>
            <w:i w:val="false"/>
            <w:color w:val="000000"/>
            <w:sz w:val="22"/>
          </w:rPr>
          <w:t>subrules 3.9(3)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the registration of a pharmacy technician trainee who fails to complete national certification prior to the expiration of the registration shall expire and the technician shall cease practice as a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technician trainee who is unable to complete national certification prior to the expiration of the registration may seek renewal of the registration in exceptional circumstances. To the extent practicable, the trainee should submit an application and nonrefundable fee of $20 for technician trainee renewal, on forms provided by the board, at least 30 days prior to the expiration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A technician trainee who was previously registered and left the practice of pharmacy prior to obtaining national certification may seek reactivation of the registration. The individual shall submit an application and nonrefundable fee of $20 for technician trainee reactivation on forms provided by the board. Pursuant to rule </w:t>
      </w:r>
      <w:hyperlink r:id="rId20">
        <w:r>
          <w:rPr>
            <w:rStyle w:val="Hyperlink"/>
            <w:rFonts w:ascii="Times New Roman" w:hAnsi="Times New Roman"/>
            <w:b w:val="false"/>
            <w:i w:val="false"/>
            <w:color w:val="000000"/>
            <w:sz w:val="22"/>
          </w:rPr>
          <w:t>657—3.3</w:t>
        </w:r>
      </w:hyperlink>
      <w:r>
        <w:rPr>
          <w:rFonts w:ascii="Times New Roman" w:hAnsi="Times New Roman"/>
          <w:b w:val="false"/>
          <w:i w:val="false"/>
          <w:color w:val="000000"/>
          <w:sz w:val="22"/>
        </w:rPr>
        <w:t>(155A), a technician shall obtain registration prior to commencing employment as a technician trainee in an Iowa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657—3.10</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fee, term, and renewal—certified pharmacy technician.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 nonrefundable application fee for a certified pharmacy technician registration shall be $40 per biennium. The nonrefundable application fee for a certified pharmacy technician registration shall be submitted in the form of a personal check, certified check, cashier’s check, or money order made payable to the Iowa Board of Pharmacy when submitted with a written application or by acceptable debit or credit card when submitted with an online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A certified pharmacy technician registration shall expire on the date that the technician’s national certification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certified pharmacy technician registration shall be renewed prior to the expiration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grace period. </w:t>
      </w:r>
      <w:r>
        <w:rPr>
          <w:rFonts w:ascii="Times New Roman" w:hAnsi="Times New Roman"/>
          <w:b w:val="false"/>
          <w:i w:val="false"/>
          <w:color w:val="000000"/>
          <w:sz w:val="22"/>
        </w:rPr>
        <w:t xml:space="preserve">A certified pharmacy technician registration which is not renewed prior to the expiration of the registration shall be considered delinquent. Renewal during the month following the expiration date of the registration shall include the nonrefundable registration fee pursuant to </w:t>
      </w:r>
      <w:hyperlink r:id="rId21">
        <w:r>
          <w:rPr>
            <w:rStyle w:val="Hyperlink"/>
            <w:rFonts w:ascii="Times New Roman" w:hAnsi="Times New Roman"/>
            <w:b w:val="false"/>
            <w:i w:val="false"/>
            <w:color w:val="000000"/>
            <w:sz w:val="22"/>
          </w:rPr>
          <w:t>subrule 3.10(1)</w:t>
        </w:r>
      </w:hyperlink>
      <w:r>
        <w:rPr>
          <w:rFonts w:ascii="Times New Roman" w:hAnsi="Times New Roman"/>
          <w:b w:val="false"/>
          <w:i w:val="false"/>
          <w:color w:val="000000"/>
          <w:sz w:val="22"/>
        </w:rPr>
        <w:t xml:space="preserve"> and a nonrefundable late penalty fee of $40. A registered certified pharmacy technician who renews during the month following the expiration date of the registration shall not be subject to disciplinary action for continuing to practice as a pharmacy technician during the delinquency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Registration reactivation beyond grace period. </w:t>
      </w:r>
      <w:r>
        <w:rPr>
          <w:rFonts w:ascii="Times New Roman" w:hAnsi="Times New Roman"/>
          <w:b w:val="false"/>
          <w:i w:val="false"/>
          <w:color w:val="000000"/>
          <w:sz w:val="22"/>
        </w:rPr>
        <w:t xml:space="preserve">If the registration is not renewed prior to the expiration of the one-month grace period identified in paragraph </w:t>
      </w:r>
      <w:hyperlink r:id="rId22">
        <w:r>
          <w:rPr>
            <w:rStyle w:val="Hyperlink"/>
            <w:rFonts w:ascii="Times New Roman" w:hAnsi="Times New Roman"/>
            <w:b w:val="false"/>
            <w:i w:val="false"/>
            <w:color w:val="000000"/>
            <w:sz w:val="22"/>
          </w:rPr>
          <w:t>3.10(3)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technician shall cease the practice as a pharmacy technician until the registration is reactivated. A certified pharmacy technician without a current registration may apply for registration reactivation by submitting a completed application for reactivation and a nonrefundable reactivation fee of $160. An individual who continues employment as a pharmacy technician without a current registration, in addition to the pharmacy and the pharmacist in charge that allow the individual to continue practice as a pharmacy technician, may be subject to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 </w:t>
      </w:r>
      <w:r>
        <w:rPr>
          <w:rFonts w:ascii="Times New Roman" w:hAnsi="Times New Roman"/>
          <w:b w:val="false"/>
          <w:i w:val="false"/>
          <w:color w:val="000000"/>
          <w:sz w:val="22"/>
        </w:rPr>
        <w:t>A registered certified pharmacy technician who ceases practice as a pharmacy technician and does not intend to renew the registration prior to its expiration may request that the board cancel the registration. If the certified pharmacy technician later seeks registration as a certified pharmacy technician, the technician shall not be assessed a late penalty fee or reactivation fee for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657—3.11</w:t>
      </w:r>
      <w:r>
        <w:rPr>
          <w:rFonts w:ascii="Times New Roman" w:hAnsi="Times New Roman"/>
          <w:b/>
          <w:i w:val="false"/>
          <w:color w:val="000000"/>
          <w:sz w:val="22"/>
        </w:rPr>
        <w:t xml:space="preserve">(155A) </w:t>
      </w:r>
      <w:r>
        <w:rPr>
          <w:rFonts w:ascii="Times New Roman" w:hAnsi="Times New Roman"/>
          <w:b/>
          <w:i w:val="false"/>
          <w:color w:val="000000"/>
          <w:sz w:val="22"/>
        </w:rPr>
        <w:t xml:space="preserve">Verification fee. </w:t>
      </w:r>
      <w:r>
        <w:rPr>
          <w:rFonts w:ascii="Times New Roman" w:hAnsi="Times New Roman"/>
          <w:b w:val="false"/>
          <w:i w:val="false"/>
          <w:color w:val="000000"/>
          <w:sz w:val="22"/>
        </w:rPr>
        <w:t>The board may require the submission of a nonrefundable fee of $15 for written verification of a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657—3.12</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certificates.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0" w:after="0"/>
        <w:ind w:left="120"/>
        <w:jc w:val="both"/>
      </w:pPr>
      <w:r>
        <w:rPr>
          <w:rFonts w:ascii="Times New Roman" w:hAnsi="Times New Roman"/>
          <w:b/>
          <w:i w:val="false"/>
          <w:color w:val="000000"/>
          <w:sz w:val="22"/>
        </w:rPr>
        <w:t>657—3.13</w:t>
      </w:r>
      <w:r>
        <w:rPr>
          <w:rFonts w:ascii="Times New Roman" w:hAnsi="Times New Roman"/>
          <w:b/>
          <w:i w:val="false"/>
          <w:color w:val="000000"/>
          <w:sz w:val="22"/>
        </w:rPr>
        <w:t xml:space="preserve">(155A) </w:t>
      </w:r>
      <w:r>
        <w:rPr>
          <w:rFonts w:ascii="Times New Roman" w:hAnsi="Times New Roman"/>
          <w:b/>
          <w:i w:val="false"/>
          <w:color w:val="000000"/>
          <w:sz w:val="22"/>
        </w:rPr>
        <w:t xml:space="preserve">Notifications to the board. </w:t>
      </w:r>
      <w:r>
        <w:rPr>
          <w:rFonts w:ascii="Times New Roman" w:hAnsi="Times New Roman"/>
          <w:b w:val="false"/>
          <w:i w:val="false"/>
          <w:color w:val="000000"/>
          <w:sz w:val="22"/>
        </w:rPr>
        <w:t>A pharmacy technician shall report to the board within ten days a change of the technician’s name, address, or pharmacy employment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657—3.14</w:t>
      </w:r>
      <w:r>
        <w:rPr>
          <w:rFonts w:ascii="Times New Roman" w:hAnsi="Times New Roman"/>
          <w:b w:val="false"/>
          <w:i w:val="false"/>
          <w:color w:val="000000"/>
          <w:sz w:val="22"/>
        </w:rPr>
        <w:t xml:space="preserve"> to </w:t>
      </w:r>
      <w:r>
        <w:rPr>
          <w:rFonts w:ascii="Times New Roman" w:hAnsi="Times New Roman"/>
          <w:b/>
          <w:i w:val="false"/>
          <w:color w:val="000000"/>
          <w:sz w:val="22"/>
        </w:rPr>
        <w:t>3.16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657—3.17</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pharmacy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 xml:space="preserve">All licensed pharmacies located in Iowa that utilize pharmacy technicians shall develop, implement, and periodically review written policies and procedures for the training and utilization of pharmacy technicians appropriate to the practice of pharmacy. Pharmacy policies shall specify the frequency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color w:val="000000"/>
          <w:sz w:val="22"/>
        </w:rPr>
        <w:t xml:space="preserve">Documented training. </w:t>
      </w:r>
      <w:r>
        <w:rPr>
          <w:rFonts w:ascii="Times New Roman" w:hAnsi="Times New Roman"/>
          <w:b w:val="false"/>
          <w:i w:val="false"/>
          <w:color w:val="000000"/>
          <w:sz w:val="22"/>
        </w:rPr>
        <w:t xml:space="preserve">Pharmacy technician training shall be documented and maintained by the pharmacy for the duration of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color w:val="000000"/>
          <w:sz w:val="22"/>
        </w:rPr>
        <w:t xml:space="preserve">Vaccine administration training and continuing education. </w:t>
      </w:r>
      <w:r>
        <w:rPr>
          <w:rFonts w:ascii="Times New Roman" w:hAnsi="Times New Roman"/>
          <w:b w:val="false"/>
          <w:i w:val="false"/>
          <w:color w:val="000000"/>
          <w:sz w:val="22"/>
        </w:rPr>
        <w:t xml:space="preserve">A pharmacy technician who administers a vaccine or immunization under the supervision of a pharmacist shall document successful completion of the requirements in </w:t>
      </w:r>
      <w:hyperlink r:id="rId23">
        <w:r>
          <w:rPr>
            <w:rStyle w:val="Hyperlink"/>
            <w:rFonts w:ascii="Times New Roman" w:hAnsi="Times New Roman"/>
            <w:b w:val="false"/>
            <w:i w:val="false"/>
            <w:color w:val="000000"/>
            <w:sz w:val="22"/>
          </w:rPr>
          <w:t>paragraph 3.17(3)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shall maintain competency by completing and maintaining documentation of the continuing education requirements in </w:t>
      </w:r>
      <w:hyperlink r:id="rId24">
        <w:r>
          <w:rPr>
            <w:rStyle w:val="Hyperlink"/>
            <w:rFonts w:ascii="Times New Roman" w:hAnsi="Times New Roman"/>
            <w:b w:val="false"/>
            <w:i w:val="false"/>
            <w:color w:val="000000"/>
            <w:sz w:val="22"/>
          </w:rPr>
          <w:t>paragraph 3.17(3)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qualification. </w:t>
      </w:r>
      <w:r>
        <w:rPr>
          <w:rFonts w:ascii="Times New Roman" w:hAnsi="Times New Roman"/>
          <w:b w:val="false"/>
          <w:i w:val="false"/>
          <w:color w:val="000000"/>
          <w:sz w:val="22"/>
        </w:rPr>
        <w:t xml:space="preserve">Except as provided in </w:t>
      </w:r>
      <w:hyperlink r:id="rId25">
        <w:r>
          <w:rPr>
            <w:rStyle w:val="Hyperlink"/>
            <w:rFonts w:ascii="Times New Roman" w:hAnsi="Times New Roman"/>
            <w:b w:val="false"/>
            <w:i w:val="false"/>
            <w:color w:val="000000"/>
            <w:sz w:val="22"/>
          </w:rPr>
          <w:t>paragraph 3.17(3)</w:t>
        </w:r>
      </w:hyperlink>
      <w:r>
        <w:rPr>
          <w:rFonts w:ascii="Times New Roman" w:hAnsi="Times New Roman"/>
          <w:b w:val="false"/>
          <w:i/>
          <w:color w:val="000000"/>
          <w:sz w:val="22"/>
        </w:rPr>
        <w:t>“b,”</w:t>
      </w:r>
      <w:r>
        <w:rPr>
          <w:rFonts w:ascii="Times New Roman" w:hAnsi="Times New Roman"/>
          <w:b w:val="false"/>
          <w:i w:val="false"/>
          <w:color w:val="000000"/>
          <w:sz w:val="22"/>
        </w:rPr>
        <w:t xml:space="preserve"> a technician shall have successfully completed an Accreditation Council for Pharmacy Education (ACPE)-accredited program on vaccine administration that is an evidence-based program that includes study material and hands-on training and techniques for administering vaccines, requires testing with a passing score, complies with current Centers for Disease Control and Prevention (CDC) guidelines, and provides instruction and experiential training in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Standards for immunization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immunology and vaccine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Vaccine-preventable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Recommended immunization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Vaccine storage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Physiology and techniques for vaccine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Immunization record management;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adverse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Previous qualification. </w:t>
      </w:r>
      <w:r>
        <w:rPr>
          <w:rFonts w:ascii="Times New Roman" w:hAnsi="Times New Roman"/>
          <w:b w:val="false"/>
          <w:i w:val="false"/>
          <w:color w:val="000000"/>
          <w:sz w:val="22"/>
        </w:rPr>
        <w:t>A technician who is currently licensed as a registered nurse shall be deemed to have met the training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During any technician registration renewal period, a technician who engages in the administration of vaccines shall complete and document at least one hour of ACPE-approved continuing education with the ACPE topic designator “06” followed by the letter “T” or “P.”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Certification maintained. </w:t>
      </w:r>
      <w:r>
        <w:rPr>
          <w:rFonts w:ascii="Times New Roman" w:hAnsi="Times New Roman"/>
          <w:b w:val="false"/>
          <w:i w:val="false"/>
          <w:color w:val="000000"/>
          <w:sz w:val="22"/>
        </w:rPr>
        <w:t>During any period within which a technician may engage in the administration of vaccines, the technician shall maintain current certification in basic cardiac life support through a training program designated for health care providers that includes hands-on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5820C</w:t>
      </w:r>
      <w:r>
        <w:rPr>
          <w:rFonts w:ascii="Times New Roman" w:hAnsi="Times New Roman"/>
          <w:b w:val="false"/>
          <w:i w:val="false"/>
          <w:color w:val="000000"/>
          <w:sz w:val="16"/>
        </w:rPr>
        <w:t>, IAB 8/11/21, effective 7/15/21</w:t>
      </w:r>
      <w:r>
        <w:rPr>
          <w:rFonts w:ascii="Times New Roman" w:hAnsi="Times New Roman"/>
          <w:b w:val="false"/>
          <w:i w:val="false"/>
          <w:color w:val="000000"/>
          <w:sz w:val="16"/>
        </w:rPr>
        <w:t xml:space="preserve">; </w:t>
      </w:r>
      <w:r>
        <w:rPr>
          <w:rFonts w:ascii="Times New Roman" w:hAnsi="Times New Roman"/>
          <w:b/>
          <w:i w:val="false"/>
          <w:color w:val="000000"/>
          <w:sz w:val="16"/>
        </w:rPr>
        <w:t>ARC 6071C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657—3.18</w:t>
      </w:r>
      <w:r>
        <w:rPr>
          <w:rFonts w:ascii="Times New Roman" w:hAnsi="Times New Roman"/>
          <w:b/>
          <w:i w:val="false"/>
          <w:color w:val="000000"/>
          <w:sz w:val="22"/>
        </w:rPr>
        <w:t xml:space="preserve">(147,155A) </w:t>
      </w:r>
      <w:r>
        <w:rPr>
          <w:rFonts w:ascii="Times New Roman" w:hAnsi="Times New Roman"/>
          <w:b/>
          <w:i w:val="false"/>
          <w:color w:val="000000"/>
          <w:sz w:val="22"/>
        </w:rPr>
        <w:t xml:space="preserve">Identification of pharmacy technician.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badge. </w:t>
      </w:r>
      <w:r>
        <w:rPr>
          <w:rFonts w:ascii="Times New Roman" w:hAnsi="Times New Roman"/>
          <w:b w:val="false"/>
          <w:i w:val="false"/>
          <w:color w:val="000000"/>
          <w:sz w:val="22"/>
        </w:rPr>
        <w:t>A pharmacy technician shall wear a visible identification badge while on duty that clearly identifies the person as a pharmacy technician and that includes at least the technician’s first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prohibited. </w:t>
      </w:r>
      <w:r>
        <w:rPr>
          <w:rFonts w:ascii="Times New Roman" w:hAnsi="Times New Roman"/>
          <w:b w:val="false"/>
          <w:i w:val="false"/>
          <w:color w:val="000000"/>
          <w:sz w:val="22"/>
        </w:rPr>
        <w:t>A pharmacy technician shall not represent himself or herself in any manner as a pharmacist or pharmacist-intern. A pharmacy technician shall not represent himself or herself in any manner as a certified pharmacy technician unless the technician has attained national pharmacy technician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657—3.20</w:t>
      </w:r>
      <w:r>
        <w:rPr>
          <w:rFonts w:ascii="Times New Roman" w:hAnsi="Times New Roman"/>
          <w:b/>
          <w:i w:val="false"/>
          <w:color w:val="000000"/>
          <w:sz w:val="22"/>
        </w:rPr>
        <w:t xml:space="preserve">(155A) </w:t>
      </w:r>
      <w:r>
        <w:rPr>
          <w:rFonts w:ascii="Times New Roman" w:hAnsi="Times New Roman"/>
          <w:b/>
          <w:i w:val="false"/>
          <w:color w:val="000000"/>
          <w:sz w:val="22"/>
        </w:rPr>
        <w:t xml:space="preserve">Responsibility of supervising pharmacist. </w:t>
      </w:r>
      <w:r>
        <w:rPr>
          <w:rFonts w:ascii="Times New Roman" w:hAnsi="Times New Roman"/>
          <w:b w:val="false"/>
          <w:i w:val="false"/>
          <w:color w:val="000000"/>
          <w:sz w:val="22"/>
        </w:rPr>
        <w:t>The ultimate responsibility for the actions of a pharmacy technician shall remain with the supervising pharmacist. A pharmacy license holder shall not infringe on the authority of a supervising pharmacist to delegate or decline to delegate specific functions to a pharmacy technician based on the supervising pharmacist’s professional judgment regarding the knowledge and training of the technician.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657—3.21</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 xml:space="preserve">Pursuant to established policies and procedures and the supervising pharmacist’s professional judgment, an Iowa-licensed supervising pharmacist may delegate any technical or nontechnical functions in the operation of the pharmacy, except those which are prohibited pursuant to rule </w:t>
      </w:r>
      <w:hyperlink r:id="rId26">
        <w:r>
          <w:rPr>
            <w:rStyle w:val="Hyperlink"/>
            <w:rFonts w:ascii="Times New Roman" w:hAnsi="Times New Roman"/>
            <w:b w:val="false"/>
            <w:i w:val="false"/>
            <w:color w:val="000000"/>
            <w:sz w:val="22"/>
          </w:rPr>
          <w:t>657—3.23</w:t>
        </w:r>
      </w:hyperlink>
      <w:r>
        <w:rPr>
          <w:rFonts w:ascii="Times New Roman" w:hAnsi="Times New Roman"/>
          <w:b w:val="false"/>
          <w:i w:val="false"/>
          <w:color w:val="000000"/>
          <w:sz w:val="22"/>
        </w:rPr>
        <w:t xml:space="preserve">(155A), to an appropriately trained and Iowa-registered pharmacy technician.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color w:val="000000"/>
          <w:sz w:val="22"/>
        </w:rPr>
        <w:t xml:space="preserve">Remote supervision. </w:t>
      </w:r>
      <w:r>
        <w:rPr>
          <w:rFonts w:ascii="Times New Roman" w:hAnsi="Times New Roman"/>
          <w:b w:val="false"/>
          <w:i w:val="false"/>
          <w:color w:val="000000"/>
          <w:sz w:val="22"/>
        </w:rPr>
        <w:t>A supervising pharmacist may delegate technical functions relating to prescription processing (e.g., data entry) to a certified pharmacy technician who is performing the delegated functions at a location that is not a licensed pharmacy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security and supervision are maintained at all times to prevent unauthorized access to, and unauthorized storage/transfer of, confidential patient information or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supervising pharmacist has real-time access to the prescription processing system which the certified pharmacy technician is using or the patient record which the certified pharmacy technician is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supervising pharmacist is available to respond to certified pharmacy technician questions via a real-time communication mechanism at all times when delegated functions are being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pharmacy’s prescription processing system is capable of documenting the functions performed by the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color w:val="000000"/>
          <w:sz w:val="22"/>
        </w:rPr>
        <w:t xml:space="preserve">Pharmacist final verification required. </w:t>
      </w:r>
      <w:r>
        <w:rPr>
          <w:rFonts w:ascii="Times New Roman" w:hAnsi="Times New Roman"/>
          <w:b w:val="false"/>
          <w:i w:val="false"/>
          <w:color w:val="000000"/>
          <w:sz w:val="22"/>
        </w:rPr>
        <w:t xml:space="preserve">Except as provided for an approved technician product verification program pursuant to </w:t>
      </w:r>
      <w:hyperlink r:id="rId27">
        <w:r>
          <w:rPr>
            <w:rStyle w:val="Hyperlink"/>
            <w:rFonts w:ascii="Times New Roman" w:hAnsi="Times New Roman"/>
            <w:b w:val="false"/>
            <w:i w:val="false"/>
            <w:color w:val="000000"/>
            <w:sz w:val="22"/>
          </w:rPr>
          <w:t>657—Chapter 40</w:t>
        </w:r>
      </w:hyperlink>
      <w:r>
        <w:rPr>
          <w:rFonts w:ascii="Times New Roman" w:hAnsi="Times New Roman"/>
          <w:b w:val="false"/>
          <w:i w:val="false"/>
          <w:color w:val="000000"/>
          <w:sz w:val="22"/>
        </w:rPr>
        <w:t xml:space="preserve">, the pharmacist shall provide and document the final verification for the accuracy, validity, completeness, and appropriateness of the patient’s prescription or medication order prior to the delivery of the medication to the patient or the patient’s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color w:val="000000"/>
          <w:sz w:val="22"/>
        </w:rPr>
        <w:t xml:space="preserve">Further delegation prohibited. </w:t>
      </w:r>
      <w:r>
        <w:rPr>
          <w:rFonts w:ascii="Times New Roman" w:hAnsi="Times New Roman"/>
          <w:b w:val="false"/>
          <w:i w:val="false"/>
          <w:color w:val="000000"/>
          <w:sz w:val="22"/>
        </w:rPr>
        <w:t>A pharmacy technician shall not delegate technical functions to a pharmacy support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9783B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4189C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6416C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657—3.22</w:t>
      </w:r>
      <w:r>
        <w:rPr>
          <w:rFonts w:ascii="Times New Roman" w:hAnsi="Times New Roman"/>
          <w:b/>
          <w:i w:val="false"/>
          <w:color w:val="000000"/>
          <w:sz w:val="22"/>
        </w:rPr>
        <w:t xml:space="preserve">(155A) </w:t>
      </w:r>
      <w:r>
        <w:rPr>
          <w:rFonts w:ascii="Times New Roman" w:hAnsi="Times New Roman"/>
          <w:b/>
          <w:i w:val="false"/>
          <w:color w:val="000000"/>
          <w:sz w:val="22"/>
        </w:rPr>
        <w:t xml:space="preserve">Technical functions.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0" w:after="0"/>
        <w:ind w:left="120"/>
        <w:jc w:val="both"/>
      </w:pPr>
      <w:r>
        <w:rPr>
          <w:rFonts w:ascii="Times New Roman" w:hAnsi="Times New Roman"/>
          <w:b/>
          <w:i w:val="false"/>
          <w:color w:val="000000"/>
          <w:sz w:val="22"/>
        </w:rPr>
        <w:t>657—3.23</w:t>
      </w:r>
      <w:r>
        <w:rPr>
          <w:rFonts w:ascii="Times New Roman" w:hAnsi="Times New Roman"/>
          <w:b/>
          <w:i w:val="false"/>
          <w:color w:val="000000"/>
          <w:sz w:val="22"/>
        </w:rPr>
        <w:t xml:space="preserve">(155A) </w:t>
      </w:r>
      <w:r>
        <w:rPr>
          <w:rFonts w:ascii="Times New Roman" w:hAnsi="Times New Roman"/>
          <w:b/>
          <w:i w:val="false"/>
          <w:color w:val="000000"/>
          <w:sz w:val="22"/>
        </w:rPr>
        <w:t xml:space="preserve">Functions a pharmacy technician shall not perform.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color w:val="000000"/>
          <w:sz w:val="22"/>
        </w:rPr>
        <w:t xml:space="preserve">Prohibited functions for all pharmacy technicians. </w:t>
      </w:r>
      <w:r>
        <w:rPr>
          <w:rFonts w:ascii="Times New Roman" w:hAnsi="Times New Roman"/>
          <w:b w:val="false"/>
          <w:i w:val="false"/>
          <w:color w:val="000000"/>
          <w:sz w:val="22"/>
        </w:rPr>
        <w:t>A pharmacy technician shall not be authorized to perform any of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a certified pharmacy technician participating in an approved technician product verification program pursuant to </w:t>
      </w:r>
      <w:hyperlink r:id="rId28">
        <w:r>
          <w:rPr>
            <w:rStyle w:val="Hyperlink"/>
            <w:rFonts w:ascii="Times New Roman" w:hAnsi="Times New Roman"/>
            <w:b w:val="false"/>
            <w:i w:val="false"/>
            <w:color w:val="000000"/>
            <w:sz w:val="22"/>
          </w:rPr>
          <w:t>657—Chapter 40</w:t>
        </w:r>
      </w:hyperlink>
      <w:r>
        <w:rPr>
          <w:rFonts w:ascii="Times New Roman" w:hAnsi="Times New Roman"/>
          <w:b w:val="false"/>
          <w:i w:val="false"/>
          <w:color w:val="000000"/>
          <w:sz w:val="22"/>
        </w:rPr>
        <w:t>, provide the final verification for the accuracy, validity, completeness, or appropriateness of a filled prescription or medication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prospective drug use review or evaluate a patient’s medication record for purposes identified in rule </w:t>
      </w:r>
      <w:hyperlink r:id="rId29">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patient counseling, consultation, or patient-specific drug information, tender an offer of patient counseling on behalf of a pharmacist, or accept a refusal of patient counseling from a patient or patient’s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decisions that require a pharmacist’s professional judgment, such as interpreting prescription drug orders or applying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 a prescription drug order for a controlled substance to another pharmacy or receive the transfer of a prescription drug order for a controlled substance from another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Delegate technical functions to a pharmacy support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color w:val="000000"/>
          <w:sz w:val="22"/>
        </w:rPr>
        <w:t xml:space="preserve">Prohibited functions for technician trainees. </w:t>
      </w:r>
      <w:r>
        <w:rPr>
          <w:rFonts w:ascii="Times New Roman" w:hAnsi="Times New Roman"/>
          <w:b w:val="false"/>
          <w:i w:val="false"/>
          <w:color w:val="000000"/>
          <w:sz w:val="22"/>
        </w:rPr>
        <w:t xml:space="preserve">In addition to the prohibited functions in </w:t>
      </w:r>
      <w:hyperlink r:id="rId30">
        <w:r>
          <w:rPr>
            <w:rStyle w:val="Hyperlink"/>
            <w:rFonts w:ascii="Times New Roman" w:hAnsi="Times New Roman"/>
            <w:b w:val="false"/>
            <w:i w:val="false"/>
            <w:color w:val="000000"/>
            <w:sz w:val="22"/>
          </w:rPr>
          <w:t>subrule 3.23(1)</w:t>
        </w:r>
      </w:hyperlink>
      <w:r>
        <w:rPr>
          <w:rFonts w:ascii="Times New Roman" w:hAnsi="Times New Roman"/>
          <w:b w:val="false"/>
          <w:i w:val="false"/>
          <w:color w:val="000000"/>
          <w:sz w:val="22"/>
        </w:rPr>
        <w:t>, a technician trainee shall not be authorized to perform any of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new prescription drug orders or medication orders communicated to the pharmacy by a prescriber or the prescriber’s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 or receive by transfer by any means the original prescription drug order information or prescription refill information of a prescription for any substance.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9783B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4189C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657—3.24</w:t>
      </w:r>
      <w:r>
        <w:rPr>
          <w:rFonts w:ascii="Times New Roman" w:hAnsi="Times New Roman"/>
          <w:b/>
          <w:i w:val="false"/>
          <w:color w:val="000000"/>
          <w:sz w:val="22"/>
        </w:rPr>
        <w:t xml:space="preserve">(155A) </w:t>
      </w:r>
      <w:r>
        <w:rPr>
          <w:rFonts w:ascii="Times New Roman" w:hAnsi="Times New Roman"/>
          <w:b/>
          <w:i w:val="false"/>
          <w:color w:val="000000"/>
          <w:sz w:val="22"/>
        </w:rPr>
        <w:t xml:space="preserve">New prescription drug orders or medication orders.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210" w:after="0"/>
        <w:ind w:left="120"/>
        <w:jc w:val="both"/>
      </w:pPr>
      <w:r>
        <w:rPr>
          <w:rFonts w:ascii="Times New Roman" w:hAnsi="Times New Roman"/>
          <w:b/>
          <w:i w:val="false"/>
          <w:color w:val="000000"/>
          <w:sz w:val="22"/>
        </w:rPr>
        <w:t>657—3.25</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nontechnical functions.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4/7/10</w:t>
      </w:r>
      <w:r>
        <w:rPr>
          <w:rFonts w:ascii="Times New Roman" w:hAnsi="Times New Roman"/>
          <w:b w:val="false"/>
          <w:i w:val="false"/>
          <w:color w:val="000000"/>
          <w:sz w:val="22"/>
        </w:rPr>
        <w:t>, effective 6/1/10.</w:t>
      </w:r>
    </w:p>
    <w:p>
      <w:pPr>
        <w:spacing w:before="210" w:after="0"/>
        <w:ind w:left="120"/>
        <w:jc w:val="both"/>
      </w:pPr>
      <w:r>
        <w:rPr>
          <w:rFonts w:ascii="Times New Roman" w:hAnsi="Times New Roman"/>
          <w:b/>
          <w:i w:val="false"/>
          <w:color w:val="000000"/>
          <w:sz w:val="22"/>
        </w:rPr>
        <w:t>657—3.26</w:t>
      </w:r>
      <w:r>
        <w:rPr>
          <w:rFonts w:ascii="Times New Roman" w:hAnsi="Times New Roman"/>
          <w:b w:val="false"/>
          <w:i w:val="false"/>
          <w:color w:val="000000"/>
          <w:sz w:val="22"/>
        </w:rPr>
        <w:t xml:space="preserve"> and </w:t>
      </w:r>
      <w:r>
        <w:rPr>
          <w:rFonts w:ascii="Times New Roman" w:hAnsi="Times New Roman"/>
          <w:b/>
          <w:i w:val="false"/>
          <w:color w:val="000000"/>
          <w:sz w:val="22"/>
        </w:rPr>
        <w:t>3.27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657—3.28</w:t>
      </w:r>
      <w:r>
        <w:rPr>
          <w:rFonts w:ascii="Times New Roman" w:hAnsi="Times New Roman"/>
          <w:b/>
          <w:i w:val="false"/>
          <w:color w:val="000000"/>
          <w:sz w:val="22"/>
        </w:rPr>
        <w:t xml:space="preserve">(147,155A) </w:t>
      </w:r>
      <w:r>
        <w:rPr>
          <w:rFonts w:ascii="Times New Roman" w:hAnsi="Times New Roman"/>
          <w:b/>
          <w:i w:val="false"/>
          <w:color w:val="000000"/>
          <w:sz w:val="22"/>
        </w:rPr>
        <w:t xml:space="preserve">Unethical conduct or practice. </w:t>
      </w:r>
      <w:r>
        <w:rPr>
          <w:rFonts w:ascii="Times New Roman" w:hAnsi="Times New Roman"/>
          <w:b w:val="false"/>
          <w:i w:val="false"/>
          <w:color w:val="000000"/>
          <w:sz w:val="22"/>
        </w:rPr>
        <w:t xml:space="preserve">Violation by a pharmacy technician of any of the provisions of this rule shall constitute unethical conduct or practice and may be grounds for disciplinary action as provided in rule </w:t>
      </w:r>
      <w:hyperlink r:id="rId31">
        <w:r>
          <w:rPr>
            <w:rStyle w:val="Hyperlink"/>
            <w:rFonts w:ascii="Times New Roman" w:hAnsi="Times New Roman"/>
            <w:b w:val="false"/>
            <w:i w:val="false"/>
            <w:color w:val="000000"/>
            <w:sz w:val="22"/>
          </w:rPr>
          <w:t>657—3.31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color w:val="000000"/>
          <w:sz w:val="22"/>
        </w:rPr>
        <w:t xml:space="preserve">Misrepresentative deeds. </w:t>
      </w:r>
      <w:r>
        <w:rPr>
          <w:rFonts w:ascii="Times New Roman" w:hAnsi="Times New Roman"/>
          <w:b w:val="false"/>
          <w:i w:val="false"/>
          <w:color w:val="000000"/>
          <w:sz w:val="22"/>
        </w:rPr>
        <w:t>A pharmacy technician shall not make any statement tending to deceive, misrepresent, or mislead anyone, or be a party to or an accessory to any fraudulent or deceitful practice or transaction in pharmacy or in the operation or conduct of a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 the absence of express written authorization from the patient or written order or direction of a court, except where the best interests of the patient require, a pharmacy technician shall not divulge or reveal to any person other than the patient or the patient’s authorized representative, the prescriber or other licensed practitioner then caring for the patient, a licensed pharmacist, a person duly authorized by law to receive such information, or as otherwise provided in rule </w:t>
      </w:r>
      <w:hyperlink r:id="rId32">
        <w:r>
          <w:rPr>
            <w:rStyle w:val="Hyperlink"/>
            <w:rFonts w:ascii="Times New Roman" w:hAnsi="Times New Roman"/>
            <w:b w:val="false"/>
            <w:i w:val="false"/>
            <w:color w:val="000000"/>
            <w:sz w:val="22"/>
          </w:rPr>
          <w:t>657—8.16</w:t>
        </w:r>
      </w:hyperlink>
      <w:r>
        <w:rPr>
          <w:rFonts w:ascii="Times New Roman" w:hAnsi="Times New Roman"/>
          <w:b w:val="false"/>
          <w:i w:val="false"/>
          <w:color w:val="000000"/>
          <w:sz w:val="22"/>
        </w:rPr>
        <w:t>(124,155A),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patient’s name, address, social security number, or any information that could be used to identify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contents of any prescription drug order or medication order or the therapeutic effect thereof, or the nature of professional pharmaceutical services rendered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extent, or degree of illness suffered by any patient;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medical information furnished by the prescriber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3.28(3)</w:t>
      </w:r>
      <w:r>
        <w:rPr>
          <w:rFonts w:ascii="Times New Roman" w:hAnsi="Times New Roman"/>
          <w:b w:val="false"/>
          <w:i w:val="false"/>
          <w:color w:val="000000"/>
          <w:sz w:val="22"/>
        </w:rPr>
        <w:t> </w:t>
      </w:r>
      <w:r>
        <w:rPr>
          <w:rFonts w:ascii="Times New Roman" w:hAnsi="Times New Roman"/>
          <w:b w:val="false"/>
          <w:i/>
          <w:color w:val="000000"/>
          <w:sz w:val="22"/>
        </w:rPr>
        <w:t xml:space="preserve">Discrimination. </w:t>
      </w:r>
      <w:r>
        <w:rPr>
          <w:rFonts w:ascii="Times New Roman" w:hAnsi="Times New Roman"/>
          <w:b w:val="false"/>
          <w:i w:val="false"/>
          <w:color w:val="000000"/>
          <w:sz w:val="22"/>
        </w:rPr>
        <w:t>It is unethical to unlawfully discriminate between patients or groups of patients for reasons of religion, race, creed, color, gender, gender identity, sexual orientation, marital status, age, national origin, physical or mental disability, or disease state when providing 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3.28(4)</w:t>
      </w:r>
      <w:r>
        <w:rPr>
          <w:rFonts w:ascii="Times New Roman" w:hAnsi="Times New Roman"/>
          <w:b w:val="false"/>
          <w:i w:val="false"/>
          <w:color w:val="000000"/>
          <w:sz w:val="22"/>
        </w:rPr>
        <w:t> </w:t>
      </w:r>
      <w:r>
        <w:rPr>
          <w:rFonts w:ascii="Times New Roman" w:hAnsi="Times New Roman"/>
          <w:b w:val="false"/>
          <w:i/>
          <w:color w:val="000000"/>
          <w:sz w:val="22"/>
        </w:rPr>
        <w:t xml:space="preserve">Unethical conduct or behavior. </w:t>
      </w:r>
      <w:r>
        <w:rPr>
          <w:rFonts w:ascii="Times New Roman" w:hAnsi="Times New Roman"/>
          <w:b w:val="false"/>
          <w:i w:val="false"/>
          <w:color w:val="000000"/>
          <w:sz w:val="22"/>
        </w:rPr>
        <w:t>A pharmacy technician shall not exhibit unethical behavior in connection with the technician’s pharmacy employment. Unethical behavior shall include, but is not limited to, the following acts: verbal or physical abuse, coercion, intimidation, harassment, sexual advances, threats, degradation of character, indecent or obscene conduct, and theft.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657—3.29</w:t>
      </w:r>
      <w:r>
        <w:rPr>
          <w:rFonts w:ascii="Times New Roman" w:hAnsi="Times New Roman"/>
          <w:b/>
          <w:i w:val="false"/>
          <w:color w:val="000000"/>
          <w:sz w:val="22"/>
        </w:rPr>
        <w:t xml:space="preserve">(155A) </w:t>
      </w:r>
      <w:r>
        <w:rPr>
          <w:rFonts w:ascii="Times New Roman" w:hAnsi="Times New Roman"/>
          <w:b/>
          <w:i w:val="false"/>
          <w:color w:val="000000"/>
          <w:sz w:val="22"/>
        </w:rPr>
        <w:t xml:space="preserve">Denial of registration. </w:t>
      </w:r>
      <w:r>
        <w:rPr>
          <w:rFonts w:ascii="Times New Roman" w:hAnsi="Times New Roman"/>
          <w:b w:val="false"/>
          <w:i w:val="false"/>
          <w:color w:val="000000"/>
          <w:sz w:val="22"/>
        </w:rPr>
        <w:t xml:space="preserve">The executive director or designee may deny an application for registration as a certified pharmacy technician or pharmacy technician trainee for any violation of the laws of this state, another state, or the United States relating to prescription drugs, controlled substances, or nonprescription drugs or for any violation of Iowa Code chapter </w:t>
      </w:r>
      <w:hyperlink r:id="rId3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w:t>
      </w:r>
    </w:p>
    <w:p>
      <w:pPr>
        <w:spacing w:before="0" w:after="0"/>
        <w:ind w:left="120"/>
        <w:jc w:val="both"/>
      </w:pPr>
      <w:r>
        <w:rPr>
          <w:rFonts w:ascii="Times New Roman" w:hAnsi="Times New Roman"/>
          <w:b w:val="false"/>
          <w:i w:val="false"/>
          <w:color w:val="000000"/>
          <w:sz w:val="22"/>
        </w:rPr>
        <w:t>An individual whose application for registration as a certified pharmacy technician or pharmacy technician trainee is denied pursuant to this rule may, within 30 days after issuance of the notice of denial, appeal to the board for reconsideration of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657—3.30</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 registered pharmacy technician shall provide to the board written notice of and unredacted documents related to any disciplinary or enforcement action imposed by any licensing agency or regulatory authority on any license or registration held by the registered pharmacy technician no later than 30 days after the final action. Discipline may include, but is not limited to, fine or civil penalty, citation or reprimand, probationary period, suspension, revocation, and voluntary surrender. A registered pharmacy technician shall provide written notice to the board of any criminal conviction that is related to the practice of pharmacy or controlled substances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657—3.31</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of pharmacy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The board may impose discipline for any violation of the laws of this state, another state, or the United States relating to prescription drugs, controlled substances, or nonprescription drugs, or for any violation of Iowa Code chapter </w:t>
      </w:r>
      <w:hyperlink r:id="rId3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board may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certified pharmacy technician or pharmacy technician trainee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certified pharmacy technician or pharmacy technician trainee registration until further order of the board or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certified pharmacy technician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Prohibition, permanently, until further order of the board, or for a specified period, from engaging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ordering of a physical or mental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imposition of civil penalties not to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Issuance of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 xml:space="preserve">; </w:t>
      </w:r>
      <w:r>
        <w:rPr>
          <w:rFonts w:ascii="Times New Roman" w:hAnsi="Times New Roman"/>
          <w:b/>
          <w:i w:val="false"/>
          <w:color w:val="000000"/>
          <w:sz w:val="16"/>
        </w:rPr>
        <w:t>ARC 1785C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147.72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155A.23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155A.34, and </w:t>
      </w:r>
      <w:hyperlink r:id="rId51">
        <w:r>
          <w:rPr>
            <w:rStyle w:val="Hyperlink"/>
            <w:rFonts w:ascii="Times New Roman" w:hAnsi="Times New Roman"/>
            <w:b w:val="false"/>
            <w:i w:val="false"/>
            <w:color w:val="000000"/>
            <w:sz w:val="22"/>
          </w:rPr>
          <w:t>155A.39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2/22/99, Notice 10/21/98—published 3/10/99, effective 4/14/99]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3/11/04, Notice 8/6/03—published 3/31/04, effective 5/5/04]</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3/5/08, Notice 12/19/07—published 3/26/08, effective 4/30/08]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Emergency ARC 9009B, IAB 8/11/10, effective 7/23/10]</w:t>
      </w:r>
    </w:p>
    <w:p>
      <w:pPr>
        <w:spacing w:before="0" w:after="0"/>
        <w:ind w:left="120"/>
        <w:jc w:val="center"/>
      </w:pPr>
      <w:r>
        <w:rPr>
          <w:rFonts w:ascii="Times New Roman" w:hAnsi="Times New Roman"/>
          <w:b w:val="false"/>
          <w:i w:val="false"/>
          <w:color w:val="000000"/>
          <w:sz w:val="21"/>
        </w:rPr>
        <w:t>[Editorial change: IAC Supplement 10/6/10]</w:t>
      </w:r>
    </w:p>
    <w:p>
      <w:pPr>
        <w:spacing w:before="0" w:after="0"/>
        <w:ind w:left="120"/>
        <w:jc w:val="center"/>
      </w:pPr>
      <w:r>
        <w:rPr>
          <w:rFonts w:ascii="Times New Roman" w:hAnsi="Times New Roman"/>
          <w:b w:val="false"/>
          <w:i w:val="false"/>
          <w:color w:val="000000"/>
          <w:sz w:val="21"/>
        </w:rPr>
        <w:t>[Filed ARC 9407B</w:t>
      </w:r>
      <w:r>
        <w:rPr>
          <w:rFonts w:ascii="Times New Roman" w:hAnsi="Times New Roman"/>
          <w:b w:val="false"/>
          <w:i w:val="false"/>
          <w:color w:val="000000"/>
          <w:sz w:val="21"/>
        </w:rPr>
        <w:t xml:space="preserve"> (Notice ARC 9193B,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9502B</w:t>
      </w:r>
      <w:r>
        <w:rPr>
          <w:rFonts w:ascii="Times New Roman" w:hAnsi="Times New Roman"/>
          <w:b w:val="false"/>
          <w:i w:val="false"/>
          <w:color w:val="000000"/>
          <w:sz w:val="21"/>
        </w:rPr>
        <w:t xml:space="preserve"> (Notice ARC 9297B, IAB 12/29/10)</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9783B</w:t>
      </w:r>
      <w:r>
        <w:rPr>
          <w:rFonts w:ascii="Times New Roman" w:hAnsi="Times New Roman"/>
          <w:b w:val="false"/>
          <w:i w:val="false"/>
          <w:color w:val="000000"/>
          <w:sz w:val="21"/>
        </w:rPr>
        <w:t xml:space="preserve"> (Notice ARC 9557B, IAB 6/15/11)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1785C</w:t>
      </w:r>
      <w:r>
        <w:rPr>
          <w:rFonts w:ascii="Times New Roman" w:hAnsi="Times New Roman"/>
          <w:b w:val="false"/>
          <w:i w:val="false"/>
          <w:color w:val="000000"/>
          <w:sz w:val="21"/>
        </w:rPr>
        <w:t xml:space="preserve"> (Notice ARC 1653C,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2194C</w:t>
      </w:r>
      <w:r>
        <w:rPr>
          <w:rFonts w:ascii="Times New Roman" w:hAnsi="Times New Roman"/>
          <w:b w:val="false"/>
          <w:i w:val="false"/>
          <w:color w:val="000000"/>
          <w:sz w:val="21"/>
        </w:rPr>
        <w:t xml:space="preserve"> (Notice ARC 1979C, IAB 4/29/15)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4189C</w:t>
      </w:r>
      <w:r>
        <w:rPr>
          <w:rFonts w:ascii="Times New Roman" w:hAnsi="Times New Roman"/>
          <w:b w:val="false"/>
          <w:i w:val="false"/>
          <w:color w:val="000000"/>
          <w:sz w:val="21"/>
        </w:rPr>
        <w:t xml:space="preserve"> (Notice ARC 4030C,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5542C</w:t>
      </w:r>
      <w:r>
        <w:rPr>
          <w:rFonts w:ascii="Times New Roman" w:hAnsi="Times New Roman"/>
          <w:b w:val="false"/>
          <w:i w:val="false"/>
          <w:color w:val="000000"/>
          <w:sz w:val="21"/>
        </w:rPr>
        <w:t xml:space="preserve"> (Notice ARC 5373C, IAB 1/13/21)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Emergency ARC 5820C, IAB 8/11/21, effective 7/15/21]</w:t>
      </w:r>
    </w:p>
    <w:p>
      <w:pPr>
        <w:spacing w:before="0" w:after="0"/>
        <w:ind w:left="120"/>
        <w:jc w:val="center"/>
      </w:pPr>
      <w:r>
        <w:rPr>
          <w:rFonts w:ascii="Times New Roman" w:hAnsi="Times New Roman"/>
          <w:b w:val="false"/>
          <w:i w:val="false"/>
          <w:color w:val="000000"/>
          <w:sz w:val="21"/>
        </w:rPr>
        <w:t>[Filed ARC 6071C</w:t>
      </w:r>
      <w:r>
        <w:rPr>
          <w:rFonts w:ascii="Times New Roman" w:hAnsi="Times New Roman"/>
          <w:b w:val="false"/>
          <w:i w:val="false"/>
          <w:color w:val="000000"/>
          <w:sz w:val="21"/>
        </w:rPr>
        <w:t xml:space="preserve"> (Notice ARC 5831C, IAB 8/11/21)</w:t>
      </w:r>
      <w:r>
        <w:rPr>
          <w:rFonts w:ascii="Times New Roman" w:hAnsi="Times New Roman"/>
          <w:b w:val="false"/>
          <w:i w:val="false"/>
          <w:color w:val="000000"/>
          <w:sz w:val="21"/>
        </w:rPr>
        <w:t>, IAB 12/15/21, effective 1/19/22]</w:t>
      </w:r>
      <w:r>
        <w:br/>
      </w:r>
      <w:r>
        <w:rPr>
          <w:rFonts w:ascii="Times New Roman" w:hAnsi="Times New Roman"/>
          <w:b w:val="false"/>
          <w:i w:val="false"/>
          <w:color w:val="000000"/>
          <w:sz w:val="21"/>
        </w:rPr>
        <w:t>[Filed ARC 6076C</w:t>
      </w:r>
      <w:r>
        <w:rPr>
          <w:rFonts w:ascii="Times New Roman" w:hAnsi="Times New Roman"/>
          <w:b w:val="false"/>
          <w:i w:val="false"/>
          <w:color w:val="000000"/>
          <w:sz w:val="21"/>
        </w:rPr>
        <w:t xml:space="preserve"> (Notice ARC 5833C,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6416C</w:t>
      </w:r>
      <w:r>
        <w:rPr>
          <w:rFonts w:ascii="Times New Roman" w:hAnsi="Times New Roman"/>
          <w:b w:val="false"/>
          <w:i w:val="false"/>
          <w:color w:val="000000"/>
          <w:sz w:val="21"/>
        </w:rPr>
        <w:t xml:space="preserve"> (Notice ARC 6279C, IAB 4/6/22)</w:t>
      </w:r>
      <w:r>
        <w:rPr>
          <w:rFonts w:ascii="Times New Roman" w:hAnsi="Times New Roman"/>
          <w:b w:val="false"/>
          <w:i w:val="false"/>
          <w:color w:val="000000"/>
          <w:sz w:val="21"/>
        </w:rPr>
        <w:t>, IAB 7/27/22, effective 8/31/22]</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p>
      <w:pPr>
        <w:pBdr>
          <w:bottom w:space="2"/>
        </w:pBdr>
        <w:spacing w:before="0" w:after="0"/>
        <w:ind w:left="120"/>
        <w:jc w:val="both"/>
      </w:pPr>
      <w:r>
        <w:rPr>
          <w:rFonts w:ascii="Times New Roman" w:hAnsi="Times New Roman"/>
          <w:b w:val="false"/>
          <w:i w:val="false"/>
          <w:color w:val="000000"/>
          <w:sz w:val="22"/>
        </w:rPr>
        <w:t>April 30, 2008, effective date delayed 70 days by the Administrative Rules Review Committee at its meeting held April 4, 2008.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5.pdf" Type="http://schemas.openxmlformats.org/officeDocument/2006/relationships/hyperlink" Id="rId5"/>
    <Relationship TargetMode="External" Target="https://www.legis.iowa.gov/docs/iac/rule/657.3.21.pdf" Type="http://schemas.openxmlformats.org/officeDocument/2006/relationships/hyperlink" Id="rId6"/>
    <Relationship TargetMode="External" Target="https://www.legis.iowa.gov/docs/iac/rule/657.3.5.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ac/rule/657.3.5.pdf" Type="http://schemas.openxmlformats.org/officeDocument/2006/relationships/hyperlink" Id="rId10"/>
    <Relationship TargetMode="External" Target="https://www.legis.iowa.gov/docs/iac/rule/657.3.9.pdf" Type="http://schemas.openxmlformats.org/officeDocument/2006/relationships/hyperlink" Id="rId11"/>
    <Relationship TargetMode="External" Target="https://www.legis.iowa.gov/docs/iac/rule/657.3.5.pdf" Type="http://schemas.openxmlformats.org/officeDocument/2006/relationships/hyperlink" Id="rId12"/>
    <Relationship TargetMode="External" Target="https://www.legis.iowa.gov/docs/iac/rule/657.3.10.pdf" Type="http://schemas.openxmlformats.org/officeDocument/2006/relationships/hyperlink" Id="rId13"/>
    <Relationship TargetMode="External" Target="https://www.legis.iowa.gov/docs/iac/rule/657.3.9.pdf" Type="http://schemas.openxmlformats.org/officeDocument/2006/relationships/hyperlink" Id="rId14"/>
    <Relationship TargetMode="External" Target="https://www.legis.iowa.gov/docs/iac/rule/657.3.10.pdf" Type="http://schemas.openxmlformats.org/officeDocument/2006/relationships/hyperlink" Id="rId15"/>
    <Relationship TargetMode="External" Target="https://www.legis.iowa.gov/docs/iac/rule/657.3.9.pdf" Type="http://schemas.openxmlformats.org/officeDocument/2006/relationships/hyperlink" Id="rId16"/>
    <Relationship TargetMode="External" Target="https://www.legis.iowa.gov/docs/iac/rule/657.3.9.pdf" Type="http://schemas.openxmlformats.org/officeDocument/2006/relationships/hyperlink" Id="rId17"/>
    <Relationship TargetMode="External" Target="https://www.legis.iowa.gov/docs/iac/rule/657.3.9.pdf" Type="http://schemas.openxmlformats.org/officeDocument/2006/relationships/hyperlink" Id="rId18"/>
    <Relationship TargetMode="External" Target="https://www.legis.iowa.gov/docs/iac/rule/657.3.9.pdf" Type="http://schemas.openxmlformats.org/officeDocument/2006/relationships/hyperlink" Id="rId19"/>
    <Relationship TargetMode="External" Target="https://www.legis.iowa.gov/docs/iac/rule/657.3.3.pdf" Type="http://schemas.openxmlformats.org/officeDocument/2006/relationships/hyperlink" Id="rId20"/>
    <Relationship TargetMode="External" Target="https://www.legis.iowa.gov/docs/iac/rule/657.3.10.pdf" Type="http://schemas.openxmlformats.org/officeDocument/2006/relationships/hyperlink" Id="rId21"/>
    <Relationship TargetMode="External" Target="https://www.legis.iowa.gov/docs/iac/chapter/657.3.pdf" Type="http://schemas.openxmlformats.org/officeDocument/2006/relationships/hyperlink" Id="rId22"/>
    <Relationship TargetMode="External" Target="https://www.legis.iowa.gov/docs/iac/rule/657.3.17.pdf" Type="http://schemas.openxmlformats.org/officeDocument/2006/relationships/hyperlink" Id="rId23"/>
    <Relationship TargetMode="External" Target="https://www.legis.iowa.gov/docs/iac/rule/657.3.17.pdf" Type="http://schemas.openxmlformats.org/officeDocument/2006/relationships/hyperlink" Id="rId24"/>
    <Relationship TargetMode="External" Target="https://www.legis.iowa.gov/docs/iac/rule/657.3.17.pdf" Type="http://schemas.openxmlformats.org/officeDocument/2006/relationships/hyperlink" Id="rId25"/>
    <Relationship TargetMode="External" Target="https://www.legis.iowa.gov/docs/iac/rule/657.3.23.pdf" Type="http://schemas.openxmlformats.org/officeDocument/2006/relationships/hyperlink" Id="rId26"/>
    <Relationship TargetMode="External" Target="https://www.legis.iowa.gov/docs/iac/chapter/657.40.pdf" Type="http://schemas.openxmlformats.org/officeDocument/2006/relationships/hyperlink" Id="rId27"/>
    <Relationship TargetMode="External" Target="https://www.legis.iowa.gov/docs/iac/chapter/657.40.pdf" Type="http://schemas.openxmlformats.org/officeDocument/2006/relationships/hyperlink" Id="rId28"/>
    <Relationship TargetMode="External" Target="https://www.legis.iowa.gov/docs/iac/rule/657.8.21.pdf" Type="http://schemas.openxmlformats.org/officeDocument/2006/relationships/hyperlink" Id="rId29"/>
    <Relationship TargetMode="External" Target="https://www.legis.iowa.gov/docs/iac/rule/657.3.23.pdf" Type="http://schemas.openxmlformats.org/officeDocument/2006/relationships/hyperlink" Id="rId30"/>
    <Relationship TargetMode="External" Target="https://www.legis.iowa.gov/docs/iac/rule/657.3.31.pdf" Type="http://schemas.openxmlformats.org/officeDocument/2006/relationships/hyperlink" Id="rId31"/>
    <Relationship TargetMode="External" Target="https://www.legis.iowa.gov/docs/iac/rule/657.8.16.pdf" Type="http://schemas.openxmlformats.org/officeDocument/2006/relationships/hyperlink" Id="rId32"/>
    <Relationship TargetMode="External" Target="https://www.legis.iowa.gov/docs/ico/chapter/124.pdf" Type="http://schemas.openxmlformats.org/officeDocument/2006/relationships/hyperlink" Id="rId33"/>
    <Relationship TargetMode="External" Target="https://www.legis.iowa.gov/docs/ico/chapter/124B.pdf" Type="http://schemas.openxmlformats.org/officeDocument/2006/relationships/hyperlink" Id="rId34"/>
    <Relationship TargetMode="External" Target="https://www.legis.iowa.gov/docs/ico/chapter/126.pdf" Type="http://schemas.openxmlformats.org/officeDocument/2006/relationships/hyperlink" Id="rId35"/>
    <Relationship TargetMode="External" Target="https://www.legis.iowa.gov/docs/ico/chapter/147.pdf" Type="http://schemas.openxmlformats.org/officeDocument/2006/relationships/hyperlink" Id="rId36"/>
    <Relationship TargetMode="External" Target="https://www.legis.iowa.gov/docs/ico/chapter/155A.pdf" Type="http://schemas.openxmlformats.org/officeDocument/2006/relationships/hyperlink" Id="rId37"/>
    <Relationship TargetMode="External" Target="https://www.legis.iowa.gov/docs/ico/chapter/205.pdf" Type="http://schemas.openxmlformats.org/officeDocument/2006/relationships/hyperlink" Id="rId38"/>
    <Relationship TargetMode="External" Target="https://www.legis.iowa.gov/docs/ico/chapter/124.pdf" Type="http://schemas.openxmlformats.org/officeDocument/2006/relationships/hyperlink" Id="rId39"/>
    <Relationship TargetMode="External" Target="https://www.legis.iowa.gov/docs/ico/chapter/124B.pdf" Type="http://schemas.openxmlformats.org/officeDocument/2006/relationships/hyperlink" Id="rId40"/>
    <Relationship TargetMode="External" Target="https://www.legis.iowa.gov/docs/ico/chapter/126.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55A.pdf" Type="http://schemas.openxmlformats.org/officeDocument/2006/relationships/hyperlink" Id="rId43"/>
    <Relationship TargetMode="External" Target="https://www.legis.iowa.gov/docs/ico/chapter/205.pdf" Type="http://schemas.openxmlformats.org/officeDocument/2006/relationships/hyperlink" Id="rId44"/>
    <Relationship TargetMode="External" Target="https://www.legis.iowa.gov/docs/ico/chapter/147.72.pdf" Type="http://schemas.openxmlformats.org/officeDocument/2006/relationships/hyperlink" Id="rId45"/>
    <Relationship TargetMode="External" Target="https://www.legis.iowa.gov/docs/ico/chapter/147.80.pdf" Type="http://schemas.openxmlformats.org/officeDocument/2006/relationships/hyperlink" Id="rId46"/>
    <Relationship TargetMode="External" Target="https://www.legis.iowa.gov/docs/ico/chapter/147.107.pdf" Type="http://schemas.openxmlformats.org/officeDocument/2006/relationships/hyperlink" Id="rId47"/>
    <Relationship TargetMode="External" Target="https://www.legis.iowa.gov/docs/ico/chapter/155A.6A.pdf" Type="http://schemas.openxmlformats.org/officeDocument/2006/relationships/hyperlink" Id="rId48"/>
    <Relationship TargetMode="External" Target="https://www.legis.iowa.gov/docs/ico/chapter/155A.23.pdf" Type="http://schemas.openxmlformats.org/officeDocument/2006/relationships/hyperlink" Id="rId49"/>
    <Relationship TargetMode="External" Target="https://www.legis.iowa.gov/docs/ico/chapter/155A.33.pdf" Type="http://schemas.openxmlformats.org/officeDocument/2006/relationships/hyperlink" Id="rId50"/>
    <Relationship TargetMode="External" Target="https://www.legis.iowa.gov/docs/ico/chapter/155A.39.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