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PETITIONS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657—26.1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Any person, association, agency, or political subdivision may file a petition for rule making with the board of pharmacy at 400 S.W. Eighth Street, Suite E, Des Moines, Iowa 50309-4688. A petition is deemed filed when received by that office. The board shall provide the petitioner with a file-stamped copy of the petition if the petitioner provides the board an extra copy for this purpose. The petition must be typewritten, machine printed,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223"/>
        <w:gridCol w:w="903"/>
        <w:gridCol w:w="5064"/>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IOWA BOARD OF PHARMACY </w:t>
            </w:r>
          </w:p>
        </w:tc>
      </w:tr>
      <w:tr>
        <w:trPr>
          <w:trHeight w:val="855" w:hRule="atLeast"/>
        </w:trPr>
        <w:tc>
          <w:tcPr>
            <w:tcW w:w="5223"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 amendment, or repeal)</w:t>
            </w:r>
          </w:p>
          <w:p>
            <w:pPr>
              <w:spacing w:before="0" w:after="0"/>
              <w:ind w:left="160"/>
              <w:jc w:val="left"/>
            </w:pPr>
            <w:r>
              <w:rPr>
                <w:rFonts w:ascii="Times New Roman" w:hAnsi="Times New Roman"/>
                <w:b w:val="false"/>
                <w:i w:val="false"/>
                <w:color w:val="000000"/>
                <w:sz w:val="16"/>
              </w:rPr>
              <w:t>of rules relating to (state subject matter).</w:t>
            </w:r>
          </w:p>
        </w:tc>
        <w:tc>
          <w:tcPr>
            <w:tcW w:w="90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5064"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shall include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board’s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rule 657—26.4(17A)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Original signature of petitioner and date 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6/29/22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657—26.2</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board may request a brief from the petitioner or from any other person concerning the substance of the petition.</w:t>
      </w:r>
    </w:p>
    <w:p>
      <w:pPr>
        <w:spacing w:before="0" w:after="0"/>
        <w:ind w:left="120"/>
        <w:jc w:val="both"/>
      </w:pPr>
      <w:r>
        <w:rPr>
          <w:rFonts w:ascii="Times New Roman" w:hAnsi="Times New Roman"/>
          <w:b/>
          <w:i w:val="false"/>
          <w:color w:val="000000"/>
          <w:sz w:val="22"/>
        </w:rPr>
        <w:t>657—26.3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 xml:space="preserve">Inquiries concerning the status of a petition for rule making may be made to Executive Director, Iowa Board of Pharmacy, 400 S.W. Eighth Street, Suite E, Des Moines, Iowa 50309-4688, or via electronic mail to </w:t>
      </w:r>
      <w:hyperlink r:id="rId6">
        <w:r>
          <w:rPr>
            <w:rStyle w:val="Hyperlink"/>
            <w:rFonts w:ascii="Times New Roman" w:hAnsi="Times New Roman"/>
            <w:b w:val="false"/>
            <w:i w:val="false"/>
            <w:color w:val="000000"/>
            <w:sz w:val="22"/>
            <w:u w:val="single"/>
          </w:rPr>
          <w:t>andrew.funk@iowa.gov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657—26.4</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color w:val="000000"/>
          <w:sz w:val="22"/>
        </w:rPr>
        <w:t xml:space="preserve">Initial activities. </w:t>
      </w:r>
      <w:r>
        <w:rPr>
          <w:rFonts w:ascii="Times New Roman" w:hAnsi="Times New Roman"/>
          <w:b w:val="false"/>
          <w:i w:val="false"/>
          <w:color w:val="000000"/>
          <w:sz w:val="22"/>
        </w:rPr>
        <w:t>Within 14 days after the filing of a petition, the board shall submit a copy of the petition and any accompanying brief to the administrative rules coordinator and to the administrative rules review committee (ARRC). Upon request by the petitioner, the board shall schedule a brief and informal meeting between the petitioner and the board, a member of the board, or a member of board staff to discuss the petition. The board may request that the petitioner submit additional information or argument concerning the petition. The board may also solicit comments from any person on the substance of the petition. Any person may submit to the board comments on the substance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color w:val="000000"/>
          <w:sz w:val="22"/>
        </w:rPr>
        <w:t xml:space="preserve">Decision issued. </w:t>
      </w:r>
      <w:r>
        <w:rPr>
          <w:rFonts w:ascii="Times New Roman" w:hAnsi="Times New Roman"/>
          <w:b w:val="false"/>
          <w:i w:val="false"/>
          <w:color w:val="000000"/>
          <w:sz w:val="22"/>
        </w:rPr>
        <w:t>Within 60 days after the filing of the petition, or within any longer period agreed to by the petitioner, the board shall, in writing, deny the petition, and notify the petitioner and the ARRC of its action and the specific grounds for the denial, or grant the petition and notify the petitioner and the ARRC that it has initiated rule-making proceedings on the subject of the petition. The petitioner and the ARRC shall be deemed notified of the denial or grant of the petition on the date when the board mails or delivers the required notification to the petitioner and the ARRC.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w:t>
      </w:r>
      <w:r>
        <w:rPr>
          <w:rFonts w:ascii="Times New Roman" w:hAnsi="Times New Roman"/>
          <w:b w:val="false"/>
          <w:i w:val="false"/>
          <w:color w:val="000000"/>
          <w:sz w:val="22"/>
        </w:rPr>
        <w:t> </w:t>
      </w:r>
      <w:r>
        <w:rPr>
          <w:rFonts w:ascii="Times New Roman" w:hAnsi="Times New Roman"/>
          <w:b w:val="false"/>
          <w:i/>
          <w:color w:val="000000"/>
          <w:sz w:val="22"/>
        </w:rPr>
        <w:t xml:space="preserve">Denial for nonconformity.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board’s rejection of the original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5348C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1/21/92, Notice 10/16/91—published 2/19/92, effective 3/25/92]</w:t>
      </w:r>
    </w:p>
    <w:p>
      <w:pPr>
        <w:spacing w:before="0" w:after="0"/>
        <w:ind w:left="120"/>
        <w:jc w:val="center"/>
      </w:pPr>
      <w:r>
        <w:rPr>
          <w:rFonts w:ascii="Times New Roman" w:hAnsi="Times New Roman"/>
          <w:b w:val="false"/>
          <w:i w:val="false"/>
          <w:color w:val="000000"/>
          <w:sz w:val="21"/>
        </w:rPr>
        <w:t>[Filed emergency 10/6/99—published 11/3/99, effective 10/11/99]</w:t>
      </w:r>
    </w:p>
    <w:p>
      <w:pPr>
        <w:spacing w:before="0" w:after="0"/>
        <w:ind w:left="120"/>
        <w:jc w:val="center"/>
      </w:pPr>
      <w:r>
        <w:rPr>
          <w:rFonts w:ascii="Times New Roman" w:hAnsi="Times New Roman"/>
          <w:b w:val="false"/>
          <w:i w:val="false"/>
          <w:color w:val="000000"/>
          <w:sz w:val="21"/>
        </w:rPr>
        <w:t>[Filed 10/24/02, Notice 7/24/02—published 11/13/02, effective 12/18/02]</w:t>
      </w:r>
    </w:p>
    <w:p>
      <w:pPr>
        <w:spacing w:before="0" w:after="0"/>
        <w:ind w:left="120"/>
        <w:jc w:val="center"/>
      </w:pPr>
      <w:r>
        <w:rPr>
          <w:rFonts w:ascii="Times New Roman" w:hAnsi="Times New Roman"/>
          <w:b w:val="false"/>
          <w:i w:val="false"/>
          <w:color w:val="000000"/>
          <w:sz w:val="21"/>
        </w:rPr>
        <w:t>[Filed ARC 3346C</w:t>
      </w:r>
      <w:r>
        <w:rPr>
          <w:rFonts w:ascii="Times New Roman" w:hAnsi="Times New Roman"/>
          <w:b w:val="false"/>
          <w:i w:val="false"/>
          <w:color w:val="000000"/>
          <w:sz w:val="21"/>
        </w:rPr>
        <w:t xml:space="preserve"> (Notice ARC 3133C,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5348C</w:t>
      </w:r>
      <w:r>
        <w:rPr>
          <w:rFonts w:ascii="Times New Roman" w:hAnsi="Times New Roman"/>
          <w:b w:val="false"/>
          <w:i w:val="false"/>
          <w:color w:val="000000"/>
          <w:sz w:val="21"/>
        </w:rPr>
        <w:t xml:space="preserve"> (Notice ARC 5113C, IAB 7/29/20)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[Editorial change: IAC Supplement 6/29/22]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7.26.4.pdf" Type="http://schemas.openxmlformats.org/officeDocument/2006/relationships/hyperlink" Id="rId5"/>
    <Relationship TargetMode="External" Target="mailto:andrew.funk@iowa.gov" Type="http://schemas.openxmlformats.org/officeDocument/2006/relationships/hyperlink" Id="rId6"/>
    <Relationship TargetMode="External" Target="https://www.legis.iowa.gov/docs/ico/chapter/17A.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