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ELECTRONIC DATA AND AUTOMATED SYSTEMS IN PHARMACY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657—21.1</w:t>
      </w:r>
      <w:r>
        <w:rPr>
          <w:rFonts w:ascii="Times New Roman" w:hAnsi="Times New Roman"/>
          <w:b/>
          <w:i w:val="false"/>
          <w:color w:val="000000"/>
          <w:sz w:val="22"/>
        </w:rPr>
        <w:t xml:space="preserve">(124,155A)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provide the minimum standards for the utilization of electronic data and automated systems in the practice of pharmacy and shall apply to all pharmacies located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657—21.2</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“Automated data processing system” </w:t>
      </w:r>
      <w:r>
        <w:rPr>
          <w:rFonts w:ascii="Times New Roman" w:hAnsi="Times New Roman"/>
          <w:b w:val="false"/>
          <w:i w:val="false"/>
          <w:color w:val="000000"/>
          <w:sz w:val="22"/>
        </w:rPr>
        <w:t>means an application that is used for prescription, patient, drug, and prescriber information; installed on a pharmacy’s computer or server; and controlled by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“Automated medication distribution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“AMDS” </w:t>
      </w:r>
      <w:r>
        <w:rPr>
          <w:rFonts w:ascii="Times New Roman" w:hAnsi="Times New Roman"/>
          <w:b w:val="false"/>
          <w:i w:val="false"/>
          <w:color w:val="000000"/>
          <w:sz w:val="22"/>
        </w:rPr>
        <w:t>includes, but is not limited to, an automated device or series of devices operated by an electronic interface with one or more computers that is used to prepare, package, or dispense specified dosage units of drugs for administration or dispensing. “AMDS” does not include electronic storage devices that do not have an electronic interface with one or more computers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w:t>
      </w:r>
      <w:r>
        <w:rPr>
          <w:rFonts w:ascii="Times New Roman" w:hAnsi="Times New Roman"/>
          <w:b w:val="false"/>
          <w:i w:val="false"/>
          <w:color w:val="000000"/>
          <w:sz w:val="22"/>
        </w:rPr>
        <w:t>means the Iowa uniform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means the registration issued by the board pursuant to the CSA that signifies the registrant’s authorization to engage in registered activities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U.S. Department of Justice,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“Electronically prepared prescription” </w:t>
      </w:r>
      <w:r>
        <w:rPr>
          <w:rFonts w:ascii="Times New Roman" w:hAnsi="Times New Roman"/>
          <w:b w:val="false"/>
          <w:i w:val="false"/>
          <w:color w:val="000000"/>
          <w:sz w:val="22"/>
        </w:rPr>
        <w:t>means a prescription that is generated utilizing an electronic prescription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device” </w:t>
      </w:r>
      <w:r>
        <w:rPr>
          <w:rFonts w:ascii="Times New Roman" w:hAnsi="Times New Roman"/>
          <w:b w:val="false"/>
          <w:i w:val="false"/>
          <w:color w:val="000000"/>
          <w:sz w:val="22"/>
        </w:rPr>
        <w:t>means an electronic, mechanical, or other device which is used to intercept communications and includes but is not limited to network, file and print servers; desktop workstations; laptop computers; tablets; mini-computers; smart phones; and similar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 </w:t>
      </w:r>
      <w:r>
        <w:rPr>
          <w:rFonts w:ascii="Times New Roman" w:hAnsi="Times New Roman"/>
          <w:b w:val="false"/>
          <w:i w:val="false"/>
          <w:color w:val="000000"/>
          <w:sz w:val="22"/>
        </w:rPr>
        <w:t>means an electronically prepared prescription that is authorized and transmitted from the prescriber to the pharmacy by means of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 application” </w:t>
      </w:r>
      <w:r>
        <w:rPr>
          <w:rFonts w:ascii="Times New Roman" w:hAnsi="Times New Roman"/>
          <w:b w:val="false"/>
          <w:i w:val="false"/>
          <w:color w:val="000000"/>
          <w:sz w:val="22"/>
        </w:rPr>
        <w:t>means software that is used to create electronic prescriptions and that is intended to be installed on a prescriber’s computers and servers where access and records are controlled by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means a confidential personalized digital key, code, number, or other method used for secure electronic data transmissions which identifies a particular person as the source of the message, authenticates the signatory of the message, and indicates the person’s approval of the information contained in the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w:t>
      </w:r>
      <w:r>
        <w:rPr>
          <w:rFonts w:ascii="Times New Roman" w:hAnsi="Times New Roman"/>
          <w:b w:val="false"/>
          <w:i w:val="false"/>
          <w:color w:val="000000"/>
          <w:sz w:val="22"/>
        </w:rPr>
        <w:t>means the transmission of an electronic prescription, formatted as an electronic data file, from a prescriber’s electronic prescription application to a pharmacy’s computer, where the data file is imported into the pharmacy prescription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“Facsimile transmission”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“fax transmission” </w:t>
      </w:r>
      <w:r>
        <w:rPr>
          <w:rFonts w:ascii="Times New Roman" w:hAnsi="Times New Roman"/>
          <w:b w:val="false"/>
          <w:i w:val="false"/>
          <w:color w:val="000000"/>
          <w:sz w:val="22"/>
        </w:rPr>
        <w:t xml:space="preserve">means the transmission of a digital image of a prescription from the prescriber or the prescriber’s agent to the pharmacy. “Facsimile transmission” includes but is not limited to transmission of a written prescription between the prescriber’s fax machine and the pharmacy’s fax machine; transmission of an electronically prepared prescription from the prescriber’s electronic prescription application to the pharmacy’s fax machine or printer; or transmission of an electronically prepared prescription from the prescriber’s fax machine to the pharmacy’s fax machine, computer, or printer.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“Intermediary” </w:t>
      </w:r>
      <w:r>
        <w:rPr>
          <w:rFonts w:ascii="Times New Roman" w:hAnsi="Times New Roman"/>
          <w:b w:val="false"/>
          <w:i w:val="false"/>
          <w:color w:val="000000"/>
          <w:sz w:val="22"/>
        </w:rPr>
        <w:t>means any technology system that receives and transmits an electronic prescription between the prescriber and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“verified by a pharmacist” </w:t>
      </w:r>
      <w:r>
        <w:rPr>
          <w:rFonts w:ascii="Times New Roman" w:hAnsi="Times New Roman"/>
          <w:b w:val="false"/>
          <w:i w:val="false"/>
          <w:color w:val="000000"/>
          <w:sz w:val="22"/>
        </w:rPr>
        <w:t>means the accuracy of a prescription drug is verified by a pharmacist, pharmacist-intern, or technician in an approved technician product verification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order”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“prescription” </w:t>
      </w:r>
      <w:r>
        <w:rPr>
          <w:rFonts w:ascii="Times New Roman" w:hAnsi="Times New Roman"/>
          <w:b w:val="false"/>
          <w:i w:val="false"/>
          <w:color w:val="000000"/>
          <w:sz w:val="22"/>
        </w:rPr>
        <w:t>means a lawful order of a practitioner for a drug or device for a specific patient that is communicated to a pharmacy, regardless of whether the communication is oral, electronic, via facsimile, or in printed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“Readily retrievable” </w:t>
      </w:r>
      <w:r>
        <w:rPr>
          <w:rFonts w:ascii="Times New Roman" w:hAnsi="Times New Roman"/>
          <w:b w:val="false"/>
          <w:i w:val="false"/>
          <w:color w:val="000000"/>
          <w:sz w:val="22"/>
        </w:rPr>
        <w:t>means that hard-copy or electronic records can be separated out from all other records within 72 hours of a request from the board or other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prescription” </w:t>
      </w:r>
      <w:r>
        <w:rPr>
          <w:rFonts w:ascii="Times New Roman" w:hAnsi="Times New Roman"/>
          <w:b w:val="false"/>
          <w:i w:val="false"/>
          <w:color w:val="000000"/>
          <w:sz w:val="22"/>
        </w:rPr>
        <w:t>means a prescription that is created on paper, a prescription that is electronically prepared and printed, or a prescription that is electronically prepared and transmitted from the prescriber’s electronic device to a pharmacy via facsimile. A written prescription for a controlled substance shall be manually signed by the prescriber in compliance with federal and state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657—21.3</w:t>
      </w:r>
      <w:r>
        <w:rPr>
          <w:rFonts w:ascii="Times New Roman" w:hAnsi="Times New Roman"/>
          <w:b/>
          <w:i w:val="false"/>
          <w:color w:val="000000"/>
          <w:sz w:val="22"/>
        </w:rPr>
        <w:t xml:space="preserve">(124,155A) </w:t>
      </w:r>
      <w:r>
        <w:rPr>
          <w:rFonts w:ascii="Times New Roman" w:hAnsi="Times New Roman"/>
          <w:b/>
          <w:i w:val="false"/>
          <w:color w:val="000000"/>
          <w:sz w:val="22"/>
        </w:rPr>
        <w:t xml:space="preserve">System security and safeguards. </w:t>
      </w:r>
      <w:r>
        <w:rPr>
          <w:rFonts w:ascii="Times New Roman" w:hAnsi="Times New Roman"/>
          <w:b w:val="false"/>
          <w:i w:val="false"/>
          <w:color w:val="000000"/>
          <w:sz w:val="22"/>
        </w:rPr>
        <w:t>To maintain the integrity and confidentiality of patient records and prescription drug orders, any system, computer, or electronic device utilized shall have adequate security including system safeguards designed to prevent and detect unauthorized access, modification, or manipulation of patient records and prescription drug orders. Authentication credentials shall be securely maintained by the individual to whom the credentials are issued and shall not be shared with or disclosed to any other individual. Once a drug or device has been dispensed, any alterations in either the prescription drug order data or the patient record shall be documented and shall include the identification of all pharmacy personnel who were involved in making the alteration as well as the responsible pharmacist. An automated data processing system used for the receipt and processing of electronic transmissions from a prescriber’s electronic prescription application shall comply with DEA requirements relating to electronic prescriptions and shall be certified compliant with DEA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657—21.4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657—21.5</w:t>
      </w:r>
      <w:r>
        <w:rPr>
          <w:rFonts w:ascii="Times New Roman" w:hAnsi="Times New Roman"/>
          <w:b/>
          <w:i w:val="false"/>
          <w:color w:val="000000"/>
          <w:sz w:val="22"/>
        </w:rPr>
        <w:t xml:space="preserve">(124,155A) </w:t>
      </w:r>
      <w:r>
        <w:rPr>
          <w:rFonts w:ascii="Times New Roman" w:hAnsi="Times New Roman"/>
          <w:b/>
          <w:i w:val="false"/>
          <w:color w:val="000000"/>
          <w:sz w:val="22"/>
        </w:rPr>
        <w:t xml:space="preserve">Automated data processing systems. </w:t>
      </w:r>
      <w:r>
        <w:rPr>
          <w:rFonts w:ascii="Times New Roman" w:hAnsi="Times New Roman"/>
          <w:b w:val="false"/>
          <w:i w:val="false"/>
          <w:color w:val="000000"/>
          <w:sz w:val="22"/>
        </w:rPr>
        <w:t>An automated data processing system may be used, subject to the requirements contained in this rule, for the storage and retrieval of prescription, patient, prescriber and drug data as well as data relating to the pharmacy staff utilization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Electronic storage of hard-copy prescriptions. </w:t>
      </w:r>
      <w:r>
        <w:rPr>
          <w:rFonts w:ascii="Times New Roman" w:hAnsi="Times New Roman"/>
          <w:b w:val="false"/>
          <w:i w:val="false"/>
          <w:color w:val="000000"/>
          <w:sz w:val="22"/>
        </w:rPr>
        <w:t>A pharmacy that maintains an electronic copy of an original hard-copy prescription for a noncontrolled substance shall retain, in a readily retrievable format, the original hard-copy prescription as required in rule 657—6.8(155A) but shall be exempt from the requirement to record on the original hard-copy prescription the date and unique identification number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Data retrievable and printable. </w:t>
      </w:r>
      <w:r>
        <w:rPr>
          <w:rFonts w:ascii="Times New Roman" w:hAnsi="Times New Roman"/>
          <w:b w:val="false"/>
          <w:i w:val="false"/>
          <w:color w:val="000000"/>
          <w:sz w:val="22"/>
        </w:rPr>
        <w:t>Any automated data processing system shall be capable of immediate retrieval (via computer monitor or hard-copy printout) of, at a minimum, any prescription, patient, prescriber, and drug data as well as data relating to pharmacy staff utilization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Auxiliary procedure for system downtime. </w:t>
      </w:r>
      <w:r>
        <w:rPr>
          <w:rFonts w:ascii="Times New Roman" w:hAnsi="Times New Roman"/>
          <w:b w:val="false"/>
          <w:i w:val="false"/>
          <w:color w:val="000000"/>
          <w:sz w:val="22"/>
        </w:rPr>
        <w:t>A pharmacy utilizing an automated data processing system shall have a procedure that will maintain security and confidentiality of all data as well as ensure the legal dispensing of any prescription drug order in the event the system experiences downtime.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657—21.6</w:t>
      </w:r>
      <w:r>
        <w:rPr>
          <w:rFonts w:ascii="Times New Roman" w:hAnsi="Times New Roman"/>
          <w:b/>
          <w:i w:val="false"/>
          <w:color w:val="000000"/>
          <w:sz w:val="22"/>
        </w:rPr>
        <w:t xml:space="preserve">(124,155A) </w:t>
      </w:r>
      <w:r>
        <w:rPr>
          <w:rFonts w:ascii="Times New Roman" w:hAnsi="Times New Roman"/>
          <w:b/>
          <w:i w:val="false"/>
          <w:color w:val="000000"/>
          <w:sz w:val="22"/>
        </w:rPr>
        <w:t xml:space="preserve">Electronic prescription applications. </w:t>
      </w:r>
      <w:r>
        <w:rPr>
          <w:rFonts w:ascii="Times New Roman" w:hAnsi="Times New Roman"/>
          <w:b w:val="false"/>
          <w:i w:val="false"/>
          <w:color w:val="000000"/>
          <w:sz w:val="22"/>
        </w:rPr>
        <w:t xml:space="preserve">Each prescription shall be transmitted electronically to a pharmacy except as provided in rule </w:t>
      </w:r>
      <w:hyperlink r:id="rId5">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 xml:space="preserve">(124,155A). The prescription drug order shall contain all information required by Iowa Code section </w:t>
      </w:r>
      <w:hyperlink r:id="rId6">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The receiving pharmacist shall be responsible for verifying the authenticity of an electronically prescribed prescription pursuant to rule </w:t>
      </w:r>
      <w:hyperlink r:id="rId7">
        <w:r>
          <w:rPr>
            <w:rStyle w:val="Hyperlink"/>
            <w:rFonts w:ascii="Times New Roman" w:hAnsi="Times New Roman"/>
            <w:b w:val="false"/>
            <w:i w:val="false"/>
            <w:color w:val="000000"/>
            <w:sz w:val="22"/>
          </w:rPr>
          <w:t>657—8.19</w:t>
        </w:r>
      </w:hyperlink>
      <w:r>
        <w:rPr>
          <w:rFonts w:ascii="Times New Roman" w:hAnsi="Times New Roman"/>
          <w:b w:val="false"/>
          <w:i w:val="false"/>
          <w:color w:val="000000"/>
          <w:sz w:val="22"/>
        </w:rPr>
        <w:t xml:space="preserve">(124,126,155A). A prescription that is subject to exemption as provided in rule </w:t>
      </w:r>
      <w:hyperlink r:id="rId8">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may be transmitted to a pharmacy via electronic or facsimile transmission or printed in hard-copy format for delivery to the pharmacy. A prescription that is transmitted by a prescriber’s agent via electronic or facsimile transmission shall include the first and last names and title of the agent responsible for the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w:t>
      </w:r>
      <w:r>
        <w:rPr>
          <w:rFonts w:ascii="Times New Roman" w:hAnsi="Times New Roman"/>
          <w:b w:val="false"/>
          <w:i w:val="false"/>
          <w:color w:val="000000"/>
          <w:sz w:val="22"/>
        </w:rPr>
        <w:t xml:space="preserve">A prescription prepared pursuant to this rule shall be transmitted electronically to a pharmacy, unless exempt pursuant to rule </w:t>
      </w:r>
      <w:hyperlink r:id="rId9">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A pharmacy shall be certified compliant with DEA regulations relating to electronic prescriptions prior to electronically receiving prescriptions for controlled substances. The electronic record shall serve as the original record and shall be maintained for two years from the date of last activity on the prescription. Any annotations shall be made and retained on the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electronically prepared and transmitted prescription that is printed following transmission shall be clearly labeled as a copy, not valid for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authenticity of a prescription transmitted via electronic transmission between a DEA-certified electronic prescription application and a DEA-certified electronic automated data processing system shall be deemed verified by virtue of the security processes included in those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pharmacy shall ensure that no intermediary has the ability to change the content of the prescription drug order or compromise its confidentiality during the transmission process. The electronic format of the prescription drug order may be changed by the intermediary to facilitate the transmission between electronic applications as long as the content of the prescription drug order remains unchanged.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addition to the information requirements for a prescription, an electronically transmitted prescription shall identify the transmitter’s telephone number for verbal confirmation, the telephone number where the prescriber can be contacted for timely consultation about patient care matters, the time and date of transmission, and the pharmacy intended to receive the transmission as well as any other information required by federal or state laws, rules,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transmission of an electronic prescription fails, the prescriber may print the prescription, manually sign the printed prescription, and deliver the prescription to the pharmacy via facsimile transmission in accordance with </w:t>
      </w:r>
      <w:hyperlink r:id="rId10">
        <w:r>
          <w:rPr>
            <w:rStyle w:val="Hyperlink"/>
            <w:rFonts w:ascii="Times New Roman" w:hAnsi="Times New Roman"/>
            <w:b w:val="false"/>
            <w:i w:val="false"/>
            <w:color w:val="000000"/>
            <w:sz w:val="22"/>
          </w:rPr>
          <w:t>subrule 21.6(2)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Printed (hard-copy) prescriptions. </w:t>
      </w:r>
      <w:r>
        <w:rPr>
          <w:rFonts w:ascii="Times New Roman" w:hAnsi="Times New Roman"/>
          <w:b w:val="false"/>
          <w:i w:val="false"/>
          <w:color w:val="000000"/>
          <w:sz w:val="22"/>
        </w:rPr>
        <w:t xml:space="preserve">A prescription that is exempt from the electronic prescription mandate as provided in rule </w:t>
      </w:r>
      <w:hyperlink r:id="rId11">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may be printed in hard-copy format for facsimile transmission or delivery to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prescription for a controlled substance shall include the prescriber’s manual signature. Printed or hard-copy prescriptions for Schedule II controlled substances shall not be transmitted to a pharmacy via facsimile transmission, except as authorized in rule </w:t>
      </w:r>
      <w:hyperlink r:id="rId12">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prescriber authenticates a prescription for a noncontrolled prescription drug utilizing an electronic signature, the printed prescription shall be printed on security paper. Security features of the paper shall ensure that prescription information is not obscured or rendered illegible when transmitted via facsimile or when scanned into an electronic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facsimile transmission of a printed prescription is a result of a failed electronic transmission, the facsimile shall indicate that it was originally transmitted to the named pharmacy, the date and time of the original electronic transmission, and the fact that the original transmission failed.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5350C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6077C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657—21.7</w:t>
      </w:r>
      <w:r>
        <w:rPr>
          <w:rFonts w:ascii="Times New Roman" w:hAnsi="Times New Roman"/>
          <w:b/>
          <w:i w:val="false"/>
          <w:color w:val="000000"/>
          <w:sz w:val="22"/>
        </w:rPr>
        <w:t xml:space="preserve">(124,155A) </w:t>
      </w:r>
      <w:r>
        <w:rPr>
          <w:rFonts w:ascii="Times New Roman" w:hAnsi="Times New Roman"/>
          <w:b/>
          <w:i w:val="false"/>
          <w:color w:val="000000"/>
          <w:sz w:val="22"/>
        </w:rPr>
        <w:t xml:space="preserve">Facsimile transmission of a prescription. </w:t>
      </w:r>
      <w:r>
        <w:rPr>
          <w:rFonts w:ascii="Times New Roman" w:hAnsi="Times New Roman"/>
          <w:b w:val="false"/>
          <w:i w:val="false"/>
          <w:color w:val="000000"/>
          <w:sz w:val="22"/>
        </w:rPr>
        <w:t xml:space="preserve">A pharmacist may dispense noncontrolled and controlled drugs, including Schedule II controlled substances only as provided in this rule, pursuant to a prescription faxed to the pharmacy by the prescribing practitioner or the practitioner’s agent. The means of transmission via facsimile shall ensure that prescription information is not obscured or rendered illegible due to security features of the paper utilized by the prescriber to prepare a written prescription. The faxed prescription shall serve as the original record, except as provided in </w:t>
      </w:r>
      <w:hyperlink r:id="rId13">
        <w:r>
          <w:rPr>
            <w:rStyle w:val="Hyperlink"/>
            <w:rFonts w:ascii="Times New Roman" w:hAnsi="Times New Roman"/>
            <w:b w:val="false"/>
            <w:i w:val="false"/>
            <w:color w:val="000000"/>
            <w:sz w:val="22"/>
          </w:rPr>
          <w:t>subrule 21.7(1)</w:t>
        </w:r>
      </w:hyperlink>
      <w:r>
        <w:rPr>
          <w:rFonts w:ascii="Times New Roman" w:hAnsi="Times New Roman"/>
          <w:b w:val="false"/>
          <w:i w:val="false"/>
          <w:color w:val="000000"/>
          <w:sz w:val="22"/>
        </w:rPr>
        <w:t xml:space="preserve">, shall be maintained for a minimum of two years from the date of the last activity on the prescription, and shall contain all information required by Iowa Code section </w:t>
      </w:r>
      <w:hyperlink r:id="rId14">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including the prescriber’s signature. If the prescription is transmitted by an agent of the prescriber, the facsimile transmission shall include the first and last names and title of the agent responsible for the transmission. The pharmacist shall be responsible for verifying the authenticity of the prescription as to the source of the facsimile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Schedule II controlled substances—emergency situations. </w:t>
      </w:r>
      <w:r>
        <w:rPr>
          <w:rFonts w:ascii="Times New Roman" w:hAnsi="Times New Roman"/>
          <w:b w:val="false"/>
          <w:i w:val="false"/>
          <w:color w:val="000000"/>
          <w:sz w:val="22"/>
        </w:rPr>
        <w:t xml:space="preserve">A pharmacist may, in an emergency situation as defined in </w:t>
      </w:r>
      <w:hyperlink r:id="rId15">
        <w:r>
          <w:rPr>
            <w:rStyle w:val="Hyperlink"/>
            <w:rFonts w:ascii="Times New Roman" w:hAnsi="Times New Roman"/>
            <w:b w:val="false"/>
            <w:i w:val="false"/>
            <w:color w:val="000000"/>
            <w:sz w:val="22"/>
          </w:rPr>
          <w:t>657—subrule 10.26(1)</w:t>
        </w:r>
      </w:hyperlink>
      <w:r>
        <w:rPr>
          <w:rFonts w:ascii="Times New Roman" w:hAnsi="Times New Roman"/>
          <w:b w:val="false"/>
          <w:i w:val="false"/>
          <w:color w:val="000000"/>
          <w:sz w:val="22"/>
        </w:rPr>
        <w:t xml:space="preserve">, dispense a Schedule II controlled substance pursuant to a facsimile transmission to the pharmacy of a written, signed prescription from the prescriber or the prescriber’s agent pursuant to the requirements of rule </w:t>
      </w:r>
      <w:hyperlink r:id="rId16">
        <w:r>
          <w:rPr>
            <w:rStyle w:val="Hyperlink"/>
            <w:rFonts w:ascii="Times New Roman" w:hAnsi="Times New Roman"/>
            <w:b w:val="false"/>
            <w:i w:val="false"/>
            <w:color w:val="000000"/>
            <w:sz w:val="22"/>
          </w:rPr>
          <w:t>657—10.26</w:t>
        </w:r>
      </w:hyperlink>
      <w:r>
        <w:rPr>
          <w:rFonts w:ascii="Times New Roman" w:hAnsi="Times New Roman"/>
          <w:b w:val="false"/>
          <w:i w:val="false"/>
          <w:color w:val="000000"/>
          <w:sz w:val="22"/>
        </w:rPr>
        <w:t xml:space="preserve">(124). The facsimile shall serve as the temporary written record required by </w:t>
      </w:r>
      <w:hyperlink r:id="rId17">
        <w:r>
          <w:rPr>
            <w:rStyle w:val="Hyperlink"/>
            <w:rFonts w:ascii="Times New Roman" w:hAnsi="Times New Roman"/>
            <w:b w:val="false"/>
            <w:i w:val="false"/>
            <w:color w:val="000000"/>
            <w:sz w:val="22"/>
          </w:rPr>
          <w:t>657—subrule 10.26(2)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Schedule II controlled substances—compounded injectable. </w:t>
      </w:r>
      <w:r>
        <w:rPr>
          <w:rFonts w:ascii="Times New Roman" w:hAnsi="Times New Roman"/>
          <w:b w:val="false"/>
          <w:i w:val="false"/>
          <w:color w:val="000000"/>
          <w:sz w:val="22"/>
        </w:rPr>
        <w:t>A prescription for a Schedule II narcotic substance to be compounded for the direct administration to a patient by parenteral, intravenous, intramuscular, subcutaneous, or intraspinal infusion may be transmitted by a prescriber or the prescriber’s agent to a pharmacy via facsimile.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Schedule II controlled substances—care facility patients. </w:t>
      </w:r>
      <w:r>
        <w:rPr>
          <w:rFonts w:ascii="Times New Roman" w:hAnsi="Times New Roman"/>
          <w:b w:val="false"/>
          <w:i w:val="false"/>
          <w:color w:val="000000"/>
          <w:sz w:val="22"/>
        </w:rPr>
        <w:t xml:space="preserve">A prescription for any Schedule II controlled substance for a resident of a care facility, as defined in rule </w:t>
      </w:r>
      <w:hyperlink r:id="rId18">
        <w:r>
          <w:rPr>
            <w:rStyle w:val="Hyperlink"/>
            <w:rFonts w:ascii="Times New Roman" w:hAnsi="Times New Roman"/>
            <w:b w:val="false"/>
            <w:i w:val="false"/>
            <w:color w:val="000000"/>
            <w:sz w:val="22"/>
          </w:rPr>
          <w:t>657—23.2</w:t>
        </w:r>
      </w:hyperlink>
      <w:r>
        <w:rPr>
          <w:rFonts w:ascii="Times New Roman" w:hAnsi="Times New Roman"/>
          <w:b w:val="false"/>
          <w:i w:val="false"/>
          <w:color w:val="000000"/>
          <w:sz w:val="22"/>
        </w:rPr>
        <w:t>(155A), may be transmitted by the prescriber or the prescriber’s agent to a pharmacy via facsimile. The prescription shall identify that the patient is a resident of 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color w:val="000000"/>
          <w:sz w:val="22"/>
        </w:rPr>
        <w:t xml:space="preserve">Schedule II controlled substances—hospice patients. </w:t>
      </w:r>
      <w:r>
        <w:rPr>
          <w:rFonts w:ascii="Times New Roman" w:hAnsi="Times New Roman"/>
          <w:b w:val="false"/>
          <w:i w:val="false"/>
          <w:color w:val="000000"/>
          <w:sz w:val="22"/>
        </w:rPr>
        <w:t xml:space="preserve">A prescription for any Schedule II controlled substance for a patient in a hospice program licensed pursuant to Iowa Code chapter </w:t>
      </w:r>
      <w:hyperlink r:id="rId19">
        <w:r>
          <w:rPr>
            <w:rStyle w:val="Hyperlink"/>
            <w:rFonts w:ascii="Times New Roman" w:hAnsi="Times New Roman"/>
            <w:b w:val="false"/>
            <w:i w:val="false"/>
            <w:color w:val="000000"/>
            <w:sz w:val="22"/>
          </w:rPr>
          <w:t>135J</w:t>
        </w:r>
      </w:hyperlink>
      <w:r>
        <w:rPr>
          <w:rFonts w:ascii="Times New Roman" w:hAnsi="Times New Roman"/>
          <w:b w:val="false"/>
          <w:i w:val="false"/>
          <w:color w:val="000000"/>
          <w:sz w:val="22"/>
        </w:rPr>
        <w:t xml:space="preserve"> or a program certified or paid for by Medicare under Title XVIII may be transmitted via facsimile by the prescriber or the prescriber’s agent to the pharmacy. The prescription shall identify that the patient is a hospice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5350C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6077C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657—21.8</w:t>
      </w:r>
      <w:r>
        <w:rPr>
          <w:rFonts w:ascii="Times New Roman" w:hAnsi="Times New Roman"/>
          <w:b/>
          <w:i w:val="false"/>
          <w:color w:val="000000"/>
          <w:sz w:val="22"/>
        </w:rPr>
        <w:t xml:space="preserve">(124,155A) </w:t>
      </w:r>
      <w:r>
        <w:rPr>
          <w:rFonts w:ascii="Times New Roman" w:hAnsi="Times New Roman"/>
          <w:b/>
          <w:i w:val="false"/>
          <w:color w:val="000000"/>
          <w:sz w:val="22"/>
        </w:rPr>
        <w:t xml:space="preserve">Electronic prescription mandate and exemptions. </w:t>
      </w:r>
      <w:r>
        <w:rPr>
          <w:rFonts w:ascii="Times New Roman" w:hAnsi="Times New Roman"/>
          <w:b w:val="false"/>
          <w:i w:val="false"/>
          <w:color w:val="000000"/>
          <w:sz w:val="22"/>
        </w:rPr>
        <w:t>All prescriptions shall be transmitted electronically to a pharmacy except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Prescriptions exempt. </w:t>
      </w:r>
      <w:r>
        <w:rPr>
          <w:rFonts w:ascii="Times New Roman" w:hAnsi="Times New Roman"/>
          <w:b w:val="false"/>
          <w:i w:val="false"/>
          <w:color w:val="000000"/>
          <w:sz w:val="22"/>
        </w:rPr>
        <w:t>Prescriptions which shall be exempt from electronic transmission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prescription for a patient residing in a nursing home, long-term care facility, correctional facility, or jail.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prescription authorized by a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prescription for a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prescription dispensed by a department of veterans affairs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prescription requiring information that makes electronic transmission impractical, such as complicated or lengthy directions for use or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prescription for a compounded preparation containing two or more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prescription issued in response to a public health emergency in a situation where a non-patient-specific prescription would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prescription issued for an opioid antagonist pursuant to Iowa Code section </w:t>
      </w:r>
      <w:hyperlink r:id="rId20">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a prescription issued for epinephrine pursuant to Iowa Code section </w:t>
      </w:r>
      <w:hyperlink r:id="rId21">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or a prescription issued for a bronchodilator canister or bronchodilator canister and spacer pursuant to Iowa Code section </w:t>
      </w:r>
      <w:hyperlink r:id="rId22">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prescription issued during a temporary technical or electronic failure at the location of the prescriber or pharmacy, provided that a prescription issued pursuant to this paragraph shall indicate on the prescription that the prescriber or pharmacy is experiencing a temporary technical or electronic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prescription issued pursuant to an established and valid collaborative practice agreement, standing order, or drug research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prescription issued in an emergency situation pursuant to federal law and regulation and rules of the board. An emergency situation may include, but is not limited to, the issuance of a prescription to meet the immediate care need of a patient after hours when a prescriber is unable to access electronic prescribing capabilities. Such prescription shall be limited to a quantity sufficient to meet the acute need of the patient with no authorized refills.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Prescriber, medical group, institution, or pharmacy exemption. </w:t>
      </w:r>
      <w:r>
        <w:rPr>
          <w:rFonts w:ascii="Times New Roman" w:hAnsi="Times New Roman"/>
          <w:b w:val="false"/>
          <w:i w:val="false"/>
          <w:color w:val="000000"/>
          <w:sz w:val="22"/>
        </w:rPr>
        <w:t xml:space="preserve">A prescriber, medical group, institution, or pharmacy that has been granted an exemption to the electronic prescription mandate pursuant to rule </w:t>
      </w:r>
      <w:hyperlink r:id="rId23">
        <w:r>
          <w:rPr>
            <w:rStyle w:val="Hyperlink"/>
            <w:rFonts w:ascii="Times New Roman" w:hAnsi="Times New Roman"/>
            <w:b w:val="false"/>
            <w:i w:val="false"/>
            <w:color w:val="000000"/>
            <w:sz w:val="22"/>
          </w:rPr>
          <w:t>657—21.9</w:t>
        </w:r>
      </w:hyperlink>
      <w:r>
        <w:rPr>
          <w:rFonts w:ascii="Times New Roman" w:hAnsi="Times New Roman"/>
          <w:b w:val="false"/>
          <w:i w:val="false"/>
          <w:color w:val="000000"/>
          <w:sz w:val="22"/>
        </w:rPr>
        <w:t xml:space="preserve">(124,155A) shall be exempt from the electronic prescription mandate only for the duration of the approved exemption, and the exemption shall not apply retroactively to prescriptions issued prior to approval. Upon expiration of an approved exemption, the prescriber, medical group, institution, or pharmacy shall either comply with the electronic prescription mandate or timely petition the board for renewal of the exemption pursuant to rule </w:t>
      </w:r>
      <w:hyperlink r:id="rId24">
        <w:r>
          <w:rPr>
            <w:rStyle w:val="Hyperlink"/>
            <w:rFonts w:ascii="Times New Roman" w:hAnsi="Times New Roman"/>
            <w:b w:val="false"/>
            <w:i w:val="false"/>
            <w:color w:val="000000"/>
            <w:sz w:val="22"/>
          </w:rPr>
          <w:t>657—21.9</w:t>
        </w:r>
      </w:hyperlink>
      <w:r>
        <w:rPr>
          <w:rFonts w:ascii="Times New Roman" w:hAnsi="Times New Roman"/>
          <w:b w:val="false"/>
          <w:i w:val="false"/>
          <w:color w:val="000000"/>
          <w:sz w:val="22"/>
        </w:rPr>
        <w:t xml:space="preserve">(124,155A). A prescriber, medical group, institution or pharmacy that has been granted an exemption to the electronic prescription mandate pursuant to rule </w:t>
      </w:r>
      <w:hyperlink r:id="rId25">
        <w:r>
          <w:rPr>
            <w:rStyle w:val="Hyperlink"/>
            <w:rFonts w:ascii="Times New Roman" w:hAnsi="Times New Roman"/>
            <w:b w:val="false"/>
            <w:i w:val="false"/>
            <w:color w:val="000000"/>
            <w:sz w:val="22"/>
          </w:rPr>
          <w:t>657—21.9</w:t>
        </w:r>
      </w:hyperlink>
      <w:r>
        <w:rPr>
          <w:rFonts w:ascii="Times New Roman" w:hAnsi="Times New Roman"/>
          <w:b w:val="false"/>
          <w:i w:val="false"/>
          <w:color w:val="000000"/>
          <w:sz w:val="22"/>
        </w:rPr>
        <w:t>(124,155A) shall identify the exemption on each prescription issued and transmitted by any nonelectronic means. A pharmacist shall not be required to verify that the prescription or prescriber is subject to an exemption.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6077C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6953C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657—21.9</w:t>
      </w:r>
      <w:r>
        <w:rPr>
          <w:rFonts w:ascii="Times New Roman" w:hAnsi="Times New Roman"/>
          <w:b/>
          <w:i w:val="false"/>
          <w:color w:val="000000"/>
          <w:sz w:val="22"/>
        </w:rPr>
        <w:t xml:space="preserve">(124,155A) </w:t>
      </w:r>
      <w:r>
        <w:rPr>
          <w:rFonts w:ascii="Times New Roman" w:hAnsi="Times New Roman"/>
          <w:b/>
          <w:i w:val="false"/>
          <w:color w:val="000000"/>
          <w:sz w:val="22"/>
        </w:rPr>
        <w:t xml:space="preserve">Exemption from electronic prescription mandate—petition. </w:t>
      </w:r>
      <w:r>
        <w:rPr>
          <w:rFonts w:ascii="Times New Roman" w:hAnsi="Times New Roman"/>
          <w:b w:val="false"/>
          <w:i w:val="false"/>
          <w:color w:val="000000"/>
          <w:sz w:val="22"/>
        </w:rPr>
        <w:t xml:space="preserve">A prescriber, medical group, institution, or pharmacy that is unable to comply with the electronic prescription mandate in rule </w:t>
      </w:r>
      <w:hyperlink r:id="rId26">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(124,155A) may petition the board, on forms provided by the board, for an exemption from the requirements based upon economic hardship; technical limitations that the prescriber, medical group, institution, or pharmacy cannot control; or other exceptional circumstances. A timely petition for renewal of a previously approved exemption shall be submitted at least 60 days in advance of the expiration of the previously approved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color w:val="000000"/>
          <w:sz w:val="22"/>
        </w:rPr>
        <w:t xml:space="preserve">Petition information. </w:t>
      </w:r>
      <w:r>
        <w:rPr>
          <w:rFonts w:ascii="Times New Roman" w:hAnsi="Times New Roman"/>
          <w:b w:val="false"/>
          <w:i w:val="false"/>
          <w:color w:val="000000"/>
          <w:sz w:val="22"/>
        </w:rPr>
        <w:t>A petition for exemption from the electronic prescription mandate shall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prescriber, medical group, institution, or pharmacy seeking the exemption. For medical groups and institutions, a list of the names, professional license numbers, and CSA registration numbers of all prescribers who would be covered by the exemption shall be maintained by the petitioner for the duration of any approved exemption and shall not be required to be submitted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petitioner is seeking an exemption for controlled substance prescriptions, non-controlled substance prescriptions,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petitioner’s current electronic prescribing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reason, such as economic hardship, technological limitations, or other exceptional circumstances, the petitioner is seeking exemption, including any supporting documentation to justify the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Anticipated date of compliance with the electronic prescription mandate.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petition seeks renewal of a previously approved exemption, information relating to the petitioner’s actions during the previous exemption period to work toward compliance with the electronic prescription mandate or an explanation as to why no progress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color w:val="000000"/>
          <w:sz w:val="22"/>
        </w:rPr>
        <w:t xml:space="preserve">Criteria for board consideration of a petition. </w:t>
      </w:r>
      <w:r>
        <w:rPr>
          <w:rFonts w:ascii="Times New Roman" w:hAnsi="Times New Roman"/>
          <w:b w:val="false"/>
          <w:i w:val="false"/>
          <w:color w:val="000000"/>
          <w:sz w:val="22"/>
        </w:rPr>
        <w:t>The board shall consider all information provided in a petition seeking exemption to the electronic prescription mandate and shall approve or deny a petition for exemption based on whether there is a compelling reason to justify the exemption and the nature and volume of prescriptions impacted. Except for petitions citing the exceptional circumstances listed below, which will be administratively reviewed for approval, each petition will be reviewed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free or low-income clinic where health care is provided at no cost or at a reduced cost to the patient without reimbursement from a third-party payer that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prescriber who issues no more than 50 noncontrolled substance prescriptions per year who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veterans affairs for prescriptions that are not filled at a veterans affairs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prescriber at a student health center based at a college or university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seeking an exemption for prescriptions limited to toothpastes and mouthwashes.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compounding pharmacy that dispenses no more than 50 prescriptions for commercially available prescription medications per year that requests an exemption for noncontrolled substances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w:t>
      </w:r>
      <w:r>
        <w:rPr>
          <w:rFonts w:ascii="Times New Roman" w:hAnsi="Times New Roman"/>
          <w:b w:val="false"/>
          <w:i w:val="false"/>
          <w:color w:val="000000"/>
          <w:sz w:val="22"/>
        </w:rPr>
        <w:t> </w:t>
      </w:r>
      <w:r>
        <w:rPr>
          <w:rFonts w:ascii="Times New Roman" w:hAnsi="Times New Roman"/>
          <w:b w:val="false"/>
          <w:i/>
          <w:color w:val="000000"/>
          <w:sz w:val="22"/>
        </w:rPr>
        <w:t xml:space="preserve">Duration of approved exemption. </w:t>
      </w:r>
      <w:r>
        <w:rPr>
          <w:rFonts w:ascii="Times New Roman" w:hAnsi="Times New Roman"/>
          <w:b w:val="false"/>
          <w:i w:val="false"/>
          <w:color w:val="000000"/>
          <w:sz w:val="22"/>
        </w:rPr>
        <w:t>The board may approve an exemption, or the renewal of an exemption, to the electronic prescription mandate for a specified period of time not to exceed one year from the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6077C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657—21.10</w:t>
      </w:r>
      <w:r>
        <w:rPr>
          <w:rFonts w:ascii="Times New Roman" w:hAnsi="Times New Roman"/>
          <w:b/>
          <w:i w:val="false"/>
          <w:color w:val="000000"/>
          <w:sz w:val="22"/>
        </w:rPr>
        <w:t xml:space="preserve">(124,155A) </w:t>
      </w:r>
      <w:r>
        <w:rPr>
          <w:rFonts w:ascii="Times New Roman" w:hAnsi="Times New Roman"/>
          <w:b/>
          <w:i w:val="false"/>
          <w:color w:val="000000"/>
          <w:sz w:val="22"/>
        </w:rPr>
        <w:t xml:space="preserve">Automated medication distribution system (AMDS). </w:t>
      </w:r>
      <w:r>
        <w:rPr>
          <w:rFonts w:ascii="Times New Roman" w:hAnsi="Times New Roman"/>
          <w:b w:val="false"/>
          <w:i w:val="false"/>
          <w:color w:val="000000"/>
          <w:sz w:val="22"/>
        </w:rPr>
        <w:t>Any pharmacy that utilizes an AMDS shall comply with these rules in addition to all applicable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Pursuant to the requirements regarding policies and procedures in 657—subrule 8.3(5), each pharmacy utilizing an AMDS shall have policies and procedures that address all aspects of the operation of the AMDS to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drugs and patient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Pharmacy personnel training in the proper operation of the AMDS,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to ensure accurate stocking of the AMDS pursuant to subrule 21.10(2),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Confidentiality of patient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and preventative maintenance of the AMDS according to manufacturer recommendations,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Packaging and labeling of prescription drugs loaded into or dispensed from the AMDS that is in compliance with federal and state laws,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Security and control of the prescription drugs maintained and utilized in the AMDS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Drug loading, storage,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removed from system components but not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Inventory.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Cross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Lot number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Wasted or discarded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w:t>
      </w:r>
      <w:r>
        <w:rPr>
          <w:rFonts w:ascii="Times New Roman" w:hAnsi="Times New Roman"/>
          <w:b w:val="false"/>
          <w:i w:val="false"/>
          <w:color w:val="000000"/>
          <w:sz w:val="22"/>
        </w:rPr>
        <w:t> </w:t>
      </w:r>
      <w:r>
        <w:rPr>
          <w:rFonts w:ascii="Times New Roman" w:hAnsi="Times New Roman"/>
          <w:b w:val="false"/>
          <w:i/>
          <w:color w:val="000000"/>
          <w:sz w:val="22"/>
        </w:rPr>
        <w:t xml:space="preserve">Stocking the AMDS. </w:t>
      </w:r>
      <w:r>
        <w:rPr>
          <w:rFonts w:ascii="Times New Roman" w:hAnsi="Times New Roman"/>
          <w:b w:val="false"/>
          <w:i w:val="false"/>
          <w:color w:val="000000"/>
          <w:sz w:val="22"/>
        </w:rPr>
        <w:t>The pharmacy shall have adequate procedures in place to ensure the accurate stocking of drugs into an AMDS using barcode scanning technology. Only a pharmacy technician, pharmacist-intern, or pharmacist shall be allowed to participate in the stocking of the AMDS.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w:t>
      </w:r>
      <w:r>
        <w:rPr>
          <w:rFonts w:ascii="Times New Roman" w:hAnsi="Times New Roman"/>
          <w:b w:val="false"/>
          <w:i w:val="false"/>
          <w:color w:val="000000"/>
          <w:sz w:val="22"/>
        </w:rPr>
        <w:t> </w:t>
      </w:r>
      <w:r>
        <w:rPr>
          <w:rFonts w:ascii="Times New Roman" w:hAnsi="Times New Roman"/>
          <w:b w:val="false"/>
          <w:i/>
          <w:color w:val="000000"/>
          <w:sz w:val="22"/>
        </w:rPr>
        <w:t xml:space="preserve">Pharmacist verification of drugs dispensed from AMDS.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AMDS only dispenses drugs that were prepackaged and verified by a pharmacist prior to being stocked in the AMDS and there was no further manipulation of the drug or package other than affixing a patient-specific label, such drugs shall not require additional pharmacist verification prior to administration or dispensing to the patient or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drug is stocked in an AMDS and undergoes further manipulation, such as counting and packaging, such drugs shall require pharmacist verification prior to dispensing to the patient. Such verification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21.10(4)</w:t>
      </w:r>
      <w:r>
        <w:rPr>
          <w:rFonts w:ascii="Times New Roman" w:hAnsi="Times New Roman"/>
          <w:b w:val="false"/>
          <w:i w:val="false"/>
          <w:color w:val="000000"/>
          <w:sz w:val="22"/>
        </w:rPr>
        <w:t> </w:t>
      </w:r>
      <w:r>
        <w:rPr>
          <w:rFonts w:ascii="Times New Roman" w:hAnsi="Times New Roman"/>
          <w:b w:val="false"/>
          <w:i/>
          <w:color w:val="000000"/>
          <w:sz w:val="22"/>
        </w:rPr>
        <w:t xml:space="preserve">Placement of AMDS.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AMDS placed outside a pharmacist’s direct supervision shall only dispense pharmacist-verified packages in compliance with paragraph 21.10(3)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AMDS that manipulates, including but not limited to counting, packaging, or labeling, prescription drugs for subsequent patient dispensing shall only be utilized in a pharmacy under the direct supervision of a pharmacist, except in an approved telepharmacy pursuant to 657—Chapter 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657—21.11</w:t>
      </w:r>
      <w:r>
        <w:rPr>
          <w:rFonts w:ascii="Times New Roman" w:hAnsi="Times New Roman"/>
          <w:b/>
          <w:i w:val="false"/>
          <w:color w:val="000000"/>
          <w:sz w:val="22"/>
        </w:rPr>
        <w:t xml:space="preserve">(124,155A) </w:t>
      </w:r>
      <w:r>
        <w:rPr>
          <w:rFonts w:ascii="Times New Roman" w:hAnsi="Times New Roman"/>
          <w:b/>
          <w:i w:val="false"/>
          <w:color w:val="000000"/>
          <w:sz w:val="22"/>
        </w:rPr>
        <w:t xml:space="preserve">Pharmacist verification of controlled substance fills—daily printout or logbook. </w:t>
      </w:r>
      <w:r>
        <w:rPr>
          <w:rFonts w:ascii="Times New Roman" w:hAnsi="Times New Roman"/>
          <w:b w:val="false"/>
          <w:i w:val="false"/>
          <w:color w:val="000000"/>
          <w:sz w:val="22"/>
        </w:rPr>
        <w:t>The individual pharmacist who makes use of the pharmacy prescription application shall provide documentation of the fact that the fill information entered into the pharmacy prescription application each time the pharmacist fills a prescription order for a controlled substance is correct. If the pharmacy prescription application provides a hard-copy printout of each day’s controlled substance prescription order fill data, that printout shall be verified, dated, and signed by each individual pharmacist who filled a controlled substance prescription order. Each individual pharmacist must verify that the data indicated is correct and sign this document in the same manner as the pharmacist would sign a check or legal document (e.g., J. H. Smith or John H. Smith). This document shall be maintained in a separate file at that pharmacy for a period of two years from the dispensing date. This printout of the day’s controlled substance prescription order fill data shall be generated by and available at each pharmacy using a computerized pharmacy prescription application within 48 hours of the date on which the prescription was dispensed. The printout shall be verified and signed by each pharmacist involved with such dispensing. In lieu of preparing and maintaining printouts as provided above, the pharmacy may maintain a bound logbook or separate file. The logbook or file shall include a statement signed each day by each individual pharmacist involved in each day’s dispensing that attests to the fact that the prescription information entered into the pharmacy prescription application that day has been reviewed by the pharmacist and is correct as shown. Pharmacist statements shall be signed in the manner previously described. The logbook or file shall be maintained at the pharmacy for a period of two years after the date of dispensing.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3640C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155A.35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9/16/97, Notice 7/16/97—published 10/8/97, effective 11/12/97]</w:t>
      </w:r>
    </w:p>
    <w:p>
      <w:pPr>
        <w:spacing w:before="0" w:after="0"/>
        <w:ind w:left="120"/>
        <w:jc w:val="center"/>
      </w:pPr>
      <w:r>
        <w:rPr>
          <w:rFonts w:ascii="Times New Roman" w:hAnsi="Times New Roman"/>
          <w:b w:val="false"/>
          <w:i w:val="false"/>
          <w:color w:val="000000"/>
          <w:sz w:val="21"/>
        </w:rPr>
        <w:t>[Filed 7/31/98, Notice 5/20/98—published 8/26/98, effective 9/30/98]</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10/22/04, Notice 3/31/04—published 11/10/04, effective 12/15/04]</w:t>
      </w:r>
    </w:p>
    <w:p>
      <w:pPr>
        <w:spacing w:before="0" w:after="0"/>
        <w:ind w:left="120"/>
        <w:jc w:val="center"/>
      </w:pPr>
      <w:r>
        <w:rPr>
          <w:rFonts w:ascii="Times New Roman" w:hAnsi="Times New Roman"/>
          <w:b w:val="false"/>
          <w:i w:val="false"/>
          <w:color w:val="000000"/>
          <w:sz w:val="21"/>
        </w:rPr>
        <w:t>[Filed 6/2/05, Notice 1/19/05—published 6/22/05, effective 7/27/05]</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8/3/07, Notice 6/20/07—published 8/29/07, effective 10/3/07]</w:t>
      </w:r>
    </w:p>
    <w:p>
      <w:pPr>
        <w:spacing w:before="0" w:after="0"/>
        <w:ind w:left="120"/>
        <w:jc w:val="center"/>
      </w:pPr>
      <w:r>
        <w:rPr>
          <w:rFonts w:ascii="Times New Roman" w:hAnsi="Times New Roman"/>
          <w:b w:val="false"/>
          <w:i w:val="false"/>
          <w:color w:val="000000"/>
          <w:sz w:val="21"/>
        </w:rPr>
        <w:t>[Filed ARC 7636B</w:t>
      </w:r>
      <w:r>
        <w:rPr>
          <w:rFonts w:ascii="Times New Roman" w:hAnsi="Times New Roman"/>
          <w:b w:val="false"/>
          <w:i w:val="false"/>
          <w:color w:val="000000"/>
          <w:sz w:val="21"/>
        </w:rPr>
        <w:t xml:space="preserve"> (Notice ARC 7448B,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8171B</w:t>
      </w:r>
      <w:r>
        <w:rPr>
          <w:rFonts w:ascii="Times New Roman" w:hAnsi="Times New Roman"/>
          <w:b w:val="false"/>
          <w:i w:val="false"/>
          <w:color w:val="000000"/>
          <w:sz w:val="21"/>
        </w:rPr>
        <w:t xml:space="preserve"> (Notice ARC 7910B, IAB 7/1/09)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9912B</w:t>
      </w:r>
      <w:r>
        <w:rPr>
          <w:rFonts w:ascii="Times New Roman" w:hAnsi="Times New Roman"/>
          <w:b w:val="false"/>
          <w:i w:val="false"/>
          <w:color w:val="000000"/>
          <w:sz w:val="21"/>
        </w:rPr>
        <w:t xml:space="preserve"> (Notice ARC 9671B, IAB 8/10/11)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2639C</w:t>
      </w:r>
      <w:r>
        <w:rPr>
          <w:rFonts w:ascii="Times New Roman" w:hAnsi="Times New Roman"/>
          <w:b w:val="false"/>
          <w:i w:val="false"/>
          <w:color w:val="000000"/>
          <w:sz w:val="21"/>
        </w:rPr>
        <w:t xml:space="preserve"> (Notice ARC 2498C, IAB 4/13/16)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3345C</w:t>
      </w:r>
      <w:r>
        <w:rPr>
          <w:rFonts w:ascii="Times New Roman" w:hAnsi="Times New Roman"/>
          <w:b w:val="false"/>
          <w:i w:val="false"/>
          <w:color w:val="000000"/>
          <w:sz w:val="21"/>
        </w:rPr>
        <w:t xml:space="preserve"> (Notice ARC 3136C,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3640C</w:t>
      </w:r>
      <w:r>
        <w:rPr>
          <w:rFonts w:ascii="Times New Roman" w:hAnsi="Times New Roman"/>
          <w:b w:val="false"/>
          <w:i w:val="false"/>
          <w:color w:val="000000"/>
          <w:sz w:val="21"/>
        </w:rPr>
        <w:t xml:space="preserve"> (Notice ARC 3329C, IAB 9/27/17)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4580C</w:t>
      </w:r>
      <w:r>
        <w:rPr>
          <w:rFonts w:ascii="Times New Roman" w:hAnsi="Times New Roman"/>
          <w:b w:val="false"/>
          <w:i w:val="false"/>
          <w:color w:val="000000"/>
          <w:sz w:val="21"/>
        </w:rPr>
        <w:t xml:space="preserve"> (Notice ARC 4386C,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5007C</w:t>
      </w:r>
      <w:r>
        <w:rPr>
          <w:rFonts w:ascii="Times New Roman" w:hAnsi="Times New Roman"/>
          <w:b w:val="false"/>
          <w:i w:val="false"/>
          <w:color w:val="000000"/>
          <w:sz w:val="21"/>
        </w:rPr>
        <w:t xml:space="preserve"> (Notice ARC 4695C, IAB 10/9/19)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5350C</w:t>
      </w:r>
      <w:r>
        <w:rPr>
          <w:rFonts w:ascii="Times New Roman" w:hAnsi="Times New Roman"/>
          <w:b w:val="false"/>
          <w:i w:val="false"/>
          <w:color w:val="000000"/>
          <w:sz w:val="21"/>
        </w:rPr>
        <w:t xml:space="preserve"> (Notice ARC 5115C,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6077C</w:t>
      </w:r>
      <w:r>
        <w:rPr>
          <w:rFonts w:ascii="Times New Roman" w:hAnsi="Times New Roman"/>
          <w:b w:val="false"/>
          <w:i w:val="false"/>
          <w:color w:val="000000"/>
          <w:sz w:val="21"/>
        </w:rPr>
        <w:t xml:space="preserve"> (Notice ARC 5836C,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6953C</w:t>
      </w:r>
      <w:r>
        <w:rPr>
          <w:rFonts w:ascii="Times New Roman" w:hAnsi="Times New Roman"/>
          <w:b w:val="false"/>
          <w:i w:val="false"/>
          <w:color w:val="000000"/>
          <w:sz w:val="21"/>
        </w:rPr>
        <w:t xml:space="preserve"> (Notice ARC 6696C, IAB 11/30/22)</w:t>
      </w:r>
      <w:r>
        <w:rPr>
          <w:rFonts w:ascii="Times New Roman" w:hAnsi="Times New Roman"/>
          <w:b w:val="false"/>
          <w:i w:val="false"/>
          <w:color w:val="000000"/>
          <w:sz w:val="21"/>
        </w:rPr>
        <w:t>, IAB 3/22/23, effective 4/26/23]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21.8.pdf" Type="http://schemas.openxmlformats.org/officeDocument/2006/relationships/hyperlink" Id="rId5"/>
    <Relationship TargetMode="External" Target="https://www.legis.iowa.gov/docs/ico/chapter/155A.27.pdf" Type="http://schemas.openxmlformats.org/officeDocument/2006/relationships/hyperlink" Id="rId6"/>
    <Relationship TargetMode="External" Target="https://www.legis.iowa.gov/docs/iac/rule/657.8.19.pdf" Type="http://schemas.openxmlformats.org/officeDocument/2006/relationships/hyperlink" Id="rId7"/>
    <Relationship TargetMode="External" Target="https://www.legis.iowa.gov/docs/iac/rule/657.21.8.pdf" Type="http://schemas.openxmlformats.org/officeDocument/2006/relationships/hyperlink" Id="rId8"/>
    <Relationship TargetMode="External" Target="https://www.legis.iowa.gov/docs/iac/rule/657.21.8.pdf" Type="http://schemas.openxmlformats.org/officeDocument/2006/relationships/hyperlink" Id="rId9"/>
    <Relationship TargetMode="External" Target="https://www.legis.iowa.gov/docs/iac/rule/657.21.6.pdf" Type="http://schemas.openxmlformats.org/officeDocument/2006/relationships/hyperlink" Id="rId10"/>
    <Relationship TargetMode="External" Target="https://www.legis.iowa.gov/docs/iac/rule/657.21.8.pdf" Type="http://schemas.openxmlformats.org/officeDocument/2006/relationships/hyperlink" Id="rId11"/>
    <Relationship TargetMode="External" Target="https://www.legis.iowa.gov/docs/iac/rule/657.21.7.pdf" Type="http://schemas.openxmlformats.org/officeDocument/2006/relationships/hyperlink" Id="rId12"/>
    <Relationship TargetMode="External" Target="https://www.legis.iowa.gov/docs/iac/rule/657.21.7.pdf" Type="http://schemas.openxmlformats.org/officeDocument/2006/relationships/hyperlink" Id="rId13"/>
    <Relationship TargetMode="External" Target="https://www.legis.iowa.gov/docs/ico/chapter/155A.27.pdf" Type="http://schemas.openxmlformats.org/officeDocument/2006/relationships/hyperlink" Id="rId14"/>
    <Relationship TargetMode="External" Target="https://www.legis.iowa.gov/docs/iac/rule/657.10.26.pdf" Type="http://schemas.openxmlformats.org/officeDocument/2006/relationships/hyperlink" Id="rId15"/>
    <Relationship TargetMode="External" Target="https://www.legis.iowa.gov/docs/iac/rule/657.10.26.pdf" Type="http://schemas.openxmlformats.org/officeDocument/2006/relationships/hyperlink" Id="rId16"/>
    <Relationship TargetMode="External" Target="https://www.legis.iowa.gov/docs/iac/rule/657.10.26.pdf" Type="http://schemas.openxmlformats.org/officeDocument/2006/relationships/hyperlink" Id="rId17"/>
    <Relationship TargetMode="External" Target="https://www.legis.iowa.gov/docs/iac/rule/657.23.2.pdf" Type="http://schemas.openxmlformats.org/officeDocument/2006/relationships/hyperlink" Id="rId18"/>
    <Relationship TargetMode="External" Target="https://www.legis.iowa.gov/docs/ico/chapter/135J.pdf" Type="http://schemas.openxmlformats.org/officeDocument/2006/relationships/hyperlink" Id="rId19"/>
    <Relationship TargetMode="External" Target="https://www.legis.iowa.gov/docs/ico/chapter/135.190.pdf" Type="http://schemas.openxmlformats.org/officeDocument/2006/relationships/hyperlink" Id="rId20"/>
    <Relationship TargetMode="External" Target="https://www.legis.iowa.gov/docs/ico/chapter/135.185.pdf" Type="http://schemas.openxmlformats.org/officeDocument/2006/relationships/hyperlink" Id="rId21"/>
    <Relationship TargetMode="External" Target="https://www.legis.iowa.gov/docs/ico/chapter/280.16A.pdf" Type="http://schemas.openxmlformats.org/officeDocument/2006/relationships/hyperlink" Id="rId22"/>
    <Relationship TargetMode="External" Target="https://www.legis.iowa.gov/docs/iac/rule/657.21.9.pdf" Type="http://schemas.openxmlformats.org/officeDocument/2006/relationships/hyperlink" Id="rId23"/>
    <Relationship TargetMode="External" Target="https://www.legis.iowa.gov/docs/iac/rule/657.21.9.pdf" Type="http://schemas.openxmlformats.org/officeDocument/2006/relationships/hyperlink" Id="rId24"/>
    <Relationship TargetMode="External" Target="https://www.legis.iowa.gov/docs/iac/rule/657.21.9.pdf" Type="http://schemas.openxmlformats.org/officeDocument/2006/relationships/hyperlink" Id="rId25"/>
    <Relationship TargetMode="External" Target="https://www.legis.iowa.gov/docs/iac/rule/657.21.8.pdf" Type="http://schemas.openxmlformats.org/officeDocument/2006/relationships/hyperlink" Id="rId26"/>
    <Relationship TargetMode="External" Target="https://www.legis.iowa.gov/docs/ico/chapter/124.301.pdf" Type="http://schemas.openxmlformats.org/officeDocument/2006/relationships/hyperlink" Id="rId27"/>
    <Relationship TargetMode="External" Target="https://www.legis.iowa.gov/docs/ico/chapter/124.306.pdf" Type="http://schemas.openxmlformats.org/officeDocument/2006/relationships/hyperlink" Id="rId28"/>
    <Relationship TargetMode="External" Target="https://www.legis.iowa.gov/docs/ico/chapter/124.308.pdf" Type="http://schemas.openxmlformats.org/officeDocument/2006/relationships/hyperlink" Id="rId29"/>
    <Relationship TargetMode="External" Target="https://www.legis.iowa.gov/docs/ico/chapter/147.107.pdf" Type="http://schemas.openxmlformats.org/officeDocument/2006/relationships/hyperlink" Id="rId30"/>
    <Relationship TargetMode="External" Target="https://www.legis.iowa.gov/docs/ico/chapter/155A.27.pdf" Type="http://schemas.openxmlformats.org/officeDocument/2006/relationships/hyperlink" Id="rId31"/>
    <Relationship TargetMode="External" Target="https://www.legis.iowa.gov/docs/ico/chapter/155A.33.pdf" Type="http://schemas.openxmlformats.org/officeDocument/2006/relationships/hyperlink" Id="rId32"/>
    <Relationship TargetMode="External" Target="https://www.legis.iowa.gov/docs/ico/chapter/155A.35.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