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COMPOUNDING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657—20.1</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 requirements of this chapter apply to compounded preparations that are dispensed, distributed, or administered to an ultimate user in the state of Iowa, regardless of the location of the pharmacy or outsourcing facility where the preparation was compounded. This chapter applies to compounded preparations intended for humans and animals. In addition to the requirements in this chapter, all pharmacies and outsourcing facilities engaged in compounding shall comply with all applicable federal laws and regulations governing compounding and all applicable state laws, rules and regulations governing the practice of pharmacy. In the event the requirements in this chapter directly conflict with any federal law or regulation, the federal law or regulation shall supersede the requirements in this chapter. The requirements of </w:t>
      </w:r>
      <w:hyperlink r:id="rId5">
        <w:r>
          <w:rPr>
            <w:rStyle w:val="Hyperlink"/>
            <w:rFonts w:ascii="Times New Roman" w:hAnsi="Times New Roman"/>
            <w:b w:val="false"/>
            <w:i w:val="false"/>
            <w:color w:val="000000"/>
            <w:sz w:val="22"/>
          </w:rPr>
          <w:t>657—Chapter 16</w:t>
        </w:r>
      </w:hyperlink>
      <w:r>
        <w:rPr>
          <w:rFonts w:ascii="Times New Roman" w:hAnsi="Times New Roman"/>
          <w:b w:val="false"/>
          <w:i w:val="false"/>
          <w:color w:val="000000"/>
          <w:sz w:val="22"/>
        </w:rPr>
        <w:t xml:space="preserve"> apply to the compounding of radiopharmaceuticals. The requirements of </w:t>
      </w:r>
      <w:hyperlink r:id="rId6">
        <w:r>
          <w:rPr>
            <w:rStyle w:val="Hyperlink"/>
            <w:rFonts w:ascii="Times New Roman" w:hAnsi="Times New Roman"/>
            <w:b w:val="false"/>
            <w:i w:val="false"/>
            <w:color w:val="000000"/>
            <w:sz w:val="22"/>
          </w:rPr>
          <w:t>657—Chapter 41</w:t>
        </w:r>
      </w:hyperlink>
      <w:r>
        <w:rPr>
          <w:rFonts w:ascii="Times New Roman" w:hAnsi="Times New Roman"/>
          <w:b w:val="false"/>
          <w:i w:val="false"/>
          <w:color w:val="000000"/>
          <w:sz w:val="22"/>
        </w:rPr>
        <w:t xml:space="preserve"> apply to outsourcing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657—20.2</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“Anticipatory compounding” </w:t>
      </w:r>
      <w:r>
        <w:rPr>
          <w:rFonts w:ascii="Times New Roman" w:hAnsi="Times New Roman"/>
          <w:b w:val="false"/>
          <w:i w:val="false"/>
          <w:color w:val="000000"/>
          <w:sz w:val="22"/>
        </w:rPr>
        <w:t>means the compounding of preparations in advance of the pharmacy’s receipt of patient-specific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“Batch preparation compounding” </w:t>
      </w:r>
      <w:r>
        <w:rPr>
          <w:rFonts w:ascii="Times New Roman" w:hAnsi="Times New Roman"/>
          <w:b w:val="false"/>
          <w:i w:val="false"/>
          <w:color w:val="000000"/>
          <w:sz w:val="22"/>
        </w:rPr>
        <w:t>means anticipatory compounding, compounding preparations intended for multiple disbursements, or compounding preparations in a multiple-dose container for administration to more than one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“Beyond-use date” </w:t>
      </w:r>
      <w:r>
        <w:rPr>
          <w:rFonts w:ascii="Times New Roman" w:hAnsi="Times New Roman"/>
          <w:b w:val="false"/>
          <w:i w:val="false"/>
          <w:color w:val="000000"/>
          <w:sz w:val="22"/>
        </w:rPr>
        <w:t>means the date after which a compounded preparation should not be used, determined from the date that the preparation is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“Bulk drug substance” </w:t>
      </w:r>
      <w:r>
        <w:rPr>
          <w:rFonts w:ascii="Times New Roman" w:hAnsi="Times New Roman"/>
          <w:b w:val="false"/>
          <w:i w:val="false"/>
          <w:color w:val="000000"/>
          <w:sz w:val="22"/>
        </w:rPr>
        <w:t>means any substance that is represented for use in a drug and that, when used in the manufacturing, processing, or packaging of a drug, becomes an active ingredient or a finished dosage form of the drug. The term does not include intermediates used in the synthesis of such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“Compounding” </w:t>
      </w:r>
      <w:r>
        <w:rPr>
          <w:rFonts w:ascii="Times New Roman" w:hAnsi="Times New Roman"/>
          <w:b w:val="false"/>
          <w:i w:val="false"/>
          <w:color w:val="000000"/>
          <w:sz w:val="22"/>
        </w:rPr>
        <w:t xml:space="preserve">means the combining, mixing, diluting, pooling, flavoring, or otherwise altering of a drug or bulk drug substance to create a drug. Compounding includes the preparation of drugs or devices in which all bulk drug substances and components are nonprescription products. Compounding does not include the use of a flavoring agent to flavor a drug pursuant to rule </w:t>
      </w:r>
      <w:hyperlink r:id="rId7">
        <w:r>
          <w:rPr>
            <w:rStyle w:val="Hyperlink"/>
            <w:rFonts w:ascii="Times New Roman" w:hAnsi="Times New Roman"/>
            <w:b w:val="false"/>
            <w:i w:val="false"/>
            <w:color w:val="000000"/>
            <w:sz w:val="22"/>
          </w:rPr>
          <w:t>657—20.13</w:t>
        </w:r>
      </w:hyperlink>
      <w:r>
        <w:rPr>
          <w:rFonts w:ascii="Times New Roman" w:hAnsi="Times New Roman"/>
          <w:b w:val="false"/>
          <w:i w:val="false"/>
          <w:color w:val="000000"/>
          <w:sz w:val="22"/>
        </w:rPr>
        <w:t>(124,126,155A), nor does it include mixing or reconstituting a drug according to the product’s manufacturer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Food and Drug Administration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“Flavoring agent” </w:t>
      </w:r>
      <w:r>
        <w:rPr>
          <w:rFonts w:ascii="Times New Roman" w:hAnsi="Times New Roman"/>
          <w:b w:val="false"/>
          <w:i w:val="false"/>
          <w:color w:val="000000"/>
          <w:sz w:val="22"/>
        </w:rPr>
        <w:t>means a therapeutically inert, nonallergenic substance consisting of inactive ingredients that is added to a drug to improve the drug’s taste and palatability.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“NABP information sharing network” </w:t>
      </w:r>
      <w:r>
        <w:rPr>
          <w:rFonts w:ascii="Times New Roman" w:hAnsi="Times New Roman"/>
          <w:b w:val="false"/>
          <w:i w:val="false"/>
          <w:color w:val="000000"/>
          <w:sz w:val="22"/>
        </w:rPr>
        <w:t>means the information sharing network developed by the National Association of Boards of Pharmacy that collects, assesses, and allows review and sharing of pharmacy compounding information as described in the Memorandum of Understanding Addressing Certain Distributions of Compounded Human Drug Products between the board and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use” </w:t>
      </w:r>
      <w:r>
        <w:rPr>
          <w:rFonts w:ascii="Times New Roman" w:hAnsi="Times New Roman"/>
          <w:b w:val="false"/>
          <w:i w:val="false"/>
          <w:color w:val="000000"/>
          <w:sz w:val="22"/>
        </w:rPr>
        <w:t xml:space="preserve">means that a compounded product has been prepared and distributed to a practitioner for administration to a patient by the practitioner in the course of the practitioner’s professional practice. A compounded product distributed to a practitioner for “office use” shall not require a patient-specific prescription and may not be further distributed to another practitioner or dispensed to a patient for self-administration, except as provided in subrule </w:t>
      </w:r>
      <w:hyperlink r:id="rId8">
        <w:r>
          <w:rPr>
            <w:rStyle w:val="Hyperlink"/>
            <w:rFonts w:ascii="Times New Roman" w:hAnsi="Times New Roman"/>
            <w:b w:val="false"/>
            <w:i w:val="false"/>
            <w:color w:val="000000"/>
            <w:sz w:val="22"/>
          </w:rPr>
          <w:t>20.15</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“Outsourcing facility”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xml:space="preserve"> means any compounding facility that is registered as an outsourcing facility, as defined in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Section 353b, that distributes sterile compounded human drug products without a patient-specific prescription to an authorized agent or practitioner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“USP” </w:t>
      </w:r>
      <w:r>
        <w:rPr>
          <w:rFonts w:ascii="Times New Roman" w:hAnsi="Times New Roman"/>
          <w:b w:val="false"/>
          <w:i w:val="false"/>
          <w:color w:val="000000"/>
          <w:sz w:val="22"/>
        </w:rPr>
        <w:t>means United States Pharmacopeia.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2559C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6076C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6331C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657—20.3</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Nonsterile compounding. </w:t>
      </w:r>
      <w:r>
        <w:rPr>
          <w:rFonts w:ascii="Times New Roman" w:hAnsi="Times New Roman"/>
          <w:b w:val="false"/>
          <w:i w:val="false"/>
          <w:color w:val="000000"/>
          <w:sz w:val="22"/>
        </w:rPr>
        <w:t>Iowa-licensed pharmacies that compound nonsterile preparations for ultimate users in the state of Iowa shall follow the current revision of USP Chapter 795 standards. Additional USP chapters incorporated by reference into USP Chapter 795 shall also be followed.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657—20.4</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Sterile compounding. </w:t>
      </w:r>
      <w:r>
        <w:rPr>
          <w:rFonts w:ascii="Times New Roman" w:hAnsi="Times New Roman"/>
          <w:b w:val="false"/>
          <w:i w:val="false"/>
          <w:color w:val="000000"/>
          <w:sz w:val="22"/>
        </w:rPr>
        <w:t>Iowa-licensed pharmacies that compound sterile preparations for ultimate users in the state of Iowa shall follow the current revision of USP Chapter 797 standards. Additional USP chapters incorporated by reference into USP Chapter 797 shall also be followed.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657—20.5</w:t>
      </w:r>
      <w:r>
        <w:rPr>
          <w:rFonts w:ascii="Times New Roman" w:hAnsi="Times New Roman"/>
          <w:b/>
          <w:i w:val="false"/>
          <w:color w:val="000000"/>
          <w:sz w:val="22"/>
        </w:rPr>
        <w:t xml:space="preserve">(126,155A) </w:t>
      </w:r>
      <w:r>
        <w:rPr>
          <w:rFonts w:ascii="Times New Roman" w:hAnsi="Times New Roman"/>
          <w:b/>
          <w:i w:val="false"/>
          <w:color w:val="000000"/>
          <w:sz w:val="22"/>
        </w:rPr>
        <w:t xml:space="preserve">Delayed compliance. </w:t>
      </w:r>
      <w:r>
        <w:rPr>
          <w:rFonts w:ascii="Times New Roman" w:hAnsi="Times New Roman"/>
          <w:b w:val="false"/>
          <w:i w:val="false"/>
          <w:color w:val="000000"/>
          <w:sz w:val="22"/>
        </w:rPr>
        <w:t>A pharmacy that cannot meet the requirements for full compliance with applicable USP chapters by the enforcement date established by USP shall not engage in compounding until the pharmacy is in full compliance with all requirements or the board has approved delayed compliance for the specific requirement or requirements requested. The board may establish a committee to grant or deny requests for delayed compliance. The board or committee may grant a request for delayed compliance only if the pharmacy can demonstrate progress toward full compliance and adequate protection of the public health, safety, and welfare during the period of delayed compliance. The board or committee may only grant a request for delayed compliance of specific requirements in applicable USP chapters for a maximum of 18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4454C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657—20.6</w:t>
      </w:r>
      <w:r>
        <w:rPr>
          <w:rFonts w:ascii="Times New Roman" w:hAnsi="Times New Roman"/>
          <w:b/>
          <w:i w:val="false"/>
          <w:color w:val="000000"/>
          <w:sz w:val="22"/>
        </w:rPr>
        <w:t xml:space="preserve">(126,155A) </w:t>
      </w:r>
      <w:r>
        <w:rPr>
          <w:rFonts w:ascii="Times New Roman" w:hAnsi="Times New Roman"/>
          <w:b/>
          <w:i w:val="false"/>
          <w:color w:val="000000"/>
          <w:sz w:val="22"/>
        </w:rPr>
        <w:t xml:space="preserve">Compounding standards for outsourcing facilities. </w:t>
      </w:r>
      <w:r>
        <w:rPr>
          <w:rFonts w:ascii="Times New Roman" w:hAnsi="Times New Roman"/>
          <w:b w:val="false"/>
          <w:i w:val="false"/>
          <w:color w:val="000000"/>
          <w:sz w:val="22"/>
        </w:rPr>
        <w:t xml:space="preserve">An FDA-registered outsourcing facility shall be properly licensed in Iowa pursuant to </w:t>
      </w:r>
      <w:hyperlink r:id="rId9">
        <w:r>
          <w:rPr>
            <w:rStyle w:val="Hyperlink"/>
            <w:rFonts w:ascii="Times New Roman" w:hAnsi="Times New Roman"/>
            <w:b w:val="false"/>
            <w:i w:val="false"/>
            <w:color w:val="000000"/>
            <w:sz w:val="22"/>
          </w:rPr>
          <w:t>657—Chapter 41</w:t>
        </w:r>
      </w:hyperlink>
      <w:r>
        <w:rPr>
          <w:rFonts w:ascii="Times New Roman" w:hAnsi="Times New Roman"/>
          <w:b w:val="false"/>
          <w:i w:val="false"/>
          <w:color w:val="000000"/>
          <w:sz w:val="22"/>
        </w:rPr>
        <w:t xml:space="preserve"> and shall follow the FDA’s current good manufacturing practices (cGMPs) for outsourcing facilities when compounding preparations for use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657—20.7</w:t>
      </w:r>
      <w:r>
        <w:rPr>
          <w:rFonts w:ascii="Times New Roman" w:hAnsi="Times New Roman"/>
          <w:b w:val="false"/>
          <w:i w:val="false"/>
          <w:color w:val="000000"/>
          <w:sz w:val="22"/>
        </w:rPr>
        <w:t xml:space="preserve"> and </w:t>
      </w:r>
      <w:r>
        <w:rPr>
          <w:rFonts w:ascii="Times New Roman" w:hAnsi="Times New Roman"/>
          <w:b/>
          <w:i w:val="false"/>
          <w:color w:val="000000"/>
          <w:sz w:val="22"/>
        </w:rPr>
        <w:t>20.8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657—20.9</w:t>
      </w:r>
      <w:r>
        <w:rPr>
          <w:rFonts w:ascii="Times New Roman" w:hAnsi="Times New Roman"/>
          <w:b/>
          <w:i w:val="false"/>
          <w:color w:val="000000"/>
          <w:sz w:val="22"/>
        </w:rPr>
        <w:t xml:space="preserve">(124,155A) </w:t>
      </w:r>
      <w:r>
        <w:rPr>
          <w:rFonts w:ascii="Times New Roman" w:hAnsi="Times New Roman"/>
          <w:b/>
          <w:i w:val="false"/>
          <w:color w:val="000000"/>
          <w:sz w:val="22"/>
        </w:rPr>
        <w:t xml:space="preserve">Prescriber/patient/pharmacist relationship. </w:t>
      </w:r>
      <w:r>
        <w:rPr>
          <w:rFonts w:ascii="Times New Roman" w:hAnsi="Times New Roman"/>
          <w:b w:val="false"/>
          <w:i w:val="false"/>
          <w:color w:val="000000"/>
          <w:sz w:val="22"/>
        </w:rPr>
        <w:t xml:space="preserve">All compounded preparations shall be dispensed pursuant to a patient-specific prescription unless the compounded preparation is distributed pursuant to rule </w:t>
      </w:r>
      <w:hyperlink r:id="rId10">
        <w:r>
          <w:rPr>
            <w:rStyle w:val="Hyperlink"/>
            <w:rFonts w:ascii="Times New Roman" w:hAnsi="Times New Roman"/>
            <w:b w:val="false"/>
            <w:i w:val="false"/>
            <w:color w:val="000000"/>
            <w:sz w:val="22"/>
          </w:rPr>
          <w:t>657—20.15</w:t>
        </w:r>
      </w:hyperlink>
      <w:r>
        <w:rPr>
          <w:rFonts w:ascii="Times New Roman" w:hAnsi="Times New Roman"/>
          <w:b w:val="false"/>
          <w:i w:val="false"/>
          <w:color w:val="000000"/>
          <w:sz w:val="22"/>
        </w:rPr>
        <w:t xml:space="preserve">(124,126,155A) or </w:t>
      </w:r>
      <w:hyperlink r:id="rId11">
        <w:r>
          <w:rPr>
            <w:rStyle w:val="Hyperlink"/>
            <w:rFonts w:ascii="Times New Roman" w:hAnsi="Times New Roman"/>
            <w:b w:val="false"/>
            <w:i w:val="false"/>
            <w:color w:val="000000"/>
            <w:sz w:val="22"/>
          </w:rPr>
          <w:t>657—20.16</w:t>
        </w:r>
      </w:hyperlink>
      <w:r>
        <w:rPr>
          <w:rFonts w:ascii="Times New Roman" w:hAnsi="Times New Roman"/>
          <w:b w:val="false"/>
          <w:i w:val="false"/>
          <w:color w:val="000000"/>
          <w:sz w:val="22"/>
        </w:rPr>
        <w:t>(124,126,155A). A prescription for a compounded preparation shall be authorized by the prescriber for a specific patient. Prescriptions for all compounded preparations shall be maintained on file at the dispensing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657—20.10</w:t>
      </w:r>
      <w:r>
        <w:rPr>
          <w:rFonts w:ascii="Times New Roman" w:hAnsi="Times New Roman"/>
          <w:b/>
          <w:i w:val="false"/>
          <w:color w:val="000000"/>
          <w:sz w:val="22"/>
        </w:rPr>
        <w:t xml:space="preserve">(126,155A) </w:t>
      </w:r>
      <w:r>
        <w:rPr>
          <w:rFonts w:ascii="Times New Roman" w:hAnsi="Times New Roman"/>
          <w:b/>
          <w:i w:val="false"/>
          <w:color w:val="000000"/>
          <w:sz w:val="22"/>
        </w:rPr>
        <w:t xml:space="preserve">Anticipatory compounding.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color w:val="000000"/>
          <w:sz w:val="22"/>
        </w:rPr>
        <w:t xml:space="preserve">Outsourcing facilities. </w:t>
      </w:r>
      <w:r>
        <w:rPr>
          <w:rFonts w:ascii="Times New Roman" w:hAnsi="Times New Roman"/>
          <w:b w:val="false"/>
          <w:i w:val="false"/>
          <w:color w:val="000000"/>
          <w:sz w:val="22"/>
        </w:rPr>
        <w:t>Outsourcing facilities are authorized to engage in anticipatory compounding. Outsourcing facilities are not required to obtain patient-specific prescriptions in order to distribute compounded preparations.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20.10(2)</w:t>
      </w:r>
      <w:r>
        <w:rPr>
          <w:rFonts w:ascii="Times New Roman" w:hAnsi="Times New Roman"/>
          <w:b w:val="false"/>
          <w:i w:val="false"/>
          <w:color w:val="000000"/>
          <w:sz w:val="22"/>
        </w:rPr>
        <w:t> </w:t>
      </w:r>
      <w:r>
        <w:rPr>
          <w:rFonts w:ascii="Times New Roman" w:hAnsi="Times New Roman"/>
          <w:b w:val="false"/>
          <w:i/>
          <w:color w:val="000000"/>
          <w:sz w:val="22"/>
        </w:rPr>
        <w:t xml:space="preserve">Pharmacies. </w:t>
      </w:r>
      <w:r>
        <w:rPr>
          <w:rFonts w:ascii="Times New Roman" w:hAnsi="Times New Roman"/>
          <w:b w:val="false"/>
          <w:i w:val="false"/>
          <w:color w:val="000000"/>
          <w:sz w:val="22"/>
        </w:rPr>
        <w:t>Pharmacies may engage in anticipatory compounding only if the anticipatory compounding is based on a history of receiving valid prescriptions generated solely within an established prescriber/patient/pharmacist relationship, so long as each compounded preparation is dispensed pursuant to a patient-specific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657—20.11</w:t>
      </w:r>
      <w:r>
        <w:rPr>
          <w:rFonts w:ascii="Times New Roman" w:hAnsi="Times New Roman"/>
          <w:b/>
          <w:i w:val="false"/>
          <w:color w:val="000000"/>
          <w:sz w:val="22"/>
        </w:rPr>
        <w:t xml:space="preserve">(126,155A) </w:t>
      </w:r>
      <w:r>
        <w:rPr>
          <w:rFonts w:ascii="Times New Roman" w:hAnsi="Times New Roman"/>
          <w:b/>
          <w:i w:val="false"/>
          <w:color w:val="000000"/>
          <w:sz w:val="22"/>
        </w:rPr>
        <w:t xml:space="preserve">Prohibition on resale of compounded preparations. </w:t>
      </w:r>
      <w:r>
        <w:rPr>
          <w:rFonts w:ascii="Times New Roman" w:hAnsi="Times New Roman"/>
          <w:b w:val="false"/>
          <w:i w:val="false"/>
          <w:color w:val="000000"/>
          <w:sz w:val="22"/>
        </w:rPr>
        <w:t>The sale of compounded preparations to other pharmacies, prescribers, or entities, except as explicitly authorized by this chapter, is considered manufacturing.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657—20.12</w:t>
      </w:r>
      <w:r>
        <w:rPr>
          <w:rFonts w:ascii="Times New Roman" w:hAnsi="Times New Roman"/>
          <w:b/>
          <w:i w:val="false"/>
          <w:color w:val="000000"/>
          <w:sz w:val="22"/>
        </w:rPr>
        <w:t xml:space="preserve">(126,155A) </w:t>
      </w:r>
      <w:r>
        <w:rPr>
          <w:rFonts w:ascii="Times New Roman" w:hAnsi="Times New Roman"/>
          <w:b/>
          <w:i w:val="false"/>
          <w:color w:val="000000"/>
          <w:sz w:val="22"/>
        </w:rPr>
        <w:t xml:space="preserve">Compounding copies of an approved drug. </w:t>
      </w:r>
      <w:r>
        <w:rPr>
          <w:rFonts w:ascii="Times New Roman" w:hAnsi="Times New Roman"/>
          <w:b w:val="false"/>
          <w:i w:val="false"/>
          <w:color w:val="000000"/>
          <w:sz w:val="22"/>
        </w:rPr>
        <w:t xml:space="preserve">A pharmacy or outsourcing facility may only compound preparations that are essentially copies of approved drugs if the compounded preparation is changed to produce for an individual patient a clinically significant difference to meet a medical need as determined and authorized by the prescriber. A pharmacy or outsourcing facility may compound a preparation that is essentially a copy of an approved drug if the approved drug is identified as currently in shortage on the FDA drug shortages database published on the FDA website, </w:t>
      </w:r>
      <w:hyperlink r:id="rId12">
        <w:r>
          <w:rPr>
            <w:rStyle w:val="Hyperlink"/>
            <w:rFonts w:ascii="Times New Roman" w:hAnsi="Times New Roman"/>
            <w:b w:val="false"/>
            <w:i w:val="false"/>
            <w:color w:val="000000"/>
            <w:sz w:val="22"/>
            <w:u w:val="single"/>
          </w:rPr>
          <w:t>www.accessdata.fda.gov/scripts/drugshortages/default.cfm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color w:val="000000"/>
          <w:sz w:val="22"/>
        </w:rPr>
        <w:t xml:space="preserve">Essentially a copy. </w:t>
      </w:r>
      <w:r>
        <w:rPr>
          <w:rFonts w:ascii="Times New Roman" w:hAnsi="Times New Roman"/>
          <w:b w:val="false"/>
          <w:i w:val="false"/>
          <w:color w:val="000000"/>
          <w:sz w:val="22"/>
        </w:rPr>
        <w:t>The board may consider the existence of the following factors as an indication that a compounded preparation is essentially a copy of an approved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compounded preparation has the same active pharmaceutical ingredient(s) as the commercially available drug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active pharmaceutical ingredient(s) has the same, similar, or an easily substitutable dosage strength;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commercially available drug product can be used by the same route of administration as prescribed for the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color w:val="000000"/>
          <w:sz w:val="22"/>
        </w:rPr>
        <w:t xml:space="preserve">Clinically significant difference. </w:t>
      </w:r>
      <w:r>
        <w:rPr>
          <w:rFonts w:ascii="Times New Roman" w:hAnsi="Times New Roman"/>
          <w:b w:val="false"/>
          <w:i w:val="false"/>
          <w:color w:val="000000"/>
          <w:sz w:val="22"/>
        </w:rPr>
        <w:t>The prescription for a compounded preparation that is essentially a copy of an approved drug shall clearly indicate the relevant change and the significant clinical difference produced for the patient. A prescription that identifies only a patient name and compounded preparation formulation is insufficient documentation for a pharmacy or outsourcing facility to rely upon to conclude that the prescriber made a determination regarding a clinically significant difference.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657—20.13</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Use of flavoring agents. </w:t>
      </w:r>
      <w:r>
        <w:rPr>
          <w:rFonts w:ascii="Times New Roman" w:hAnsi="Times New Roman"/>
          <w:b w:val="false"/>
          <w:i w:val="false"/>
          <w:color w:val="000000"/>
          <w:sz w:val="22"/>
        </w:rPr>
        <w:t xml:space="preserve">A flavoring agent may be added to a drug at the discretion of the pharmacist or upon the request of the prescriber, the patient, or the patient’s agent. The pharmacist may add flavoring agents not to exceed 5 percent of the total volume of the drug to which the flavoring agents are added. The pharmacist shall label the flavored drug with a beyond-use date no greater than 14 days past the date the flavoring agent is added if the drug is required to be stored in a refrigerator. A different beyond-use date or alternate storage conditions may be indicated if such variation is supported by peer-reviewed medical literature. The pharmacist shall electronically or manually document that a flavoring agent was added to a drug, and such documentation shall be made available for inspection and copying upon the request of the board or an agent of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657—20.14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657—20.15</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Compounding for office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color w:val="000000"/>
          <w:sz w:val="22"/>
        </w:rPr>
        <w:t xml:space="preserve">Human compounded preparations. </w:t>
      </w:r>
      <w:r>
        <w:rPr>
          <w:rFonts w:ascii="Times New Roman" w:hAnsi="Times New Roman"/>
          <w:b w:val="false"/>
          <w:i w:val="false"/>
          <w:color w:val="000000"/>
          <w:sz w:val="22"/>
        </w:rPr>
        <w:t xml:space="preserve">Only an FDA-registered outsourcing facility properly licensed in Iowa pursuant to </w:t>
      </w:r>
      <w:hyperlink r:id="rId13">
        <w:r>
          <w:rPr>
            <w:rStyle w:val="Hyperlink"/>
            <w:rFonts w:ascii="Times New Roman" w:hAnsi="Times New Roman"/>
            <w:b w:val="false"/>
            <w:i w:val="false"/>
            <w:color w:val="000000"/>
            <w:sz w:val="22"/>
          </w:rPr>
          <w:t>657—Chapter 41</w:t>
        </w:r>
      </w:hyperlink>
      <w:r>
        <w:rPr>
          <w:rFonts w:ascii="Times New Roman" w:hAnsi="Times New Roman"/>
          <w:b w:val="false"/>
          <w:i w:val="false"/>
          <w:color w:val="000000"/>
          <w:sz w:val="22"/>
        </w:rPr>
        <w:t xml:space="preserve"> may distribute to a practitioner for office use human compounded preparations without a patient-specific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color w:val="000000"/>
          <w:sz w:val="22"/>
        </w:rPr>
        <w:t xml:space="preserve">Veterinary compounded preparations. </w:t>
      </w:r>
      <w:r>
        <w:rPr>
          <w:rFonts w:ascii="Times New Roman" w:hAnsi="Times New Roman"/>
          <w:b w:val="false"/>
          <w:i w:val="false"/>
          <w:color w:val="000000"/>
          <w:sz w:val="22"/>
        </w:rPr>
        <w:t>Veterinary compounded preparations may be sold to a practitioner for office use if the preparations are compounded by an Iowa-licensed pharmacy or outsourcing facility and sold directly to the practitioner by the pharmacy or outsourcing facility. Veterinary compounded preparations sold to a practitioner for office use may be dispensed to the owner of a veterinary patient to treat an immediate medical need when timely access to a patient-specific supply of compounded medication is not available, no commercially available product can meet the need of the patient, lack of treatment will likely result in patient harm, and the supply does not exceed 14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20.15(3)</w:t>
      </w:r>
      <w:r>
        <w:rPr>
          <w:rFonts w:ascii="Times New Roman" w:hAnsi="Times New Roman"/>
          <w:b w:val="false"/>
          <w:i w:val="false"/>
          <w:color w:val="000000"/>
          <w:sz w:val="22"/>
        </w:rPr>
        <w:t> </w:t>
      </w:r>
      <w:r>
        <w:rPr>
          <w:rFonts w:ascii="Times New Roman" w:hAnsi="Times New Roman"/>
          <w:b w:val="false"/>
          <w:i/>
          <w:color w:val="000000"/>
          <w:sz w:val="22"/>
        </w:rPr>
        <w:t xml:space="preserve">Office use. </w:t>
      </w:r>
      <w:r>
        <w:rPr>
          <w:rFonts w:ascii="Times New Roman" w:hAnsi="Times New Roman"/>
          <w:b w:val="false"/>
          <w:i w:val="false"/>
          <w:color w:val="000000"/>
          <w:sz w:val="22"/>
        </w:rPr>
        <w:t xml:space="preserve">Compounded preparations distributed for office use pursuant to subrule </w:t>
      </w:r>
      <w:hyperlink r:id="rId14">
        <w:r>
          <w:rPr>
            <w:rStyle w:val="Hyperlink"/>
            <w:rFonts w:ascii="Times New Roman" w:hAnsi="Times New Roman"/>
            <w:b w:val="false"/>
            <w:i w:val="false"/>
            <w:color w:val="000000"/>
            <w:sz w:val="22"/>
          </w:rPr>
          <w:t>20.15(1)</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20.15(2)</w:t>
        </w:r>
      </w:hyperlink>
      <w:r>
        <w:rPr>
          <w:rFonts w:ascii="Times New Roman" w:hAnsi="Times New Roman"/>
          <w:b w:val="false"/>
          <w:i w:val="false"/>
          <w:color w:val="000000"/>
          <w:sz w:val="22"/>
        </w:rPr>
        <w:t xml:space="preserve"> and in accordance with the labeling requirements of subrule </w:t>
      </w:r>
      <w:hyperlink r:id="rId16">
        <w:r>
          <w:rPr>
            <w:rStyle w:val="Hyperlink"/>
            <w:rFonts w:ascii="Times New Roman" w:hAnsi="Times New Roman"/>
            <w:b w:val="false"/>
            <w:i w:val="false"/>
            <w:color w:val="000000"/>
            <w:sz w:val="22"/>
          </w:rPr>
          <w:t>20.15(4)</w:t>
        </w:r>
      </w:hyperlink>
      <w:r>
        <w:rPr>
          <w:rFonts w:ascii="Times New Roman" w:hAnsi="Times New Roman"/>
          <w:b w:val="false"/>
          <w:i w:val="false"/>
          <w:color w:val="000000"/>
          <w:sz w:val="22"/>
        </w:rPr>
        <w:t xml:space="preserve"> do not require a patient-specific prescription but do require that the compounded preparation be administered to a patient in the course of the practitioner’s professional practice. Compounded preparations distributed for office use pursuant to this rule shall not be further distributed to other practitioners or dispensed to a patient for self-administration, except as provided in </w:t>
      </w:r>
      <w:hyperlink r:id="rId17">
        <w:r>
          <w:rPr>
            <w:rStyle w:val="Hyperlink"/>
            <w:rFonts w:ascii="Times New Roman" w:hAnsi="Times New Roman"/>
            <w:b w:val="false"/>
            <w:i w:val="false"/>
            <w:color w:val="000000"/>
            <w:sz w:val="22"/>
          </w:rPr>
          <w:t>subrule 20.15(2)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20.15(4)</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 xml:space="preserve">Compounded preparations for office use, in addition to the labeling requirements specified in rule </w:t>
      </w:r>
      <w:hyperlink r:id="rId18">
        <w:r>
          <w:rPr>
            <w:rStyle w:val="Hyperlink"/>
            <w:rFonts w:ascii="Times New Roman" w:hAnsi="Times New Roman"/>
            <w:b w:val="false"/>
            <w:i w:val="false"/>
            <w:color w:val="000000"/>
            <w:sz w:val="22"/>
          </w:rPr>
          <w:t>657—20.19</w:t>
        </w:r>
      </w:hyperlink>
      <w:r>
        <w:rPr>
          <w:rFonts w:ascii="Times New Roman" w:hAnsi="Times New Roman"/>
          <w:b w:val="false"/>
          <w:i w:val="false"/>
          <w:color w:val="000000"/>
          <w:sz w:val="22"/>
        </w:rPr>
        <w:t>(124,126,155A), shall include on the prescription label the practitioner’s name in place of the patient’s name. The label shall state “For Office Use Only—Not for Resale.” If the sterility or integrity of the compounded preparation cannot be maintained after the initial opening of the container, the label shall state “Single-Dose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2559C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6331C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657—20.16</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Compounding for hospital use. </w:t>
      </w:r>
      <w:r>
        <w:rPr>
          <w:rFonts w:ascii="Times New Roman" w:hAnsi="Times New Roman"/>
          <w:b w:val="false"/>
          <w:i w:val="false"/>
          <w:color w:val="000000"/>
          <w:sz w:val="22"/>
        </w:rPr>
        <w:t>Compounded preparations distributed or dispensed to a hospital or hospital pharmacy pursuant to this rule shall be administered to an individual patient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w:t>
      </w:r>
      <w:r>
        <w:rPr>
          <w:rFonts w:ascii="Times New Roman" w:hAnsi="Times New Roman"/>
          <w:b w:val="false"/>
          <w:i w:val="false"/>
          <w:color w:val="000000"/>
          <w:sz w:val="22"/>
        </w:rPr>
        <w:t> </w:t>
      </w:r>
      <w:r>
        <w:rPr>
          <w:rFonts w:ascii="Times New Roman" w:hAnsi="Times New Roman"/>
          <w:b w:val="false"/>
          <w:i/>
          <w:color w:val="000000"/>
          <w:sz w:val="22"/>
        </w:rPr>
        <w:t xml:space="preserve">By an FDA-registered outsourcing facility. </w:t>
      </w:r>
      <w:r>
        <w:rPr>
          <w:rFonts w:ascii="Times New Roman" w:hAnsi="Times New Roman"/>
          <w:b w:val="false"/>
          <w:i w:val="false"/>
          <w:color w:val="000000"/>
          <w:sz w:val="22"/>
        </w:rPr>
        <w:t xml:space="preserve">Only an FDA-registered outsourcing facility properly licensed in Iowa pursuant to </w:t>
      </w:r>
      <w:hyperlink r:id="rId19">
        <w:r>
          <w:rPr>
            <w:rStyle w:val="Hyperlink"/>
            <w:rFonts w:ascii="Times New Roman" w:hAnsi="Times New Roman"/>
            <w:b w:val="false"/>
            <w:i w:val="false"/>
            <w:color w:val="000000"/>
            <w:sz w:val="22"/>
          </w:rPr>
          <w:t>657—Chapter 41</w:t>
        </w:r>
      </w:hyperlink>
      <w:r>
        <w:rPr>
          <w:rFonts w:ascii="Times New Roman" w:hAnsi="Times New Roman"/>
          <w:b w:val="false"/>
          <w:i w:val="false"/>
          <w:color w:val="000000"/>
          <w:sz w:val="22"/>
        </w:rPr>
        <w:t xml:space="preserve"> may distribute human compounded preparations to a hospital or hospital pharmacy in the absence of a patient-specific prescription. The compounded preparation shall be labeled in compliance with subrule </w:t>
      </w:r>
      <w:hyperlink r:id="rId20">
        <w:r>
          <w:rPr>
            <w:rStyle w:val="Hyperlink"/>
            <w:rFonts w:ascii="Times New Roman" w:hAnsi="Times New Roman"/>
            <w:b w:val="false"/>
            <w:i w:val="false"/>
            <w:color w:val="000000"/>
            <w:sz w:val="22"/>
          </w:rPr>
          <w:t>20.19(3)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w:t>
      </w:r>
      <w:r>
        <w:rPr>
          <w:rFonts w:ascii="Times New Roman" w:hAnsi="Times New Roman"/>
          <w:b w:val="false"/>
          <w:i w:val="false"/>
          <w:color w:val="000000"/>
          <w:sz w:val="22"/>
        </w:rPr>
        <w:t> </w:t>
      </w:r>
      <w:r>
        <w:rPr>
          <w:rFonts w:ascii="Times New Roman" w:hAnsi="Times New Roman"/>
          <w:b w:val="false"/>
          <w:i/>
          <w:color w:val="000000"/>
          <w:sz w:val="22"/>
        </w:rPr>
        <w:t xml:space="preserve">By a pharmacy that is not an FDA-registered outsourcing facility. </w:t>
      </w:r>
      <w:r>
        <w:rPr>
          <w:rFonts w:ascii="Times New Roman" w:hAnsi="Times New Roman"/>
          <w:b w:val="false"/>
          <w:i w:val="false"/>
          <w:color w:val="000000"/>
          <w:sz w:val="22"/>
        </w:rPr>
        <w:t xml:space="preserve">Human compounded preparations that are not compounded at an FDA-registered outsourcing facility may be dispensed to a hospital or hospital pharmacy by an Iowa-licensed pharmacy pursuant to a prescriber’s authorization for administration to a specific patient. The compounded preparation shall be labeled in compliance with subrule </w:t>
      </w:r>
      <w:hyperlink r:id="rId21">
        <w:r>
          <w:rPr>
            <w:rStyle w:val="Hyperlink"/>
            <w:rFonts w:ascii="Times New Roman" w:hAnsi="Times New Roman"/>
            <w:b w:val="false"/>
            <w:i w:val="false"/>
            <w:color w:val="000000"/>
            <w:sz w:val="22"/>
          </w:rPr>
          <w:t>20.19(2)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657—20.17</w:t>
      </w:r>
      <w:r>
        <w:rPr>
          <w:rFonts w:ascii="Times New Roman" w:hAnsi="Times New Roman"/>
          <w:b w:val="false"/>
          <w:i w:val="false"/>
          <w:color w:val="000000"/>
          <w:sz w:val="22"/>
        </w:rPr>
        <w:t xml:space="preserve"> and </w:t>
      </w:r>
      <w:r>
        <w:rPr>
          <w:rFonts w:ascii="Times New Roman" w:hAnsi="Times New Roman"/>
          <w:b/>
          <w:i w:val="false"/>
          <w:color w:val="000000"/>
          <w:sz w:val="22"/>
        </w:rPr>
        <w:t>20.18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657—20.19</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Labeling. </w:t>
      </w:r>
      <w:r>
        <w:rPr>
          <w:rFonts w:ascii="Times New Roman" w:hAnsi="Times New Roman"/>
          <w:b w:val="false"/>
          <w:i w:val="false"/>
          <w:color w:val="000000"/>
          <w:sz w:val="22"/>
        </w:rPr>
        <w:t>The label, or attached auxiliary labeling if necessary, affixed to the container of any compounded preparation dispensed or distributed into or within Iowa shall contain at least the information identified in one of the following subrules,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20.19(1)</w:t>
      </w:r>
      <w:r>
        <w:rPr>
          <w:rFonts w:ascii="Times New Roman" w:hAnsi="Times New Roman"/>
          <w:b w:val="false"/>
          <w:i w:val="false"/>
          <w:color w:val="000000"/>
          <w:sz w:val="22"/>
        </w:rPr>
        <w:t> </w:t>
      </w:r>
      <w:r>
        <w:rPr>
          <w:rFonts w:ascii="Times New Roman" w:hAnsi="Times New Roman"/>
          <w:b w:val="false"/>
          <w:i/>
          <w:color w:val="000000"/>
          <w:sz w:val="22"/>
        </w:rPr>
        <w:t xml:space="preserve">General pharmacy or outpatient dispensing. </w:t>
      </w:r>
      <w:r>
        <w:rPr>
          <w:rFonts w:ascii="Times New Roman" w:hAnsi="Times New Roman"/>
          <w:b w:val="false"/>
          <w:i w:val="false"/>
          <w:color w:val="000000"/>
          <w:sz w:val="22"/>
        </w:rPr>
        <w:t xml:space="preserve">The label shall meet the labeling requirements of </w:t>
      </w:r>
      <w:hyperlink r:id="rId22">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 xml:space="preserve"> and shall include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concentration of each active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that the preparation was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beyond-use date of the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storage and handling instructions,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statement “COMPOUNDED PREPARATION” or a reasonable comparable alternative statement that prominently identifies the drug as a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compounded preparation is sterile, the word “STERILE.”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compounded preparation was prepared from batch preparation compounding, the batch identification or control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w:t>
      </w:r>
      <w:r>
        <w:rPr>
          <w:rFonts w:ascii="Times New Roman" w:hAnsi="Times New Roman"/>
          <w:b w:val="false"/>
          <w:i w:val="false"/>
          <w:color w:val="000000"/>
          <w:sz w:val="22"/>
        </w:rPr>
        <w:t> </w:t>
      </w:r>
      <w:r>
        <w:rPr>
          <w:rFonts w:ascii="Times New Roman" w:hAnsi="Times New Roman"/>
          <w:b w:val="false"/>
          <w:i/>
          <w:color w:val="000000"/>
          <w:sz w:val="22"/>
        </w:rPr>
        <w:t xml:space="preserve">Hospital pharmacy or inpatient administration. </w:t>
      </w:r>
      <w:r>
        <w:rPr>
          <w:rFonts w:ascii="Times New Roman" w:hAnsi="Times New Roman"/>
          <w:b w:val="false"/>
          <w:i w:val="false"/>
          <w:color w:val="000000"/>
          <w:sz w:val="22"/>
        </w:rPr>
        <w:t xml:space="preserve">The label shall meet the labeling requirements of </w:t>
      </w:r>
      <w:hyperlink r:id="rId23">
        <w:r>
          <w:rPr>
            <w:rStyle w:val="Hyperlink"/>
            <w:rFonts w:ascii="Times New Roman" w:hAnsi="Times New Roman"/>
            <w:b w:val="false"/>
            <w:i w:val="false"/>
            <w:color w:val="000000"/>
            <w:sz w:val="22"/>
          </w:rPr>
          <w:t>657—subrule 22.1(3)</w:t>
        </w:r>
      </w:hyperlink>
      <w:r>
        <w:rPr>
          <w:rFonts w:ascii="Times New Roman" w:hAnsi="Times New Roman"/>
          <w:b w:val="false"/>
          <w:i w:val="false"/>
          <w:color w:val="000000"/>
          <w:sz w:val="22"/>
        </w:rPr>
        <w:t xml:space="preserve"> and shall include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concentration of each active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that the preparation was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beyond-use date of the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compounded preparation was prepared from batch preparation compounding, the batch identification or control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 storage and handling instructions,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w:t>
      </w:r>
      <w:r>
        <w:rPr>
          <w:rFonts w:ascii="Times New Roman" w:hAnsi="Times New Roman"/>
          <w:b w:val="false"/>
          <w:i w:val="false"/>
          <w:color w:val="000000"/>
          <w:sz w:val="22"/>
        </w:rPr>
        <w:t> </w:t>
      </w:r>
      <w:r>
        <w:rPr>
          <w:rFonts w:ascii="Times New Roman" w:hAnsi="Times New Roman"/>
          <w:b w:val="false"/>
          <w:i/>
          <w:color w:val="000000"/>
          <w:sz w:val="22"/>
        </w:rPr>
        <w:t xml:space="preserve">Outsourcing facility distribution or dispensing. </w:t>
      </w:r>
      <w:r>
        <w:rPr>
          <w:rFonts w:ascii="Times New Roman" w:hAnsi="Times New Roman"/>
          <w:b w:val="false"/>
          <w:i w:val="false"/>
          <w:color w:val="000000"/>
          <w:sz w:val="22"/>
        </w:rPr>
        <w:t>The label, or auxiliary labeling if necessary,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statement “THIS IS A COMPOUNDED DRUG” or a reasonable comparable alternative statement that prominently identifies the drug as a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outsourcing facility that compounded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established name of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dosage form and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quantity of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that the preparation was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beyond-use date of the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Storage and handling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lot or batch identification or control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national drug code number,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statement “Not for resale” and, if the preparation is dispensed or distributed other than pursuant to a patient-specific prescription, the statement “OFFICE USE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following additional information, which can be included on the labeling of a container (such as a plastic bag containing individual product syringes) from which individual units of the drug are removed for dispensing or for administration if there is not space on the label for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Directions for use including, as appropriate, dosage and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the active and inactive ingredients, identified by established name and quantity or proportion of each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FDA contact information (</w:t>
      </w:r>
      <w:hyperlink r:id="rId24">
        <w:r>
          <w:rPr>
            <w:rStyle w:val="Hyperlink"/>
            <w:rFonts w:ascii="Times New Roman" w:hAnsi="Times New Roman"/>
            <w:b w:val="false"/>
            <w:i w:val="false"/>
            <w:color w:val="000000"/>
            <w:sz w:val="22"/>
            <w:u w:val="single"/>
          </w:rPr>
          <w:t>www.fda.gov/medwatch</w:t>
        </w:r>
      </w:hyperlink>
      <w:r>
        <w:rPr>
          <w:rFonts w:ascii="Times New Roman" w:hAnsi="Times New Roman"/>
          <w:b w:val="false"/>
          <w:i w:val="false"/>
          <w:color w:val="000000"/>
          <w:sz w:val="22"/>
        </w:rPr>
        <w:t xml:space="preserve"> and 1-800-FDA-1088 or successor website or telephone number) to facilitate adverse event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preparation is compounded pursuant to a prescription for a specific patient, the label shall also include the label requirements in </w:t>
      </w:r>
      <w:hyperlink r:id="rId25">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preparation is compounded for office use, the label shall also include the label requirements in subrule </w:t>
      </w:r>
      <w:hyperlink r:id="rId26">
        <w:r>
          <w:rPr>
            <w:rStyle w:val="Hyperlink"/>
            <w:rFonts w:ascii="Times New Roman" w:hAnsi="Times New Roman"/>
            <w:b w:val="false"/>
            <w:i w:val="false"/>
            <w:color w:val="000000"/>
            <w:sz w:val="22"/>
          </w:rPr>
          <w:t>20.15(4)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3238C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657—20.20</w:t>
      </w:r>
      <w:r>
        <w:rPr>
          <w:rFonts w:ascii="Times New Roman" w:hAnsi="Times New Roman"/>
          <w:b/>
          <w:i w:val="false"/>
          <w:color w:val="000000"/>
          <w:sz w:val="22"/>
        </w:rPr>
        <w:t xml:space="preserve">(126,155A) </w:t>
      </w:r>
      <w:r>
        <w:rPr>
          <w:rFonts w:ascii="Times New Roman" w:hAnsi="Times New Roman"/>
          <w:b/>
          <w:i w:val="false"/>
          <w:color w:val="000000"/>
          <w:sz w:val="22"/>
        </w:rPr>
        <w:t xml:space="preserve">Labeling for batch preparation compounding. </w:t>
      </w:r>
      <w:r>
        <w:rPr>
          <w:rFonts w:ascii="Times New Roman" w:hAnsi="Times New Roman"/>
          <w:b w:val="false"/>
          <w:i w:val="false"/>
          <w:color w:val="000000"/>
          <w:sz w:val="22"/>
        </w:rPr>
        <w:t xml:space="preserve">Compounded preparations resulting from batch preparation compounding shall be labeled with the following information until such time as the preparations are labeled pursuant to rule </w:t>
      </w:r>
      <w:hyperlink r:id="rId27">
        <w:r>
          <w:rPr>
            <w:rStyle w:val="Hyperlink"/>
            <w:rFonts w:ascii="Times New Roman" w:hAnsi="Times New Roman"/>
            <w:b w:val="false"/>
            <w:i w:val="false"/>
            <w:color w:val="000000"/>
            <w:sz w:val="22"/>
          </w:rPr>
          <w:t>657—20.19</w:t>
        </w:r>
      </w:hyperlink>
      <w:r>
        <w:rPr>
          <w:rFonts w:ascii="Times New Roman" w:hAnsi="Times New Roman"/>
          <w:b w:val="false"/>
          <w:i w:val="false"/>
          <w:color w:val="000000"/>
          <w:sz w:val="22"/>
        </w:rPr>
        <w:t>(124,126,155A) for distribution to hospitals or practitioners or for dispensing or administration to patients: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that the preparation was compounded.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Compounded preparation name or formula.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Dosage form.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Strength.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Quantity per container.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Unique internal batch identification or control number.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Special storage and handling instructions,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657—20.21</w:t>
      </w:r>
      <w:r>
        <w:rPr>
          <w:rFonts w:ascii="Times New Roman" w:hAnsi="Times New Roman"/>
          <w:b w:val="false"/>
          <w:i w:val="false"/>
          <w:color w:val="000000"/>
          <w:sz w:val="22"/>
        </w:rPr>
        <w:t xml:space="preserve"> and </w:t>
      </w:r>
      <w:r>
        <w:rPr>
          <w:rFonts w:ascii="Times New Roman" w:hAnsi="Times New Roman"/>
          <w:b/>
          <w:i w:val="false"/>
          <w:color w:val="000000"/>
          <w:sz w:val="22"/>
        </w:rPr>
        <w:t>20.22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657—20.23</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20.23(1)</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 xml:space="preserve">All records required by this chapter shall be retained as original records of the pharmacy or outsourcing facility and shall be readily available for inspection and photocopying by agents of the board or other authorized authorities for at least two years following the date of the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20.23(2)</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Records shall allow for the identification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ingredients used in compounding, including manufacturer or National Drug Code (NDC), lot number,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compounding steps involved in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involved in compounding.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personnel involved in reviewing compounded preparations.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20.23(3)</w:t>
      </w:r>
      <w:r>
        <w:rPr>
          <w:rFonts w:ascii="Times New Roman" w:hAnsi="Times New Roman"/>
          <w:b w:val="false"/>
          <w:i w:val="false"/>
          <w:color w:val="000000"/>
          <w:sz w:val="22"/>
        </w:rPr>
        <w:t> </w:t>
      </w:r>
      <w:r>
        <w:rPr>
          <w:rFonts w:ascii="Times New Roman" w:hAnsi="Times New Roman"/>
          <w:b w:val="false"/>
          <w:i/>
          <w:color w:val="000000"/>
          <w:sz w:val="22"/>
        </w:rPr>
        <w:t xml:space="preserve">Batch disbursements. </w:t>
      </w:r>
      <w:r>
        <w:rPr>
          <w:rFonts w:ascii="Times New Roman" w:hAnsi="Times New Roman"/>
          <w:b w:val="false"/>
          <w:i w:val="false"/>
          <w:color w:val="000000"/>
          <w:sz w:val="22"/>
        </w:rPr>
        <w:t>The pharmacy or outsourcing facility shall maintain records documenting the disbursements from each batch of a compounded preparation.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6522C</w:t>
      </w:r>
      <w:r>
        <w:rPr>
          <w:rFonts w:ascii="Times New Roman" w:hAnsi="Times New Roman"/>
          <w:b w:val="false"/>
          <w:i w:val="false"/>
          <w:color w:val="000000"/>
          <w:sz w:val="16"/>
        </w:rPr>
        <w:t>, IAB 9/21/22, effective 10/26/22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657—20.24</w:t>
      </w:r>
      <w:r>
        <w:rPr>
          <w:rFonts w:ascii="Times New Roman" w:hAnsi="Times New Roman"/>
          <w:b/>
          <w:i w:val="false"/>
          <w:color w:val="000000"/>
          <w:sz w:val="22"/>
        </w:rPr>
        <w:t xml:space="preserve">(155A) </w:t>
      </w:r>
      <w:r>
        <w:rPr>
          <w:rFonts w:ascii="Times New Roman" w:hAnsi="Times New Roman"/>
          <w:b/>
          <w:i w:val="false"/>
          <w:color w:val="000000"/>
          <w:sz w:val="22"/>
        </w:rPr>
        <w:t xml:space="preserve">Annual reporting of interstate distribution of compounded preparations.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20.24(1)</w:t>
      </w:r>
      <w:r>
        <w:rPr>
          <w:rFonts w:ascii="Times New Roman" w:hAnsi="Times New Roman"/>
          <w:b w:val="false"/>
          <w:i w:val="false"/>
          <w:color w:val="000000"/>
          <w:sz w:val="22"/>
        </w:rPr>
        <w:t> </w:t>
      </w:r>
      <w:r>
        <w:rPr>
          <w:rFonts w:ascii="Times New Roman" w:hAnsi="Times New Roman"/>
          <w:b w:val="false"/>
          <w:i w:val="false"/>
          <w:color w:val="000000"/>
          <w:sz w:val="22"/>
        </w:rPr>
        <w:t>No later than April 1, 2022, and annually thereafter, each licensed pharmacy located in Iowa that distributed compounded preparations for human use interstate in the previous calendar year shall report compounding data to the NABP information sharing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20.24(2)</w:t>
      </w:r>
      <w:r>
        <w:rPr>
          <w:rFonts w:ascii="Times New Roman" w:hAnsi="Times New Roman"/>
          <w:b w:val="false"/>
          <w:i w:val="false"/>
          <w:color w:val="000000"/>
          <w:sz w:val="22"/>
        </w:rPr>
        <w:t> </w:t>
      </w:r>
      <w:r>
        <w:rPr>
          <w:rFonts w:ascii="Times New Roman" w:hAnsi="Times New Roman"/>
          <w:b w:val="false"/>
          <w:i w:val="false"/>
          <w:color w:val="000000"/>
          <w:sz w:val="22"/>
        </w:rPr>
        <w:t>Compounding data may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pharmacy engaged in the following activities during the identified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Sterile human drug compounding;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Nonsterile human drug compounding;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Patient-specific compounding;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Non-patient-specific compounding.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prescription orders for compounded human drugs sent out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prescription orders for compounded human drugs dispensed at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number of prescription orders for compounded human drugs distributed interstate.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prescription orders for sterile compounded human drugs distributed interstate.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names of states into which the pharmacy distributed compounded human drugs during the identified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compounded human drugs are distributed without patient-specific prescriptions.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6076C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124.303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124.501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126.9</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126.10</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126.18</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155A.2</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155A.13C</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155A.33</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155A.35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10/6/95, Notice 8/16/95—published 10/25/95, effective 11/29/95]</w:t>
      </w:r>
    </w:p>
    <w:p>
      <w:pPr>
        <w:spacing w:before="0" w:after="0"/>
        <w:ind w:left="120"/>
        <w:jc w:val="center"/>
      </w:pPr>
      <w:r>
        <w:rPr>
          <w:rFonts w:ascii="Times New Roman" w:hAnsi="Times New Roman"/>
          <w:b w:val="false"/>
          <w:i w:val="false"/>
          <w:color w:val="000000"/>
          <w:sz w:val="21"/>
        </w:rPr>
        <w:t>[Filed 12/10/96, Notice 8/28/96—published 1/1/97, effective 2/5/97]</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10/24/02, Notice 7/24/02—published 11/13/02, effective 12/18/02]</w:t>
      </w:r>
    </w:p>
    <w:p>
      <w:pPr>
        <w:spacing w:before="0" w:after="0"/>
        <w:ind w:left="120"/>
        <w:jc w:val="center"/>
      </w:pPr>
      <w:r>
        <w:rPr>
          <w:rFonts w:ascii="Times New Roman" w:hAnsi="Times New Roman"/>
          <w:b w:val="false"/>
          <w:i w:val="false"/>
          <w:color w:val="000000"/>
          <w:sz w:val="21"/>
        </w:rPr>
        <w:t>[Filed 3/11/04, Notice 8/6/03—published 3/31/04, effective 5/5/04]</w:t>
      </w:r>
    </w:p>
    <w:p>
      <w:pPr>
        <w:spacing w:before="0" w:after="0"/>
        <w:ind w:left="120"/>
        <w:jc w:val="center"/>
      </w:pPr>
      <w:r>
        <w:rPr>
          <w:rFonts w:ascii="Times New Roman" w:hAnsi="Times New Roman"/>
          <w:b w:val="false"/>
          <w:i w:val="false"/>
          <w:color w:val="000000"/>
          <w:sz w:val="21"/>
        </w:rPr>
        <w:t>[Filed 6/2/05, Notice 1/19/05—published 6/22/05, effective 7/27/05]</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3/5/08, Notice 12/5/07—published 3/26/08, effective 4/30/08]</w:t>
      </w:r>
    </w:p>
    <w:p>
      <w:pPr>
        <w:spacing w:before="0" w:after="0"/>
        <w:ind w:left="120"/>
        <w:jc w:val="center"/>
      </w:pPr>
      <w:r>
        <w:rPr>
          <w:rFonts w:ascii="Times New Roman" w:hAnsi="Times New Roman"/>
          <w:b w:val="false"/>
          <w:i w:val="false"/>
          <w:color w:val="000000"/>
          <w:sz w:val="21"/>
        </w:rPr>
        <w:t>[Filed ARC 0596C</w:t>
      </w:r>
      <w:r>
        <w:rPr>
          <w:rFonts w:ascii="Times New Roman" w:hAnsi="Times New Roman"/>
          <w:b w:val="false"/>
          <w:i w:val="false"/>
          <w:color w:val="000000"/>
          <w:sz w:val="21"/>
        </w:rPr>
        <w:t xml:space="preserve"> (Notice ARC 0374C, IAB 10/3/12)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2194C</w:t>
      </w:r>
      <w:r>
        <w:rPr>
          <w:rFonts w:ascii="Times New Roman" w:hAnsi="Times New Roman"/>
          <w:b w:val="false"/>
          <w:i w:val="false"/>
          <w:color w:val="000000"/>
          <w:sz w:val="21"/>
        </w:rPr>
        <w:t xml:space="preserve"> (Notice ARC 1979C, IAB 4/29/15)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2559C</w:t>
      </w:r>
      <w:r>
        <w:rPr>
          <w:rFonts w:ascii="Times New Roman" w:hAnsi="Times New Roman"/>
          <w:b w:val="false"/>
          <w:i w:val="false"/>
          <w:color w:val="000000"/>
          <w:sz w:val="21"/>
        </w:rPr>
        <w:t xml:space="preserve"> (Notice ARC 2418C, IAB 2/17/16)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3238C</w:t>
      </w:r>
      <w:r>
        <w:rPr>
          <w:rFonts w:ascii="Times New Roman" w:hAnsi="Times New Roman"/>
          <w:b w:val="false"/>
          <w:i w:val="false"/>
          <w:color w:val="000000"/>
          <w:sz w:val="21"/>
        </w:rPr>
        <w:t xml:space="preserve"> (Notice ARC 3038C, IAB 4/26/17)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4454C</w:t>
      </w:r>
      <w:r>
        <w:rPr>
          <w:rFonts w:ascii="Times New Roman" w:hAnsi="Times New Roman"/>
          <w:b w:val="false"/>
          <w:i w:val="false"/>
          <w:color w:val="000000"/>
          <w:sz w:val="21"/>
        </w:rPr>
        <w:t xml:space="preserve"> (Amended Notice ARC 4172C, IAB 12/19/18; </w:t>
      </w:r>
      <w:r>
        <w:rPr>
          <w:rFonts w:ascii="Times New Roman" w:hAnsi="Times New Roman"/>
          <w:b w:val="false"/>
          <w:i w:val="false"/>
          <w:color w:val="000000"/>
          <w:sz w:val="21"/>
        </w:rPr>
        <w:t>Notice ARC 3978C, IAB 8/29/18)</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6076C</w:t>
      </w:r>
      <w:r>
        <w:rPr>
          <w:rFonts w:ascii="Times New Roman" w:hAnsi="Times New Roman"/>
          <w:b w:val="false"/>
          <w:i w:val="false"/>
          <w:color w:val="000000"/>
          <w:sz w:val="21"/>
        </w:rPr>
        <w:t xml:space="preserve"> (Notice ARC 5833C, IAB 8/11/21)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6331C</w:t>
      </w:r>
      <w:r>
        <w:rPr>
          <w:rFonts w:ascii="Times New Roman" w:hAnsi="Times New Roman"/>
          <w:b w:val="false"/>
          <w:i w:val="false"/>
          <w:color w:val="000000"/>
          <w:sz w:val="21"/>
        </w:rPr>
        <w:t xml:space="preserve"> (Notice ARC 6178C, IAB 2/9/22)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ARC 6522C</w:t>
      </w:r>
      <w:r>
        <w:rPr>
          <w:rFonts w:ascii="Times New Roman" w:hAnsi="Times New Roman"/>
          <w:b w:val="false"/>
          <w:i w:val="false"/>
          <w:color w:val="000000"/>
          <w:sz w:val="21"/>
        </w:rPr>
        <w:t xml:space="preserve"> (Notice ARC 6333C, IAB 6/1/22)</w:t>
      </w:r>
      <w:r>
        <w:rPr>
          <w:rFonts w:ascii="Times New Roman" w:hAnsi="Times New Roman"/>
          <w:b w:val="false"/>
          <w:i w:val="false"/>
          <w:color w:val="000000"/>
          <w:sz w:val="21"/>
        </w:rPr>
        <w:t>, IAB 9/21/22, effective 10/26/22]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7.16.pdf" Type="http://schemas.openxmlformats.org/officeDocument/2006/relationships/hyperlink" Id="rId5"/>
    <Relationship TargetMode="External" Target="https://www.legis.iowa.gov/docs/iac/chapter/657.41.pdf" Type="http://schemas.openxmlformats.org/officeDocument/2006/relationships/hyperlink" Id="rId6"/>
    <Relationship TargetMode="External" Target="https://www.legis.iowa.gov/docs/iac/rule/657.20.13.pdf" Type="http://schemas.openxmlformats.org/officeDocument/2006/relationships/hyperlink" Id="rId7"/>
    <Relationship TargetMode="External" Target="https://www.legis.iowa.gov/docs/iac/rule/657.20.15.pdf" Type="http://schemas.openxmlformats.org/officeDocument/2006/relationships/hyperlink" Id="rId8"/>
    <Relationship TargetMode="External" Target="https://www.legis.iowa.gov/docs/iac/chapter/657.41.pdf" Type="http://schemas.openxmlformats.org/officeDocument/2006/relationships/hyperlink" Id="rId9"/>
    <Relationship TargetMode="External" Target="https://www.legis.iowa.gov/docs/iac/rule/657.20.15.pdf" Type="http://schemas.openxmlformats.org/officeDocument/2006/relationships/hyperlink" Id="rId10"/>
    <Relationship TargetMode="External" Target="https://www.legis.iowa.gov/docs/iac/rule/657.20.16.pdf" Type="http://schemas.openxmlformats.org/officeDocument/2006/relationships/hyperlink" Id="rId11"/>
    <Relationship TargetMode="External" Target="http://www.accessdata.fda.gov/scripts/drugshortages/default.cfm" Type="http://schemas.openxmlformats.org/officeDocument/2006/relationships/hyperlink" Id="rId12"/>
    <Relationship TargetMode="External" Target="https://www.legis.iowa.gov/docs/iac/chapter/657.41.pdf" Type="http://schemas.openxmlformats.org/officeDocument/2006/relationships/hyperlink" Id="rId13"/>
    <Relationship TargetMode="External" Target="https://www.legis.iowa.gov/docs/iac/rule/657.20.15.pdf" Type="http://schemas.openxmlformats.org/officeDocument/2006/relationships/hyperlink" Id="rId14"/>
    <Relationship TargetMode="External" Target="https://www.legis.iowa.gov/docs/iac/rule/657.20.15.pdf" Type="http://schemas.openxmlformats.org/officeDocument/2006/relationships/hyperlink" Id="rId15"/>
    <Relationship TargetMode="External" Target="https://www.legis.iowa.gov/docs/iac/rule/657.20.15.pdf" Type="http://schemas.openxmlformats.org/officeDocument/2006/relationships/hyperlink" Id="rId16"/>
    <Relationship TargetMode="External" Target="https://www.legis.iowa.gov/docs/iac/rule/657.20.15.pdf" Type="http://schemas.openxmlformats.org/officeDocument/2006/relationships/hyperlink" Id="rId17"/>
    <Relationship TargetMode="External" Target="https://www.legis.iowa.gov/docs/iac/rule/657.20.19.pdf" Type="http://schemas.openxmlformats.org/officeDocument/2006/relationships/hyperlink" Id="rId18"/>
    <Relationship TargetMode="External" Target="https://www.legis.iowa.gov/docs/iac/chapter/657.41.pdf" Type="http://schemas.openxmlformats.org/officeDocument/2006/relationships/hyperlink" Id="rId19"/>
    <Relationship TargetMode="External" Target="https://www.legis.iowa.gov/docs/iac/rule/657.20.19.pdf" Type="http://schemas.openxmlformats.org/officeDocument/2006/relationships/hyperlink" Id="rId20"/>
    <Relationship TargetMode="External" Target="https://www.legis.iowa.gov/docs/iac/rule/657.20.19.pdf" Type="http://schemas.openxmlformats.org/officeDocument/2006/relationships/hyperlink" Id="rId21"/>
    <Relationship TargetMode="External" Target="https://www.legis.iowa.gov/docs/iac/rule/657.6.10.pdf" Type="http://schemas.openxmlformats.org/officeDocument/2006/relationships/hyperlink" Id="rId22"/>
    <Relationship TargetMode="External" Target="https://www.legis.iowa.gov/docs/iac/rule/657.22.1.pdf" Type="http://schemas.openxmlformats.org/officeDocument/2006/relationships/hyperlink" Id="rId23"/>
    <Relationship TargetMode="External" Target="http://www.fda.gov/medwatch" Type="http://schemas.openxmlformats.org/officeDocument/2006/relationships/hyperlink" Id="rId24"/>
    <Relationship TargetMode="External" Target="https://www.legis.iowa.gov/docs/iac/rule/657.6.10.pdf" Type="http://schemas.openxmlformats.org/officeDocument/2006/relationships/hyperlink" Id="rId25"/>
    <Relationship TargetMode="External" Target="https://www.legis.iowa.gov/docs/iac/rule/657.20.15.pdf" Type="http://schemas.openxmlformats.org/officeDocument/2006/relationships/hyperlink" Id="rId26"/>
    <Relationship TargetMode="External" Target="https://www.legis.iowa.gov/docs/iac/rule/657.20.19.pdf" Type="http://schemas.openxmlformats.org/officeDocument/2006/relationships/hyperlink" Id="rId27"/>
    <Relationship TargetMode="External" Target="https://www.legis.iowa.gov/docs/ico/chapter/124.302.pdf" Type="http://schemas.openxmlformats.org/officeDocument/2006/relationships/hyperlink" Id="rId28"/>
    <Relationship TargetMode="External" Target="https://www.legis.iowa.gov/docs/ico/chapter/124.303.pdf" Type="http://schemas.openxmlformats.org/officeDocument/2006/relationships/hyperlink" Id="rId29"/>
    <Relationship TargetMode="External" Target="https://www.legis.iowa.gov/docs/ico/chapter/124.306.pdf" Type="http://schemas.openxmlformats.org/officeDocument/2006/relationships/hyperlink" Id="rId30"/>
    <Relationship TargetMode="External" Target="https://www.legis.iowa.gov/docs/ico/chapter/124.308.pdf" Type="http://schemas.openxmlformats.org/officeDocument/2006/relationships/hyperlink" Id="rId31"/>
    <Relationship TargetMode="External" Target="https://www.legis.iowa.gov/docs/ico/chapter/124.501.pdf" Type="http://schemas.openxmlformats.org/officeDocument/2006/relationships/hyperlink" Id="rId32"/>
    <Relationship TargetMode="External" Target="https://www.legis.iowa.gov/docs/ico/chapter/126.9.pdf" Type="http://schemas.openxmlformats.org/officeDocument/2006/relationships/hyperlink" Id="rId33"/>
    <Relationship TargetMode="External" Target="https://www.legis.iowa.gov/docs/ico/chapter/126.10.pdf" Type="http://schemas.openxmlformats.org/officeDocument/2006/relationships/hyperlink" Id="rId34"/>
    <Relationship TargetMode="External" Target="https://www.legis.iowa.gov/docs/ico/chapter/126.18.pdf" Type="http://schemas.openxmlformats.org/officeDocument/2006/relationships/hyperlink" Id="rId35"/>
    <Relationship TargetMode="External" Target="https://www.legis.iowa.gov/docs/ico/chapter/155A.2.pdf" Type="http://schemas.openxmlformats.org/officeDocument/2006/relationships/hyperlink" Id="rId36"/>
    <Relationship TargetMode="External" Target="https://www.legis.iowa.gov/docs/ico/chapter/155A.13.pdf" Type="http://schemas.openxmlformats.org/officeDocument/2006/relationships/hyperlink" Id="rId37"/>
    <Relationship TargetMode="External" Target="https://www.legis.iowa.gov/docs/ico/chapter/155A.13C.pdf" Type="http://schemas.openxmlformats.org/officeDocument/2006/relationships/hyperlink" Id="rId38"/>
    <Relationship TargetMode="External" Target="https://www.legis.iowa.gov/docs/ico/chapter/155A.28.pdf" Type="http://schemas.openxmlformats.org/officeDocument/2006/relationships/hyperlink" Id="rId39"/>
    <Relationship TargetMode="External" Target="https://www.legis.iowa.gov/docs/ico/chapter/155A.33.pdf" Type="http://schemas.openxmlformats.org/officeDocument/2006/relationships/hyperlink" Id="rId40"/>
    <Relationship TargetMode="External" Target="https://www.legis.iowa.gov/docs/ico/chapter/155A.35.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