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NONRESIDENT PHARMACY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657—19.1</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means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state” </w:t>
      </w:r>
      <w:r>
        <w:rPr>
          <w:rFonts w:ascii="Times New Roman" w:hAnsi="Times New Roman"/>
          <w:b w:val="false"/>
          <w:i w:val="false"/>
          <w:color w:val="000000"/>
          <w:sz w:val="22"/>
        </w:rPr>
        <w:t>means the state in which a pharmacy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 pharmacy” </w:t>
      </w:r>
      <w:r>
        <w:rPr>
          <w:rFonts w:ascii="Times New Roman" w:hAnsi="Times New Roman"/>
          <w:b w:val="false"/>
          <w:i w:val="false"/>
          <w:color w:val="000000"/>
          <w:sz w:val="22"/>
        </w:rPr>
        <w:t xml:space="preserve">means a pharmacy located outside the state of Iowa that delivers, dispenses, or distributes, by any method, prescription drugs, devices, or pharmacy services to or intended for an ultimate user physically located in this state, including a pharmacy which engages in central fill or central processing functions as described in </w:t>
      </w:r>
      <w:hyperlink r:id="rId5">
        <w:r>
          <w:rPr>
            <w:rStyle w:val="Hyperlink"/>
            <w:rFonts w:ascii="Times New Roman" w:hAnsi="Times New Roman"/>
            <w:b w:val="false"/>
            <w:i w:val="false"/>
            <w:color w:val="000000"/>
            <w:sz w:val="22"/>
          </w:rPr>
          <w:t>657—Chapter 18</w:t>
        </w:r>
      </w:hyperlink>
      <w:r>
        <w:rPr>
          <w:rFonts w:ascii="Times New Roman" w:hAnsi="Times New Roman"/>
          <w:b w:val="false"/>
          <w:i w:val="false"/>
          <w:color w:val="000000"/>
          <w:sz w:val="22"/>
        </w:rPr>
        <w:t xml:space="preserve"> on behalf of a pharmacy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 pharmacy license” </w:t>
      </w:r>
      <w:r>
        <w:rPr>
          <w:rFonts w:ascii="Times New Roman" w:hAnsi="Times New Roman"/>
          <w:b w:val="false"/>
          <w:i w:val="false"/>
          <w:color w:val="000000"/>
          <w:sz w:val="22"/>
        </w:rPr>
        <w:t>means a pharmacy license issued to a nonresident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services” </w:t>
      </w:r>
      <w:r>
        <w:rPr>
          <w:rFonts w:ascii="Times New Roman" w:hAnsi="Times New Roman"/>
          <w:b w:val="false"/>
          <w:i w:val="false"/>
          <w:color w:val="000000"/>
          <w:sz w:val="22"/>
        </w:rPr>
        <w:t>includes, but is not limited to, nonproduct services provided by an Iowa-licensed pharmacist or a pharmacist practicing at an Iowa-licensed nonresident pharmacy, such as patient counseling and drug information, pharmaceutical care, and assessment of health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pharmacist in charge” </w:t>
      </w:r>
      <w:r>
        <w:rPr>
          <w:rFonts w:ascii="Times New Roman" w:hAnsi="Times New Roman"/>
          <w:b w:val="false"/>
          <w:i w:val="false"/>
          <w:color w:val="000000"/>
          <w:sz w:val="22"/>
        </w:rPr>
        <w:t>means the pharmacist in charge at the nonresident pharmacy who is registered with the board and is legally responsible for the operation of the nonresident pharmacy with respect to the provision of prescription drugs, devices, or pharmacy services to patients located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3237C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6417C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657—19.2</w:t>
      </w:r>
      <w:r>
        <w:rPr>
          <w:rFonts w:ascii="Times New Roman" w:hAnsi="Times New Roman"/>
          <w:b/>
          <w:i w:val="false"/>
          <w:color w:val="000000"/>
          <w:sz w:val="22"/>
        </w:rPr>
        <w:t xml:space="preserve">(155A) </w:t>
      </w:r>
      <w:r>
        <w:rPr>
          <w:rFonts w:ascii="Times New Roman" w:hAnsi="Times New Roman"/>
          <w:b/>
          <w:i w:val="false"/>
          <w:color w:val="000000"/>
          <w:sz w:val="22"/>
        </w:rPr>
        <w:t xml:space="preserve">Nonresident pharmacy license. </w:t>
      </w:r>
      <w:r>
        <w:rPr>
          <w:rFonts w:ascii="Times New Roman" w:hAnsi="Times New Roman"/>
          <w:b w:val="false"/>
          <w:i w:val="false"/>
          <w:color w:val="000000"/>
          <w:sz w:val="22"/>
        </w:rPr>
        <w:t>A nonresident pharmacy shall apply for and obtain, pursuant to provisions of rule 657—8.35(155A), a nonresident pharmacy license from the board prior to providing prescription drugs, devices, or pharmacy services to an ultimate user in this state. All requirements of rule 657—8.35(155A) regarding licensure are applicable to nonresident pharmacies unless otherwise provided in this rule. Any pharmacy that dispenses controlled substances to Iowa residents shall also register pursuant to 657—Chapter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color w:val="000000"/>
          <w:sz w:val="22"/>
        </w:rPr>
        <w:t xml:space="preserve">Inspection requirements. </w:t>
      </w:r>
      <w:r>
        <w:rPr>
          <w:rFonts w:ascii="Times New Roman" w:hAnsi="Times New Roman"/>
          <w:b w:val="false"/>
          <w:i w:val="false"/>
          <w:color w:val="000000"/>
          <w:sz w:val="22"/>
        </w:rPr>
        <w:t xml:space="preserve">In lieu of the inspection requirement identified in 657—subrule </w:t>
      </w:r>
      <w:hyperlink r:id="rId6">
        <w:r>
          <w:rPr>
            <w:rStyle w:val="Hyperlink"/>
            <w:rFonts w:ascii="Times New Roman" w:hAnsi="Times New Roman"/>
            <w:b w:val="false"/>
            <w:i w:val="false"/>
            <w:color w:val="000000"/>
            <w:sz w:val="22"/>
          </w:rPr>
          <w:t>8.35(4)</w:t>
        </w:r>
      </w:hyperlink>
      <w:r>
        <w:rPr>
          <w:rFonts w:ascii="Times New Roman" w:hAnsi="Times New Roman"/>
          <w:b w:val="false"/>
          <w:i w:val="false"/>
          <w:color w:val="000000"/>
          <w:sz w:val="22"/>
        </w:rPr>
        <w:t>, a nonresident pharmacy submitting any application for licensure, except when related to a change in location, shall submit with its application and fee an inspection report that satisfies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Less than two years have passed since the date of the inspection and the inspection report is the most recent inspection report available that satisfies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inspection occurred while the pharmacy was in operation. An inspection prior to the initial opening of the pharmacy shall not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inspection report addresses all aspects of the pharmacy’s business that will be utilized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inspection was performed by or on behalf of the home state licensing authority,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color w:val="000000"/>
          <w:sz w:val="22"/>
        </w:rPr>
        <w:t xml:space="preserve">Qualified inspector. </w:t>
      </w:r>
      <w:r>
        <w:rPr>
          <w:rFonts w:ascii="Times New Roman" w:hAnsi="Times New Roman"/>
          <w:b w:val="false"/>
          <w:i w:val="false"/>
          <w:color w:val="000000"/>
          <w:sz w:val="22"/>
        </w:rPr>
        <w:t>If the home state licensing authority has not conducted an inspection satisfying the inspection requirements, the nonresident pharmacy shall submit an inspection report issued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verified pharmacy program offered by the National Association of Boards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Another qualified entity if the entity is preapproved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authorized agent of the board. The board may recover from a nonresident pharmacy, prior to the issuance of a nonresident pharmacy license, the costs associated with conducting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w:t>
      </w:r>
      <w:r>
        <w:rPr>
          <w:rFonts w:ascii="Times New Roman" w:hAnsi="Times New Roman"/>
          <w:b w:val="false"/>
          <w:i w:val="false"/>
          <w:color w:val="000000"/>
          <w:sz w:val="22"/>
        </w:rPr>
        <w:t>The nonresident pharmacy shall submit evidence of corrective action taken to satisfy any deficiency identified in the inspection report and of compliance with all legal directives of the home state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19.2(4)</w:t>
      </w:r>
      <w:r>
        <w:rPr>
          <w:rFonts w:ascii="Times New Roman" w:hAnsi="Times New Roman"/>
          <w:b w:val="false"/>
          <w:i w:val="false"/>
          <w:color w:val="000000"/>
          <w:sz w:val="22"/>
        </w:rPr>
        <w:t> </w:t>
      </w:r>
      <w:r>
        <w:rPr>
          <w:rFonts w:ascii="Times New Roman" w:hAnsi="Times New Roman"/>
          <w:b w:val="false"/>
          <w:i/>
          <w:color w:val="000000"/>
          <w:sz w:val="22"/>
        </w:rPr>
        <w:t xml:space="preserve">Nonresident pharmacy license changes. </w:t>
      </w:r>
      <w:r>
        <w:rPr>
          <w:rFonts w:ascii="Times New Roman" w:hAnsi="Times New Roman"/>
          <w:b w:val="false"/>
          <w:i w:val="false"/>
          <w:color w:val="000000"/>
          <w:sz w:val="22"/>
        </w:rPr>
        <w:t>A nonresident pharmacy shall submit a completed application and fee pursuant to 657—subrule 8.35(6) except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A change of the pharmacy name which is provided to patients shall require submission of a pharmacy license application and fee within ten days after issuance by the home state regulatory authority of a license bearing the new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A change of pharmacy location shall require submission of a pharmacy license application, with the exception of the inspection requirements pursuant to subrule 19.2(1), and fee within ten days after issuance by the home state regulatory authority of a license bearing the new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Pharmacist in charge. </w:t>
      </w:r>
      <w:r>
        <w:rPr>
          <w:rFonts w:ascii="Times New Roman" w:hAnsi="Times New Roman"/>
          <w:b w:val="false"/>
          <w:i w:val="false"/>
          <w:color w:val="000000"/>
          <w:sz w:val="22"/>
        </w:rPr>
        <w:t xml:space="preserve">A change in the pharmacist in charge shall require submission of a pharmacy license application and fee within ten days of the identification of a permanent pharmacist in charge pursuant to </w:t>
      </w:r>
      <w:hyperlink r:id="rId7">
        <w:r>
          <w:rPr>
            <w:rStyle w:val="Hyperlink"/>
            <w:rFonts w:ascii="Times New Roman" w:hAnsi="Times New Roman"/>
            <w:b w:val="false"/>
            <w:i w:val="false"/>
            <w:color w:val="000000"/>
            <w:sz w:val="22"/>
          </w:rPr>
          <w:t>657—subrule 8.35(6)</w:t>
        </w:r>
      </w:hyperlink>
      <w:r>
        <w:rPr>
          <w:rFonts w:ascii="Times New Roman" w:hAnsi="Times New Roman"/>
          <w:b w:val="false"/>
          <w:i w:val="false"/>
          <w:color w:val="000000"/>
          <w:sz w:val="22"/>
        </w:rPr>
        <w:t xml:space="preserve">. If a temporary pharmacist in charge is identified, written notification shall be provided to the board pursuant to 657—paragraph </w:t>
      </w:r>
      <w:hyperlink r:id="rId8">
        <w:r>
          <w:rPr>
            <w:rStyle w:val="Hyperlink"/>
            <w:rFonts w:ascii="Times New Roman" w:hAnsi="Times New Roman"/>
            <w:b w:val="false"/>
            <w:i w:val="false"/>
            <w:color w:val="000000"/>
            <w:sz w:val="22"/>
          </w:rPr>
          <w:t>8.35(6)</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temporary pharmacist in charge shall not be required to be registered pursuant to rule </w:t>
      </w:r>
      <w:hyperlink r:id="rId9">
        <w:r>
          <w:rPr>
            <w:rStyle w:val="Hyperlink"/>
            <w:rFonts w:ascii="Times New Roman" w:hAnsi="Times New Roman"/>
            <w:b w:val="false"/>
            <w:i w:val="false"/>
            <w:color w:val="000000"/>
            <w:sz w:val="22"/>
          </w:rPr>
          <w:t>657—19.3</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Ownership. </w:t>
      </w:r>
      <w:r>
        <w:rPr>
          <w:rFonts w:ascii="Times New Roman" w:hAnsi="Times New Roman"/>
          <w:b w:val="false"/>
          <w:i w:val="false"/>
          <w:color w:val="000000"/>
          <w:sz w:val="22"/>
        </w:rPr>
        <w:t xml:space="preserve">A change of ownership of a pharmacy shall require submission of a pharmacy license application and fee within ten days after issuance by the home state regulatory authority of a license under the new ownership or within ten days of the change if the home state does not require issuance of a new license for a change of ownership. A change of ownership occurs when the owner listed on the pharmacy’s most recent application changes. A pharmacy undergoing a change in ownership is required to notify the pharmacist in charge and patients of the change in accordance with </w:t>
      </w:r>
      <w:hyperlink r:id="rId10">
        <w:r>
          <w:rPr>
            <w:rStyle w:val="Hyperlink"/>
            <w:rFonts w:ascii="Times New Roman" w:hAnsi="Times New Roman"/>
            <w:b w:val="false"/>
            <w:i w:val="false"/>
            <w:color w:val="000000"/>
            <w:sz w:val="22"/>
          </w:rPr>
          <w:t>subrule 8.35(7)</w:t>
        </w:r>
      </w:hyperlink>
      <w:r>
        <w:rPr>
          <w:rFonts w:ascii="Times New Roman" w:hAnsi="Times New Roman"/>
          <w:b w:val="false"/>
          <w:i w:val="false"/>
          <w:color w:val="000000"/>
          <w:sz w:val="22"/>
        </w:rPr>
        <w:t>. A change of ownership effectively consists of closing a pharmacy and opening a new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19.2(5)</w:t>
      </w:r>
      <w:r>
        <w:rPr>
          <w:rFonts w:ascii="Times New Roman" w:hAnsi="Times New Roman"/>
          <w:b w:val="false"/>
          <w:i w:val="false"/>
          <w:color w:val="000000"/>
          <w:sz w:val="22"/>
        </w:rPr>
        <w:t> </w:t>
      </w:r>
      <w:r>
        <w:rPr>
          <w:rFonts w:ascii="Times New Roman" w:hAnsi="Times New Roman"/>
          <w:b w:val="false"/>
          <w:i/>
          <w:color w:val="000000"/>
          <w:sz w:val="22"/>
        </w:rPr>
        <w:t xml:space="preserve">Closing pharmacy or discontinuation of services. </w:t>
      </w:r>
      <w:r>
        <w:rPr>
          <w:rFonts w:ascii="Times New Roman" w:hAnsi="Times New Roman"/>
          <w:b w:val="false"/>
          <w:i w:val="false"/>
          <w:color w:val="000000"/>
          <w:sz w:val="22"/>
        </w:rPr>
        <w:t>If a nonresident pharmacy is closing, the pharmacy shall comply with the requirements in 657—subrule 8.35(7). If a nonresident pharmacy is discontinuing provision of pharmacy services to Iowa, but not closing, the pharmacy shall comply with the requirements in the introductory paragraph of 657—subrule 8.35(7) as it relates to transferring patient records to another Iowa-licensed pharmacy and 657—paragraphs 8.35(7)</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notice requirements of this rule shall not apply in the case of a board-approved emergency or unforeseeable closure, including but not limited to emergency board action, foreclosure, fire, or natural disaster. The nonresident pharmacy shall return to the board the nonresident pharmacy license certificate and, if registered, the Iowa controlled substances Act registration certificate within ten days following the closure or discontinuation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19.2(6)</w:t>
      </w:r>
      <w:r>
        <w:rPr>
          <w:rFonts w:ascii="Times New Roman" w:hAnsi="Times New Roman"/>
          <w:b w:val="false"/>
          <w:i w:val="false"/>
          <w:color w:val="000000"/>
          <w:sz w:val="22"/>
        </w:rPr>
        <w:t> </w:t>
      </w:r>
      <w:r>
        <w:rPr>
          <w:rFonts w:ascii="Times New Roman" w:hAnsi="Times New Roman"/>
          <w:b w:val="false"/>
          <w:i/>
          <w:color w:val="000000"/>
          <w:sz w:val="22"/>
        </w:rPr>
        <w:t xml:space="preserve">Access to pharmacist via toll-free telephone number. </w:t>
      </w:r>
      <w:r>
        <w:rPr>
          <w:rFonts w:ascii="Times New Roman" w:hAnsi="Times New Roman"/>
          <w:b w:val="false"/>
          <w:i w:val="false"/>
          <w:color w:val="000000"/>
          <w:sz w:val="22"/>
        </w:rPr>
        <w:t>Each nonresident pharmacy that dispenses or proposes to dispense any prescription drug or device directly to a patient located in Iowa shall provide on its application for nonresident pharmacy licensure evidence of labeling which provides a toll-free telephone number for patients to access a pharmacist who has access to the patient’s medication record during the pharmacy’s regular business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3237C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6417C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657—19.3</w:t>
      </w:r>
      <w:r>
        <w:rPr>
          <w:rFonts w:ascii="Times New Roman" w:hAnsi="Times New Roman"/>
          <w:b/>
          <w:i w:val="false"/>
          <w:color w:val="000000"/>
          <w:sz w:val="22"/>
        </w:rPr>
        <w:t xml:space="preserve">(155A) </w:t>
      </w:r>
      <w:r>
        <w:rPr>
          <w:rFonts w:ascii="Times New Roman" w:hAnsi="Times New Roman"/>
          <w:b/>
          <w:i w:val="false"/>
          <w:color w:val="000000"/>
          <w:sz w:val="22"/>
        </w:rPr>
        <w:t xml:space="preserve">Registered pharmacist in charge. </w:t>
      </w:r>
      <w:r>
        <w:rPr>
          <w:rFonts w:ascii="Times New Roman" w:hAnsi="Times New Roman"/>
          <w:b w:val="false"/>
          <w:i w:val="false"/>
          <w:color w:val="000000"/>
          <w:sz w:val="22"/>
        </w:rPr>
        <w:t>The permanent pharmacist in charge of the nonresident pharmacy shall be designated as such on the nonresident pharmacy license application. Unless currently licensed in Iowa, the pharmacist in charge shall be registered with the board. The pharmacist in charge shall submit a completed application and a registration fee of $75. The registration shall expire on December 31 following the date of issuance of the registration. An initial registration issued between November 1 and December 31 shall not require renewal until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Registered pharmacist in charge application. </w:t>
      </w:r>
      <w:r>
        <w:rPr>
          <w:rFonts w:ascii="Times New Roman" w:hAnsi="Times New Roman"/>
          <w:b w:val="false"/>
          <w:i w:val="false"/>
          <w:color w:val="000000"/>
          <w:sz w:val="22"/>
        </w:rPr>
        <w:t>The pharmacist in charge of an Iowa-licensed nonresident pharmacy who is not currently actively licensed to practice pharmacy in Iowa shall be registered with the board. The pharmacist in charge shall submit to the board an application that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pharmacist’s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pharmacist’s license or registration number in the state in which the nonresident pharmacy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pharmacist’s current place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Verification that the pharmacist’s license in the state in which the nonresident pharmacy is located is current and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applicant has successfully completed the most current educational training module approved by the board regarding the board’s rules as they relate to nonresident pharmacy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Criminal and disciplinary history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Registration changes and voluntary cancellation. </w:t>
      </w:r>
      <w:r>
        <w:rPr>
          <w:rFonts w:ascii="Times New Roman" w:hAnsi="Times New Roman"/>
          <w:b w:val="false"/>
          <w:i w:val="false"/>
          <w:color w:val="000000"/>
          <w:sz w:val="22"/>
        </w:rPr>
        <w:t>A registered pharmacist in charge of a nonresident pharmacy shall notify the board in writing within ten days of any change of information included on the registration application, including the pharmacist’s name, contact information, home state license or registration information or status, and place of employment. If a registered pharmacist in charge ceases to be the pharmacist in charge of an Iowa-licensed nonresident pharmacy, the pharmacist may voluntarily request that the registration be canceled and the pharmacist shall not be subject to the inactive registration and reactivation procedure as identified in paragraph 19.3(3)</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Registration renewal. </w:t>
      </w:r>
      <w:r>
        <w:rPr>
          <w:rFonts w:ascii="Times New Roman" w:hAnsi="Times New Roman"/>
          <w:b w:val="false"/>
          <w:i w:val="false"/>
          <w:color w:val="000000"/>
          <w:sz w:val="22"/>
        </w:rPr>
        <w:t>The registration of a pharmacist in charge at a nonresident pharmacy shall be renewed or canceled prior to January 1 of each year. The pharmacist in charge shall submit a completed application and fee as required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Delinquent registration grace period. </w:t>
      </w:r>
      <w:r>
        <w:rPr>
          <w:rFonts w:ascii="Times New Roman" w:hAnsi="Times New Roman"/>
          <w:b w:val="false"/>
          <w:i w:val="false"/>
          <w:color w:val="000000"/>
          <w:sz w:val="22"/>
        </w:rPr>
        <w:t>If the registration of a pharmacist in charge has not been renewed or canceled prior to expiration, but the pharmacist is in the process of renewing the registration, the registration becomes delinquent on January 1. A pharmacist in charge who submits a completed registration renewal application, application fee, and late penalty fee of $75 postmarked or delivered to the board office by January 31 shall not be subject to disciplinary action for continuing to serve as pharmacist in charge without a current registration in the month of January.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reactivation beyond grace period. </w:t>
      </w:r>
      <w:r>
        <w:rPr>
          <w:rFonts w:ascii="Times New Roman" w:hAnsi="Times New Roman"/>
          <w:b w:val="false"/>
          <w:i w:val="false"/>
          <w:color w:val="000000"/>
          <w:sz w:val="22"/>
        </w:rPr>
        <w:t>If the registration of a pharmacist in charge has not been renewed prior to the expiration of the one-month grace period identified in paragraph 19.3(3)</w:t>
      </w:r>
      <w:r>
        <w:rPr>
          <w:rFonts w:ascii="Times New Roman" w:hAnsi="Times New Roman"/>
          <w:b w:val="false"/>
          <w:i/>
          <w:color w:val="000000"/>
          <w:sz w:val="22"/>
        </w:rPr>
        <w:t>“a,”</w:t>
      </w:r>
      <w:r>
        <w:rPr>
          <w:rFonts w:ascii="Times New Roman" w:hAnsi="Times New Roman"/>
          <w:b w:val="false"/>
          <w:i w:val="false"/>
          <w:color w:val="000000"/>
          <w:sz w:val="22"/>
        </w:rPr>
        <w:t xml:space="preserve"> the nonresident pharmacy may not continue to provide services to Iowa patients. A nonresident pharmacy that continues to provide services to Iowa patients without a currently registered pharmacist in charge may be subject to disciplinary sanctions. A pharmacist in charge without a current registration may apply for reactivation by submitting a registration application for reactivation and a $300 reactivation fee. As part of the reactivation application, the nonresident pharmacy shall disclose the services, if any, that were provided to Iowa patients while the registration of the pharmacist in charge was delinquent.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3237C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6417C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657—19.4</w:t>
      </w:r>
      <w:r>
        <w:rPr>
          <w:rFonts w:ascii="Times New Roman" w:hAnsi="Times New Roman"/>
          <w:b/>
          <w:i w:val="false"/>
          <w:color w:val="000000"/>
          <w:sz w:val="22"/>
        </w:rPr>
        <w:t xml:space="preserve">(124,155A) </w:t>
      </w:r>
      <w:r>
        <w:rPr>
          <w:rFonts w:ascii="Times New Roman" w:hAnsi="Times New Roman"/>
          <w:b/>
          <w:i w:val="false"/>
          <w:color w:val="000000"/>
          <w:sz w:val="22"/>
        </w:rPr>
        <w:t xml:space="preserve">Applicability of board rules. </w:t>
      </w:r>
      <w:r>
        <w:rPr>
          <w:rFonts w:ascii="Times New Roman" w:hAnsi="Times New Roman"/>
          <w:b w:val="false"/>
          <w:i w:val="false"/>
          <w:color w:val="000000"/>
          <w:sz w:val="22"/>
        </w:rPr>
        <w:t>A nonresident pharmacy shall comply with all requirements of this chapter, 657—Chapter 8, and any other board rules relating to the services that are provided by the pharmacy to patients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color w:val="000000"/>
          <w:sz w:val="22"/>
        </w:rPr>
        <w:t xml:space="preserve">Type of pharmacy practice. </w:t>
      </w:r>
      <w:r>
        <w:rPr>
          <w:rFonts w:ascii="Times New Roman" w:hAnsi="Times New Roman"/>
          <w:b w:val="false"/>
          <w:i w:val="false"/>
          <w:color w:val="000000"/>
          <w:sz w:val="22"/>
        </w:rPr>
        <w:t>A nonresident pharmacy, based on the principal type of pharmacy practice, shall comply with board rules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pharmacy” as described in rule 657—6.1(155A) shall comply with all requirements of 657—Chapter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pharmacy” as described in rule 657—7.1(155A), excepting licensure pursuant to Iowa Code chapter </w:t>
      </w:r>
      <w:hyperlink r:id="rId11">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shall comply with all requirements of 657—Chapter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“limited use pharmacy” as described in 657—subrule </w:t>
      </w:r>
      <w:hyperlink r:id="rId12">
        <w:r>
          <w:rPr>
            <w:rStyle w:val="Hyperlink"/>
            <w:rFonts w:ascii="Times New Roman" w:hAnsi="Times New Roman"/>
            <w:b w:val="false"/>
            <w:i w:val="false"/>
            <w:color w:val="000000"/>
            <w:sz w:val="22"/>
          </w:rPr>
          <w:t>8.35(1)</w:t>
        </w:r>
      </w:hyperlink>
      <w:r>
        <w:rPr>
          <w:rFonts w:ascii="Times New Roman" w:hAnsi="Times New Roman"/>
          <w:b w:val="false"/>
          <w:i w:val="false"/>
          <w:color w:val="000000"/>
          <w:sz w:val="22"/>
        </w:rPr>
        <w:t xml:space="preserve"> shall comply with all requirements of the limited use pharmacy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“outsourcing facility” as described in rule 657—41.2(155A) shall comply with all requirements of 657—Chapters 41 and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w:t>
      </w:r>
      <w:r>
        <w:rPr>
          <w:rFonts w:ascii="Times New Roman" w:hAnsi="Times New Roman"/>
          <w:b w:val="false"/>
          <w:i w:val="false"/>
          <w:color w:val="000000"/>
          <w:sz w:val="22"/>
        </w:rPr>
        <w:t xml:space="preserve">A nonresident pharmacy providing prescription drugs identified as controlled substances under Iowa Code chapter </w:t>
      </w:r>
      <w:hyperlink r:id="rId13">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shall register with the board and comply with all requirements of 657—Chapter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color w:val="000000"/>
          <w:sz w:val="22"/>
        </w:rPr>
        <w:t xml:space="preserve">Compounding. </w:t>
      </w:r>
      <w:r>
        <w:rPr>
          <w:rFonts w:ascii="Times New Roman" w:hAnsi="Times New Roman"/>
          <w:b w:val="false"/>
          <w:i w:val="false"/>
          <w:color w:val="000000"/>
          <w:sz w:val="22"/>
        </w:rPr>
        <w:t>A nonresident pharmacy engaged in the compounding of drug products as defined in rule 657—20.2(124,126,155A) shall comply with all requirements of 657—Chapter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color w:val="000000"/>
          <w:sz w:val="22"/>
        </w:rPr>
        <w:t xml:space="preserve">Long-term care services. </w:t>
      </w:r>
      <w:r>
        <w:rPr>
          <w:rFonts w:ascii="Times New Roman" w:hAnsi="Times New Roman"/>
          <w:b w:val="false"/>
          <w:i w:val="false"/>
          <w:color w:val="000000"/>
          <w:sz w:val="22"/>
        </w:rPr>
        <w:t>A nonresident pharmacy providing services to Iowa patients in a long-term care facility as defined in 657—Chapter 23 shall comply with all requirements of 657—Chapters 22 and 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19.4(5)</w:t>
      </w:r>
      <w:r>
        <w:rPr>
          <w:rFonts w:ascii="Times New Roman" w:hAnsi="Times New Roman"/>
          <w:b w:val="false"/>
          <w:i w:val="false"/>
          <w:color w:val="000000"/>
          <w:sz w:val="22"/>
        </w:rPr>
        <w:t> </w:t>
      </w:r>
      <w:r>
        <w:rPr>
          <w:rFonts w:ascii="Times New Roman" w:hAnsi="Times New Roman"/>
          <w:b w:val="false"/>
          <w:i/>
          <w:color w:val="000000"/>
          <w:sz w:val="22"/>
        </w:rPr>
        <w:t xml:space="preserve">Electronic data. </w:t>
      </w:r>
      <w:r>
        <w:rPr>
          <w:rFonts w:ascii="Times New Roman" w:hAnsi="Times New Roman"/>
          <w:b w:val="false"/>
          <w:i w:val="false"/>
          <w:color w:val="000000"/>
          <w:sz w:val="22"/>
        </w:rPr>
        <w:t>A nonresident pharmacy utilizing any electronic data processing or transmission devices or services shall comply with all requirements of 657—Chapter 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3237C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657—19.5</w:t>
      </w:r>
      <w:r>
        <w:rPr>
          <w:rFonts w:ascii="Times New Roman" w:hAnsi="Times New Roman"/>
          <w:b w:val="false"/>
          <w:i w:val="false"/>
          <w:color w:val="000000"/>
          <w:sz w:val="22"/>
        </w:rPr>
        <w:t xml:space="preserve"> and </w:t>
      </w:r>
      <w:r>
        <w:rPr>
          <w:rFonts w:ascii="Times New Roman" w:hAnsi="Times New Roman"/>
          <w:b/>
          <w:i w:val="false"/>
          <w:color w:val="000000"/>
          <w:sz w:val="22"/>
        </w:rPr>
        <w:t>19.6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657—19.7</w:t>
      </w:r>
      <w:r>
        <w:rPr>
          <w:rFonts w:ascii="Times New Roman" w:hAnsi="Times New Roman"/>
          <w:b/>
          <w:i w:val="false"/>
          <w:color w:val="000000"/>
          <w:sz w:val="22"/>
        </w:rPr>
        <w:t xml:space="preserve">(155A) </w:t>
      </w:r>
      <w:r>
        <w:rPr>
          <w:rFonts w:ascii="Times New Roman" w:hAnsi="Times New Roman"/>
          <w:b/>
          <w:i w:val="false"/>
          <w:color w:val="000000"/>
          <w:sz w:val="22"/>
        </w:rPr>
        <w:t xml:space="preserve">Confidential data. </w:t>
      </w:r>
      <w:r>
        <w:rPr>
          <w:rFonts w:ascii="Times New Roman" w:hAnsi="Times New Roman"/>
          <w:b w:val="false"/>
          <w:i w:val="false"/>
          <w:color w:val="000000"/>
          <w:sz w:val="22"/>
        </w:rPr>
        <w:t>Pursuant to rule 657—8.3(155A), each nonresident pharmacy shall have policies and procedures to ensure patient confidentiality and to protect patient identity and patient-specific information from inappropriate or nonessential access, use, or distribution pursuant to the requirements of rule 657—8.16(124,155A).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3237C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657—19.8</w:t>
      </w:r>
      <w:r>
        <w:rPr>
          <w:rFonts w:ascii="Times New Roman" w:hAnsi="Times New Roman"/>
          <w:b/>
          <w:i w:val="false"/>
          <w:color w:val="000000"/>
          <w:sz w:val="22"/>
        </w:rPr>
        <w:t xml:space="preserve">(124,155A) </w:t>
      </w:r>
      <w:r>
        <w:rPr>
          <w:rFonts w:ascii="Times New Roman" w:hAnsi="Times New Roman"/>
          <w:b/>
          <w:i w:val="false"/>
          <w:color w:val="000000"/>
          <w:sz w:val="22"/>
        </w:rPr>
        <w:t xml:space="preserve">Storage and shipment of drugs and devices. </w:t>
      </w:r>
      <w:r>
        <w:rPr>
          <w:rFonts w:ascii="Times New Roman" w:hAnsi="Times New Roman"/>
          <w:b w:val="false"/>
          <w:i w:val="false"/>
          <w:color w:val="000000"/>
          <w:sz w:val="22"/>
        </w:rPr>
        <w:t>Pursuant to rule 657—8.3(155A), each nonresident pharmacy shall have policies and procedures to ensure compliance with rules 657—8.7(155A) and 657—8.15(155A). Policies and procedures shall provide for the shipment of controlled substances via a secure and traceable method, and all records of such shipment and delivery to Iowa patients shall be maintained for a minimum of two years from the date of delivery.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3237C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657—19.9</w:t>
      </w:r>
      <w:r>
        <w:rPr>
          <w:rFonts w:ascii="Times New Roman" w:hAnsi="Times New Roman"/>
          <w:b/>
          <w:i w:val="false"/>
          <w:color w:val="000000"/>
          <w:sz w:val="22"/>
        </w:rPr>
        <w:t xml:space="preserve">(155A) </w:t>
      </w:r>
      <w:r>
        <w:rPr>
          <w:rFonts w:ascii="Times New Roman" w:hAnsi="Times New Roman"/>
          <w:b/>
          <w:i w:val="false"/>
          <w:color w:val="000000"/>
          <w:sz w:val="22"/>
        </w:rPr>
        <w:t xml:space="preserve">Patient record system, prospective drug use review, and patient counseling.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w:t>
      </w:r>
      <w:r>
        <w:rPr>
          <w:rFonts w:ascii="Times New Roman" w:hAnsi="Times New Roman"/>
          <w:b w:val="false"/>
          <w:i w:val="false"/>
          <w:color w:val="000000"/>
          <w:sz w:val="22"/>
        </w:rPr>
        <w:t> </w:t>
      </w:r>
      <w:r>
        <w:rPr>
          <w:rFonts w:ascii="Times New Roman" w:hAnsi="Times New Roman"/>
          <w:b w:val="false"/>
          <w:i/>
          <w:color w:val="000000"/>
          <w:sz w:val="22"/>
        </w:rPr>
        <w:t xml:space="preserve">Patient record system. </w:t>
      </w:r>
      <w:r>
        <w:rPr>
          <w:rFonts w:ascii="Times New Roman" w:hAnsi="Times New Roman"/>
          <w:b w:val="false"/>
          <w:i w:val="false"/>
          <w:color w:val="000000"/>
          <w:sz w:val="22"/>
        </w:rPr>
        <w:t>A patient record system shall be maintained pursuant to rule 657—6.13(155A) for Iowa patients for whom prescription drug orders are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19.9(2)</w:t>
      </w:r>
      <w:r>
        <w:rPr>
          <w:rFonts w:ascii="Times New Roman" w:hAnsi="Times New Roman"/>
          <w:b w:val="false"/>
          <w:i w:val="false"/>
          <w:color w:val="000000"/>
          <w:sz w:val="22"/>
        </w:rPr>
        <w:t> </w:t>
      </w:r>
      <w:r>
        <w:rPr>
          <w:rFonts w:ascii="Times New Roman" w:hAnsi="Times New Roman"/>
          <w:b w:val="false"/>
          <w:i/>
          <w:color w:val="000000"/>
          <w:sz w:val="22"/>
        </w:rPr>
        <w:t xml:space="preserve">Prospective drug use review. </w:t>
      </w:r>
      <w:r>
        <w:rPr>
          <w:rFonts w:ascii="Times New Roman" w:hAnsi="Times New Roman"/>
          <w:b w:val="false"/>
          <w:i w:val="false"/>
          <w:color w:val="000000"/>
          <w:sz w:val="22"/>
        </w:rPr>
        <w:t>A pharmacist shall, pursuant to the requirements of rule 657—8.21(155A), review the patient record and each prescription drug order before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19.9(3)</w:t>
      </w:r>
      <w:r>
        <w:rPr>
          <w:rFonts w:ascii="Times New Roman" w:hAnsi="Times New Roman"/>
          <w:b w:val="false"/>
          <w:i w:val="false"/>
          <w:color w:val="000000"/>
          <w:sz w:val="22"/>
        </w:rPr>
        <w:t> </w:t>
      </w:r>
      <w:r>
        <w:rPr>
          <w:rFonts w:ascii="Times New Roman" w:hAnsi="Times New Roman"/>
          <w:b w:val="false"/>
          <w:i/>
          <w:color w:val="000000"/>
          <w:sz w:val="22"/>
        </w:rPr>
        <w:t xml:space="preserve">Patient counseling. </w:t>
      </w:r>
      <w:r>
        <w:rPr>
          <w:rFonts w:ascii="Times New Roman" w:hAnsi="Times New Roman"/>
          <w:b w:val="false"/>
          <w:i w:val="false"/>
          <w:color w:val="000000"/>
          <w:sz w:val="22"/>
        </w:rPr>
        <w:t>Pursuant to rule 657—8.3(155A), each nonresident pharmacy shall have policies and procedures to ensure that Iowa patients receive appropriate counseling pursuant to the requirements of rule 657—6.14(155A).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3237C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657—19.10</w:t>
      </w:r>
      <w:r>
        <w:rPr>
          <w:rFonts w:ascii="Times New Roman" w:hAnsi="Times New Roman"/>
          <w:b/>
          <w:i w:val="false"/>
          <w:color w:val="000000"/>
          <w:sz w:val="22"/>
        </w:rPr>
        <w:t xml:space="preserve">(155A) </w:t>
      </w:r>
      <w:r>
        <w:rPr>
          <w:rFonts w:ascii="Times New Roman" w:hAnsi="Times New Roman"/>
          <w:b/>
          <w:i w:val="false"/>
          <w:color w:val="000000"/>
          <w:sz w:val="22"/>
        </w:rPr>
        <w:t xml:space="preserve">Reporting discipline and criminal convictions. </w:t>
      </w:r>
      <w:r>
        <w:rPr>
          <w:rFonts w:ascii="Times New Roman" w:hAnsi="Times New Roman"/>
          <w:b w:val="false"/>
          <w:i w:val="false"/>
          <w:color w:val="000000"/>
          <w:sz w:val="22"/>
        </w:rPr>
        <w:t>A nonresident pharmacy or registered pharmacist in charge shall provide notice to the board of any discipline imposed by any licensing authority on any license or registration held by the pharmacy or pharmacist in charge no later than 30 days after the final action. Discipline may include, but is not limited to, fine or civil penalty, citation or reprimand, probationary period, suspension, revocation, and voluntary surrender. A nonresident pharmacy or pharmacist in charge shall provide written notice to the board of any criminal conviction of the pharmacy, of any pharmacy owner, or of the pharmacist in charge that is related to prescription drugs or related to the operation of the pharmacy no later than 30 days after the conviction. The term “criminal conviction” includes instances when the judgment of conviction or sentence is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3237C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657—19.11</w:t>
      </w:r>
      <w:r>
        <w:rPr>
          <w:rFonts w:ascii="Times New Roman" w:hAnsi="Times New Roman"/>
          <w:b/>
          <w:i w:val="false"/>
          <w:color w:val="000000"/>
          <w:sz w:val="22"/>
        </w:rPr>
        <w:t xml:space="preserve">(155A) </w:t>
      </w:r>
      <w:r>
        <w:rPr>
          <w:rFonts w:ascii="Times New Roman" w:hAnsi="Times New Roman"/>
          <w:b/>
          <w:i w:val="false"/>
          <w:color w:val="000000"/>
          <w:sz w:val="22"/>
        </w:rPr>
        <w:t xml:space="preserve">Discipline. </w:t>
      </w:r>
      <w:r>
        <w:rPr>
          <w:rFonts w:ascii="Times New Roman" w:hAnsi="Times New Roman"/>
          <w:b w:val="false"/>
          <w:i w:val="false"/>
          <w:color w:val="000000"/>
          <w:sz w:val="22"/>
        </w:rPr>
        <w:t>Pursuant to 657—Chapter 36, the board may fine, suspend, revoke, or impose other disciplinary sanctions on a nonresident pharmacy license or pharmacist in charge registration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Any violation of the Federal Food, Drug, and Cosmetic Act or federal regulations promulgated under the Act. A warning letter issued by the FDA shall be conclusive evidence of a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Any conviction of a crime related to prescription drugs or the practice of pharmacy committed by the nonresident pharmacy, pharmacist in charge, or individual owner, or if the pharmacy is an association, joint stock company, partnership, or corporation, by any managing officer.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Refusal of access to the pharmacy or pharmacy records to an agent of the board for the purpose of conducting an inspection or investigation.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 Employing or continuing to employ a pharmacist in charge without a current and active registration pursuant to rule 657—19.3(155A).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Any violation of Iowa Code chapter </w:t>
      </w:r>
      <w:hyperlink r:id="rId1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or any rule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3237C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3857C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155A.13A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155A.13C</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155A.19</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155A.35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3/12/92, Notice 1/8/92—published 4/1/92, effective 5/6/92]</w:t>
      </w:r>
    </w:p>
    <w:p>
      <w:pPr>
        <w:spacing w:before="0" w:after="0"/>
        <w:ind w:left="120"/>
        <w:jc w:val="center"/>
      </w:pPr>
      <w:r>
        <w:rPr>
          <w:rFonts w:ascii="Times New Roman" w:hAnsi="Times New Roman"/>
          <w:b w:val="false"/>
          <w:i w:val="false"/>
          <w:color w:val="000000"/>
          <w:sz w:val="21"/>
        </w:rPr>
        <w:t>[Filed 11/30/94, Notice 10/12/94—published 12/21/94, effective 1/25/95]</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2/22/99, Notice 10/21/98—published 3/10/99, effective 4/14/99]</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9/8/99, Notice 6/2/99—published 10/6/99, effective 11/10/99]</w:t>
      </w:r>
    </w:p>
    <w:p>
      <w:pPr>
        <w:spacing w:before="0" w:after="0"/>
        <w:ind w:left="120"/>
        <w:jc w:val="center"/>
      </w:pPr>
      <w:r>
        <w:rPr>
          <w:rFonts w:ascii="Times New Roman" w:hAnsi="Times New Roman"/>
          <w:b w:val="false"/>
          <w:i w:val="false"/>
          <w:color w:val="000000"/>
          <w:sz w:val="21"/>
        </w:rPr>
        <w:t>[Filed 2/7/01, Notice 10/18/00—published 3/7/01, effective 4/11/01]</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ARC 1788C</w:t>
      </w:r>
      <w:r>
        <w:rPr>
          <w:rFonts w:ascii="Times New Roman" w:hAnsi="Times New Roman"/>
          <w:b w:val="false"/>
          <w:i w:val="false"/>
          <w:color w:val="000000"/>
          <w:sz w:val="21"/>
        </w:rPr>
        <w:t xml:space="preserve"> (Notice ARC 1651C,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1961C</w:t>
      </w:r>
      <w:r>
        <w:rPr>
          <w:rFonts w:ascii="Times New Roman" w:hAnsi="Times New Roman"/>
          <w:b w:val="false"/>
          <w:i w:val="false"/>
          <w:color w:val="000000"/>
          <w:sz w:val="21"/>
        </w:rPr>
        <w:t xml:space="preserve"> (Notice ARC 1793C,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3237C</w:t>
      </w:r>
      <w:r>
        <w:rPr>
          <w:rFonts w:ascii="Times New Roman" w:hAnsi="Times New Roman"/>
          <w:b w:val="false"/>
          <w:i w:val="false"/>
          <w:color w:val="000000"/>
          <w:sz w:val="21"/>
        </w:rPr>
        <w:t xml:space="preserve"> (Notice ARC 3039C, IAB 4/26/17)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3857C</w:t>
      </w:r>
      <w:r>
        <w:rPr>
          <w:rFonts w:ascii="Times New Roman" w:hAnsi="Times New Roman"/>
          <w:b w:val="false"/>
          <w:i w:val="false"/>
          <w:color w:val="000000"/>
          <w:sz w:val="21"/>
        </w:rPr>
        <w:t xml:space="preserve"> (Notice ARC 3506C, IAB 12/20/17)</w:t>
      </w:r>
      <w:r>
        <w:rPr>
          <w:rFonts w:ascii="Times New Roman" w:hAnsi="Times New Roman"/>
          <w:b w:val="false"/>
          <w:i w:val="false"/>
          <w:color w:val="000000"/>
          <w:sz w:val="21"/>
        </w:rPr>
        <w:t>, IAB 6/20/18, effective 7/25/18]</w:t>
      </w:r>
      <w:r>
        <w:br/>
      </w:r>
      <w:r>
        <w:rPr>
          <w:rFonts w:ascii="Times New Roman" w:hAnsi="Times New Roman"/>
          <w:b w:val="false"/>
          <w:i w:val="false"/>
          <w:color w:val="000000"/>
          <w:sz w:val="21"/>
        </w:rPr>
        <w:t>[Filed ARC 3858C</w:t>
      </w:r>
      <w:r>
        <w:rPr>
          <w:rFonts w:ascii="Times New Roman" w:hAnsi="Times New Roman"/>
          <w:b w:val="false"/>
          <w:i w:val="false"/>
          <w:color w:val="000000"/>
          <w:sz w:val="21"/>
        </w:rPr>
        <w:t xml:space="preserve"> (Notice ARC 3509C,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6417C</w:t>
      </w:r>
      <w:r>
        <w:rPr>
          <w:rFonts w:ascii="Times New Roman" w:hAnsi="Times New Roman"/>
          <w:b w:val="false"/>
          <w:i w:val="false"/>
          <w:color w:val="000000"/>
          <w:sz w:val="21"/>
        </w:rPr>
        <w:t xml:space="preserve"> (Notice ARC 6281C, IAB 4/6/22)</w:t>
      </w:r>
      <w:r>
        <w:rPr>
          <w:rFonts w:ascii="Times New Roman" w:hAnsi="Times New Roman"/>
          <w:b w:val="false"/>
          <w:i w:val="false"/>
          <w:color w:val="000000"/>
          <w:sz w:val="21"/>
        </w:rPr>
        <w:t>, IAB 7/27/22, effective 8/31/22]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7.18.pdf" Type="http://schemas.openxmlformats.org/officeDocument/2006/relationships/hyperlink" Id="rId5"/>
    <Relationship TargetMode="External" Target="https://www.legis.iowa.gov/docs/iac/rule/657.8.35.pdf" Type="http://schemas.openxmlformats.org/officeDocument/2006/relationships/hyperlink" Id="rId6"/>
    <Relationship TargetMode="External" Target="https://www.legis.iowa.gov/docs/iac/rule/657.8.35.pdf" Type="http://schemas.openxmlformats.org/officeDocument/2006/relationships/hyperlink" Id="rId7"/>
    <Relationship TargetMode="External" Target="https://www.legis.iowa.gov/docs/iac/rule/657.8.35.pdf" Type="http://schemas.openxmlformats.org/officeDocument/2006/relationships/hyperlink" Id="rId8"/>
    <Relationship TargetMode="External" Target="https://www.legis.iowa.gov/docs/iac/rule/657.19.3.pdf" Type="http://schemas.openxmlformats.org/officeDocument/2006/relationships/hyperlink" Id="rId9"/>
    <Relationship TargetMode="External" Target="https://www.legis.iowa.gov/docs/iac/rule/657.8.35.pdf" Type="http://schemas.openxmlformats.org/officeDocument/2006/relationships/hyperlink" Id="rId10"/>
    <Relationship TargetMode="External" Target="https://www.legis.iowa.gov/docs/ico/chapter/135B.pdf" Type="http://schemas.openxmlformats.org/officeDocument/2006/relationships/hyperlink" Id="rId11"/>
    <Relationship TargetMode="External" Target="https://www.legis.iowa.gov/docs/iac/rule/657.8.35.pdf" Type="http://schemas.openxmlformats.org/officeDocument/2006/relationships/hyperlink" Id="rId12"/>
    <Relationship TargetMode="External" Target="https://www.legis.iowa.gov/docs/ico/chapter/124.pdf" Type="http://schemas.openxmlformats.org/officeDocument/2006/relationships/hyperlink" Id="rId13"/>
    <Relationship TargetMode="External" Target="https://www.legis.iowa.gov/docs/ico/chapter/124.pdf" Type="http://schemas.openxmlformats.org/officeDocument/2006/relationships/hyperlink" Id="rId14"/>
    <Relationship TargetMode="External" Target="https://www.legis.iowa.gov/docs/ico/chapter/124B.pdf" Type="http://schemas.openxmlformats.org/officeDocument/2006/relationships/hyperlink" Id="rId15"/>
    <Relationship TargetMode="External" Target="https://www.legis.iowa.gov/docs/ico/chapter/126.pdf" Type="http://schemas.openxmlformats.org/officeDocument/2006/relationships/hyperlink" Id="rId16"/>
    <Relationship TargetMode="External" Target="https://www.legis.iowa.gov/docs/ico/chapter/155A.pdf" Type="http://schemas.openxmlformats.org/officeDocument/2006/relationships/hyperlink" Id="rId17"/>
    <Relationship TargetMode="External" Target="https://www.legis.iowa.gov/docs/ico/chapter/205.pdf" Type="http://schemas.openxmlformats.org/officeDocument/2006/relationships/hyperlink" Id="rId18"/>
    <Relationship TargetMode="External" Target="https://www.legis.iowa.gov/docs/ico/chapter/124.301.pdf" Type="http://schemas.openxmlformats.org/officeDocument/2006/relationships/hyperlink" Id="rId19"/>
    <Relationship TargetMode="External" Target="https://www.legis.iowa.gov/docs/ico/chapter/124.306.pdf" Type="http://schemas.openxmlformats.org/officeDocument/2006/relationships/hyperlink" Id="rId20"/>
    <Relationship TargetMode="External" Target="https://www.legis.iowa.gov/docs/ico/chapter/155A.13.pdf" Type="http://schemas.openxmlformats.org/officeDocument/2006/relationships/hyperlink" Id="rId21"/>
    <Relationship TargetMode="External" Target="https://www.legis.iowa.gov/docs/ico/chapter/155A.13A.pdf" Type="http://schemas.openxmlformats.org/officeDocument/2006/relationships/hyperlink" Id="rId22"/>
    <Relationship TargetMode="External" Target="https://www.legis.iowa.gov/docs/ico/chapter/155A.13C.pdf" Type="http://schemas.openxmlformats.org/officeDocument/2006/relationships/hyperlink" Id="rId23"/>
    <Relationship TargetMode="External" Target="https://www.legis.iowa.gov/docs/ico/chapter/155A.19.pdf" Type="http://schemas.openxmlformats.org/officeDocument/2006/relationships/hyperlink" Id="rId24"/>
    <Relationship TargetMode="External" Target="https://www.legis.iowa.gov/docs/ico/chapter/155A.35.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