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CORRECTIONAL PHARMACY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657—15.1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It is the intent of these rules to authorize the department of corrections to distribute prescription drugs to patients in correctional facilities from one or more correctional pharmacies. Each correctional pharmacy shall be responsible for the provision of pharmacy services for a specific number of correctional facilities. The correctional pharmacies may be located on the grounds of a correctional facility or may be located off site from all facilities. The correctional pharmacies shall be licensed by the board with limited-use pharmacy licenses designated as correctional pharmacy licenses. Pharmacists shall be responsible for any delegated act performed by supportive personnel under the pharmacists’ supervision. The requirements of these rules for correctional pharmacy practice are in addition to the requirements of </w:t>
      </w:r>
      <w:hyperlink r:id="rId5">
        <w:r>
          <w:rPr>
            <w:rStyle w:val="Hyperlink"/>
            <w:rFonts w:ascii="Times New Roman" w:hAnsi="Times New Roman"/>
            <w:b w:val="false"/>
            <w:i w:val="false"/>
            <w:color w:val="000000"/>
            <w:sz w:val="22"/>
          </w:rPr>
          <w:t>657—Chapter 8</w:t>
        </w:r>
      </w:hyperlink>
      <w:r>
        <w:rPr>
          <w:rFonts w:ascii="Times New Roman" w:hAnsi="Times New Roman"/>
          <w:b w:val="false"/>
          <w:i w:val="false"/>
          <w:color w:val="000000"/>
          <w:sz w:val="22"/>
        </w:rPr>
        <w:t xml:space="preserve"> and other rules of the board relating to the services provided by the pharmacies.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657—15.2</w:t>
      </w:r>
      <w:r>
        <w:rPr>
          <w:rFonts w:ascii="Times New Roman" w:hAnsi="Times New Roman"/>
          <w:b/>
          <w:i w:val="false"/>
          <w:color w:val="000000"/>
          <w:sz w:val="22"/>
        </w:rPr>
        <w:t xml:space="preserve">(126,155A)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“Emergency/first dose drug supply” </w:t>
      </w:r>
      <w:r>
        <w:rPr>
          <w:rFonts w:ascii="Times New Roman" w:hAnsi="Times New Roman"/>
          <w:b w:val="false"/>
          <w:i w:val="false"/>
          <w:color w:val="000000"/>
          <w:sz w:val="22"/>
        </w:rPr>
        <w:t>means a limited inventory of drugs stored outside the correctional pharmacy and accessible to designated health care staff for the purpose of initiating emergency or first dose prescription drug orders issued during periods when the pharmacist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record” </w:t>
      </w:r>
      <w:r>
        <w:rPr>
          <w:rFonts w:ascii="Times New Roman" w:hAnsi="Times New Roman"/>
          <w:b w:val="false"/>
          <w:i w:val="false"/>
          <w:color w:val="000000"/>
          <w:sz w:val="22"/>
        </w:rPr>
        <w:t>means the record of the administration of drugs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“Med-pak” </w:t>
      </w:r>
      <w:r>
        <w:rPr>
          <w:rFonts w:ascii="Times New Roman" w:hAnsi="Times New Roman"/>
          <w:b w:val="false"/>
          <w:i w:val="false"/>
          <w:color w:val="000000"/>
          <w:sz w:val="22"/>
        </w:rPr>
        <w:t xml:space="preserve">means a customized patient medication package prepared for a specific patient which comprises a series of immediate containers containing prescribed solid oral dosage forms, each container being labeled with the time or the appropriate period for the patient to take its 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order” </w:t>
      </w:r>
      <w:r>
        <w:rPr>
          <w:rFonts w:ascii="Times New Roman" w:hAnsi="Times New Roman"/>
          <w:b w:val="false"/>
          <w:i w:val="false"/>
          <w:color w:val="000000"/>
          <w:sz w:val="22"/>
        </w:rPr>
        <w:t>means an order that is for a drug or device for a patient in custody status in a correctional facility, that is originated by a practitioner authorized to prescribe, and that meets the information requirements for a prescription drug order but is recorded, distributed, and administered as though it were a medication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individual” </w:t>
      </w:r>
      <w:r>
        <w:rPr>
          <w:rFonts w:ascii="Times New Roman" w:hAnsi="Times New Roman"/>
          <w:b w:val="false"/>
          <w:i w:val="false"/>
          <w:color w:val="000000"/>
          <w:sz w:val="22"/>
        </w:rPr>
        <w:t>means a pharmacist, a person who has successfully completed a medication administration course, or a person specifically authorized under pertinent sections of the Iowa Code to administer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unit package” </w:t>
      </w:r>
      <w:r>
        <w:rPr>
          <w:rFonts w:ascii="Times New Roman" w:hAnsi="Times New Roman"/>
          <w:b w:val="false"/>
          <w:i w:val="false"/>
          <w:color w:val="000000"/>
          <w:sz w:val="22"/>
        </w:rPr>
        <w:t>means a package that contains one discrete pharmaceutical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dose dispensing system” </w:t>
      </w:r>
      <w:r>
        <w:rPr>
          <w:rFonts w:ascii="Times New Roman" w:hAnsi="Times New Roman"/>
          <w:b w:val="false"/>
          <w:i w:val="false"/>
          <w:color w:val="000000"/>
          <w:sz w:val="22"/>
        </w:rPr>
        <w:t>means a drug distribution system utilizing single unit, unit dose, or unit of issue packaging in a manner that helps reduce or remove traditional drug stocks from resident care areas and enables the selection and distribution of drugs to be pharmacy-based and controlled.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dose package” </w:t>
      </w:r>
      <w:r>
        <w:rPr>
          <w:rFonts w:ascii="Times New Roman" w:hAnsi="Times New Roman"/>
          <w:b w:val="false"/>
          <w:i w:val="false"/>
          <w:color w:val="000000"/>
          <w:sz w:val="22"/>
        </w:rPr>
        <w:t>means a package that contains that particular dose of a drug ordered for the patient for one administration time. A unit dose package is not always a single unit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of issue package” </w:t>
      </w:r>
      <w:r>
        <w:rPr>
          <w:rFonts w:ascii="Times New Roman" w:hAnsi="Times New Roman"/>
          <w:b w:val="false"/>
          <w:i w:val="false"/>
          <w:color w:val="000000"/>
          <w:sz w:val="22"/>
        </w:rPr>
        <w:t>means a package that provides multiple units or doses attached to each other but separated in a card or specifically designed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657—15.3</w:t>
      </w:r>
      <w:r>
        <w:rPr>
          <w:rFonts w:ascii="Times New Roman" w:hAnsi="Times New Roman"/>
          <w:b/>
          <w:i w:val="false"/>
          <w:color w:val="000000"/>
          <w:sz w:val="22"/>
        </w:rPr>
        <w:t xml:space="preserve">(155A)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 xml:space="preserve">In any correctional pharmacy, the following responsibilities, which are in addition to the responsibilities required by all applicable federal and state laws, rules and regulations and the responsibilities as described in rule </w:t>
      </w:r>
      <w:hyperlink r:id="rId6">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shall be assigned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pharmacist in charge or designee shall ensure that a quarterly inspection of all pharmaceuticals located at the correctional facility, including any emergency/first dose drug supply located outside the confines of the pharmacy, is completed and documented.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pharmacist in charge or a pharmacist shall provide drug information to other health professionals, to other caregivers, and to patients as required or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657—15.4</w:t>
      </w:r>
      <w:r>
        <w:rPr>
          <w:rFonts w:ascii="Times New Roman" w:hAnsi="Times New Roman"/>
          <w:b/>
          <w:i w:val="false"/>
          <w:color w:val="000000"/>
          <w:sz w:val="22"/>
        </w:rPr>
        <w:t xml:space="preserve">(155A) </w:t>
      </w:r>
      <w:r>
        <w:rPr>
          <w:rFonts w:ascii="Times New Roman" w:hAnsi="Times New Roman"/>
          <w:b/>
          <w:i w:val="false"/>
          <w:color w:val="000000"/>
          <w:sz w:val="22"/>
        </w:rPr>
        <w:t xml:space="preserve">Reference library. </w:t>
      </w:r>
      <w:r>
        <w:rPr>
          <w:rFonts w:ascii="Times New Roman" w:hAnsi="Times New Roman"/>
          <w:b w:val="false"/>
          <w:i w:val="false"/>
          <w:color w:val="000000"/>
          <w:sz w:val="22"/>
        </w:rPr>
        <w:t>Each correctional pharmacy shall maintain a reference library, which is either printed or computer-accessed and which adequately meets the needs of the services provided and patients served. Examples of references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reference including all pertinent Iowa laws, rules, and regulations that impact the pharmacy’s practice.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patient information reference that includes or provides patient information in compliance with rule </w:t>
      </w:r>
      <w:hyperlink r:id="rId7">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reference on drug interactions.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drug information reference.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drug equivalency reference.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reference on natural or herbal medicines.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readily accessible telephone number of a poison control center that serves the area.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Additional references relating to specific patient populations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2196C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4073C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657—15.5</w:t>
      </w:r>
      <w:r>
        <w:rPr>
          <w:rFonts w:ascii="Times New Roman" w:hAnsi="Times New Roman"/>
          <w:b/>
          <w:i w:val="false"/>
          <w:color w:val="000000"/>
          <w:sz w:val="22"/>
        </w:rPr>
        <w:t xml:space="preserve">(124,155A) </w:t>
      </w:r>
      <w:r>
        <w:rPr>
          <w:rFonts w:ascii="Times New Roman" w:hAnsi="Times New Roman"/>
          <w:b/>
          <w:i w:val="false"/>
          <w:color w:val="000000"/>
          <w:sz w:val="22"/>
        </w:rPr>
        <w:t xml:space="preserve">Security. </w:t>
      </w:r>
      <w:r>
        <w:rPr>
          <w:rFonts w:ascii="Times New Roman" w:hAnsi="Times New Roman"/>
          <w:b w:val="false"/>
          <w:i w:val="false"/>
          <w:color w:val="000000"/>
          <w:sz w:val="22"/>
        </w:rPr>
        <w:t>The pharmacy shall be located in an area or areas that provide for effective control against theft of, diversion of, and unauthorized access to prescription drugs and pharmacy records. The following conditions shall be met to ensure appropriate control over drugs and chemicals in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Locked areas. </w:t>
      </w:r>
      <w:r>
        <w:rPr>
          <w:rFonts w:ascii="Times New Roman" w:hAnsi="Times New Roman"/>
          <w:b w:val="false"/>
          <w:i w:val="false"/>
          <w:color w:val="000000"/>
          <w:sz w:val="22"/>
        </w:rPr>
        <w:t>All areas occupied by the correctional pharmacy or where drugs or devices are maintained or stored shall be lockable by a key, combination, or electronic device so as to prevent access by unauthorized personnel and shall be locked when unoccupied or unattended.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Access when pharmacist absent. </w:t>
      </w:r>
      <w:r>
        <w:rPr>
          <w:rFonts w:ascii="Times New Roman" w:hAnsi="Times New Roman"/>
          <w:b w:val="false"/>
          <w:i w:val="false"/>
          <w:color w:val="000000"/>
          <w:sz w:val="22"/>
        </w:rPr>
        <w:t xml:space="preserve">Pursuant to rule </w:t>
      </w:r>
      <w:hyperlink r:id="rId8">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the pharmacy shall have policies and procedures for the security of the correctional pharmacy. Policies and procedures shall identify who will have access to the pharmacy, what areas may be accessed, and the procedures to be followed for obtaining drugs and chemicals when the pharmacist is absent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Pharmacist responsibility. </w:t>
      </w:r>
      <w:r>
        <w:rPr>
          <w:rFonts w:ascii="Times New Roman" w:hAnsi="Times New Roman"/>
          <w:b w:val="false"/>
          <w:i w:val="false"/>
          <w:color w:val="000000"/>
          <w:sz w:val="22"/>
        </w:rPr>
        <w:t xml:space="preserve">Each pharmacist, while on duty, shall be responsible for the security of the correctional pharmacy. This responsibility includes provisions for effective control against theft of, diversion of, or unauthorized access to prescription drugs or devices, controlled substances, records for such drugs and devices, and patient records as provided in </w:t>
      </w:r>
      <w:hyperlink r:id="rId9">
        <w:r>
          <w:rPr>
            <w:rStyle w:val="Hyperlink"/>
            <w:rFonts w:ascii="Times New Roman" w:hAnsi="Times New Roman"/>
            <w:b w:val="false"/>
            <w:i w:val="false"/>
            <w:color w:val="000000"/>
            <w:sz w:val="22"/>
          </w:rPr>
          <w:t>657—Chapter 21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657—8.16</w:t>
        </w:r>
      </w:hyperlink>
      <w:r>
        <w:rPr>
          <w:rFonts w:ascii="Times New Roman" w:hAnsi="Times New Roman"/>
          <w:b w:val="false"/>
          <w:i w:val="false"/>
          <w:color w:val="000000"/>
          <w:sz w:val="22"/>
        </w:rPr>
        <w:t xml:space="preserve">(124,155A). A pharmacist shall be on site during all times that the pharmacy is open.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Drugs in the correctional facility. </w:t>
      </w:r>
      <w:r>
        <w:rPr>
          <w:rFonts w:ascii="Times New Roman" w:hAnsi="Times New Roman"/>
          <w:b w:val="false"/>
          <w:i w:val="false"/>
          <w:color w:val="000000"/>
          <w:sz w:val="22"/>
        </w:rPr>
        <w:t>All drugs distributed from the pharmacy to areas of the correctional facility for subsequent administration to patients shall be kept in locked storage when not in use. Policies and procedures shall identify the qualified individuals who are authorized to access these drugs and the process to be followed for their removal.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4073C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657—15.7</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Training and utilization of pharmacy technicians or pharmacy support persons. </w:t>
      </w:r>
      <w:r>
        <w:rPr>
          <w:rFonts w:ascii="Times New Roman" w:hAnsi="Times New Roman"/>
          <w:b w:val="false"/>
          <w:i w:val="false"/>
          <w:color w:val="000000"/>
          <w:sz w:val="22"/>
        </w:rPr>
        <w:t>Pharmacy technician and pharmacy support person training shall be documented and maintained by the pharmacy for at least two years from the last date of employment. Policies and procedures and documentation of pharmacy technician and pharmacy support person training shall be available for inspection by the board or an agent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4073C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657—15.8</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Drug distribution and dispensing controls. </w:t>
      </w:r>
      <w:r>
        <w:rPr>
          <w:rFonts w:ascii="Times New Roman" w:hAnsi="Times New Roman"/>
          <w:b w:val="false"/>
          <w:i w:val="false"/>
          <w:color w:val="000000"/>
          <w:sz w:val="22"/>
        </w:rPr>
        <w:t>Prescription drugs shall be distributed or dispensed only from the original or a properly verified prescription drug order. There shall be no transcribing of prescription drug orders by nursing staff or clerical staff except for their own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Prescription drug orders written in patient health records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 identification number, and correctional facility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name, strength, dosage form, and quantity or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Directions for use of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the prescription drug order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Prescriber’s name, signature or electronic signature, and office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Prescriber’s DEA number for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Original maintained. </w:t>
      </w:r>
      <w:r>
        <w:rPr>
          <w:rFonts w:ascii="Times New Roman" w:hAnsi="Times New Roman"/>
          <w:b w:val="false"/>
          <w:i w:val="false"/>
          <w:color w:val="000000"/>
          <w:sz w:val="22"/>
        </w:rPr>
        <w:t>The original prescription drug order and the medication administration record shall be maintained for a minimum of two years in the patient’s health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Effect upon transfer of patient. </w:t>
      </w:r>
      <w:r>
        <w:rPr>
          <w:rFonts w:ascii="Times New Roman" w:hAnsi="Times New Roman"/>
          <w:b w:val="false"/>
          <w:i w:val="false"/>
          <w:color w:val="000000"/>
          <w:sz w:val="22"/>
        </w:rPr>
        <w:t>Current prescription drug orders remain in effect when a patient is transferred to another correctional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w:t>
      </w:r>
      <w:r>
        <w:rPr>
          <w:rFonts w:ascii="Times New Roman" w:hAnsi="Times New Roman"/>
          <w:b w:val="false"/>
          <w:i w:val="false"/>
          <w:color w:val="000000"/>
          <w:sz w:val="22"/>
        </w:rPr>
        <w:t> </w:t>
      </w:r>
      <w:r>
        <w:rPr>
          <w:rFonts w:ascii="Times New Roman" w:hAnsi="Times New Roman"/>
          <w:b w:val="false"/>
          <w:i/>
          <w:color w:val="000000"/>
          <w:sz w:val="22"/>
        </w:rPr>
        <w:t xml:space="preserve">Unit dose dispensing. </w:t>
      </w:r>
      <w:r>
        <w:rPr>
          <w:rFonts w:ascii="Times New Roman" w:hAnsi="Times New Roman"/>
          <w:b w:val="false"/>
          <w:i w:val="false"/>
          <w:color w:val="000000"/>
          <w:sz w:val="22"/>
        </w:rPr>
        <w:t xml:space="preserve">Drugs dispensed in a unit dose dispensing system for subsequent administration by nurses or other qualified individuals shall be packaged and labeled by pharmacy staff in compliance with the provisions of rule </w:t>
      </w:r>
      <w:hyperlink r:id="rId11">
        <w:r>
          <w:rPr>
            <w:rStyle w:val="Hyperlink"/>
            <w:rFonts w:ascii="Times New Roman" w:hAnsi="Times New Roman"/>
            <w:b w:val="false"/>
            <w:i w:val="false"/>
            <w:color w:val="000000"/>
            <w:sz w:val="22"/>
          </w:rPr>
          <w:t>657—22.1</w:t>
        </w:r>
      </w:hyperlink>
      <w:r>
        <w:rPr>
          <w:rFonts w:ascii="Times New Roman" w:hAnsi="Times New Roman"/>
          <w:b w:val="false"/>
          <w:i w:val="false"/>
          <w:color w:val="000000"/>
          <w:sz w:val="22"/>
        </w:rPr>
        <w:t>(155A). Policies and procedures shall be implemented that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Return and reuse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Expiration dating;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15.8(5)</w:t>
      </w:r>
      <w:r>
        <w:rPr>
          <w:rFonts w:ascii="Times New Roman" w:hAnsi="Times New Roman"/>
          <w:b w:val="false"/>
          <w:i w:val="false"/>
          <w:color w:val="000000"/>
          <w:sz w:val="22"/>
        </w:rPr>
        <w:t> </w:t>
      </w:r>
      <w:r>
        <w:rPr>
          <w:rFonts w:ascii="Times New Roman" w:hAnsi="Times New Roman"/>
          <w:b w:val="false"/>
          <w:i/>
          <w:color w:val="000000"/>
          <w:sz w:val="22"/>
        </w:rPr>
        <w:t xml:space="preserve">Med-pak dispensing. </w:t>
      </w:r>
      <w:r>
        <w:rPr>
          <w:rFonts w:ascii="Times New Roman" w:hAnsi="Times New Roman"/>
          <w:b w:val="false"/>
          <w:i w:val="false"/>
          <w:color w:val="000000"/>
          <w:sz w:val="22"/>
        </w:rPr>
        <w:t xml:space="preserve">Drugs may be dispensed in med-pak dispensing systems for subsequent administration by nurses or other qualified individuals. Policies and procedures shall be implemented that are in accordance with rule </w:t>
      </w:r>
      <w:hyperlink r:id="rId12">
        <w:r>
          <w:rPr>
            <w:rStyle w:val="Hyperlink"/>
            <w:rFonts w:ascii="Times New Roman" w:hAnsi="Times New Roman"/>
            <w:b w:val="false"/>
            <w:i w:val="false"/>
            <w:color w:val="000000"/>
            <w:sz w:val="22"/>
          </w:rPr>
          <w:t>657—22.5</w:t>
        </w:r>
      </w:hyperlink>
      <w:r>
        <w:rPr>
          <w:rFonts w:ascii="Times New Roman" w:hAnsi="Times New Roman"/>
          <w:b w:val="false"/>
          <w:i w:val="false"/>
          <w:color w:val="000000"/>
          <w:sz w:val="22"/>
        </w:rPr>
        <w:t>(155A) and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Return and reuse of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Expiration dating;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r>
        <w:rPr>
          <w:rFonts w:ascii="Times New Roman" w:hAnsi="Times New Roman"/>
          <w:b w:val="false"/>
          <w:i w:val="false"/>
          <w:color w:val="000000"/>
          <w:sz w:val="22"/>
        </w:rPr>
        <w:t>Only a licensed health care professional authorized to administer drugs or a qualified individual shall administer to a patient prepackaged drugs from the supply distributed by the pharmacy. Documentation of administration shall be recorded in the medication administration record. The single unit, unit dose, or med-pak packaging shall remain intact to the point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w:t>
      </w:r>
      <w:r>
        <w:rPr>
          <w:rFonts w:ascii="Times New Roman" w:hAnsi="Times New Roman"/>
          <w:b w:val="false"/>
          <w:i w:val="false"/>
          <w:color w:val="000000"/>
          <w:sz w:val="22"/>
        </w:rPr>
        <w:t> </w:t>
      </w:r>
      <w:r>
        <w:rPr>
          <w:rFonts w:ascii="Times New Roman" w:hAnsi="Times New Roman"/>
          <w:b w:val="false"/>
          <w:i/>
          <w:color w:val="000000"/>
          <w:sz w:val="22"/>
        </w:rPr>
        <w:t xml:space="preserve">Dispensing for patient self-administration. </w:t>
      </w:r>
      <w:r>
        <w:rPr>
          <w:rFonts w:ascii="Times New Roman" w:hAnsi="Times New Roman"/>
          <w:b w:val="false"/>
          <w:i w:val="false"/>
          <w:color w:val="000000"/>
          <w:sz w:val="22"/>
        </w:rPr>
        <w:t xml:space="preserve">Drugs dispensed for self-administration by a patient shall be packaged and labeled in accordance with rule </w:t>
      </w:r>
      <w:hyperlink r:id="rId13">
        <w:r>
          <w:rPr>
            <w:rStyle w:val="Hyperlink"/>
            <w:rFonts w:ascii="Times New Roman" w:hAnsi="Times New Roman"/>
            <w:b w:val="false"/>
            <w:i w:val="false"/>
            <w:color w:val="000000"/>
            <w:sz w:val="22"/>
          </w:rPr>
          <w:t>657—6.10</w:t>
        </w:r>
      </w:hyperlink>
      <w:r>
        <w:rPr>
          <w:rFonts w:ascii="Times New Roman" w:hAnsi="Times New Roman"/>
          <w:b w:val="false"/>
          <w:i w:val="false"/>
          <w:color w:val="000000"/>
          <w:sz w:val="22"/>
        </w:rPr>
        <w:t>(126,155A).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w:t>
      </w:r>
      <w:r>
        <w:rPr>
          <w:rFonts w:ascii="Times New Roman" w:hAnsi="Times New Roman"/>
          <w:b w:val="false"/>
          <w:i w:val="false"/>
          <w:color w:val="000000"/>
          <w:sz w:val="22"/>
        </w:rPr>
        <w:t> </w:t>
      </w:r>
      <w:r>
        <w:rPr>
          <w:rFonts w:ascii="Times New Roman" w:hAnsi="Times New Roman"/>
          <w:b w:val="false"/>
          <w:i/>
          <w:color w:val="000000"/>
          <w:sz w:val="22"/>
        </w:rPr>
        <w:t xml:space="preserve">Labeling of drugs under special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Insulin, ophthalmics, otic preparations, inhalers, nasal sprays, topicals, and other similarly packaged drugs. </w:t>
      </w:r>
      <w:r>
        <w:rPr>
          <w:rFonts w:ascii="Times New Roman" w:hAnsi="Times New Roman"/>
          <w:b w:val="false"/>
          <w:i w:val="false"/>
          <w:color w:val="000000"/>
          <w:sz w:val="22"/>
        </w:rPr>
        <w:t xml:space="preserve">A label shall be affixed to the immediate container showing at least the patient’s name and ID number. A label that complies with </w:t>
      </w:r>
      <w:hyperlink r:id="rId14">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xml:space="preserve"> shall be affixed to the outer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Leave and release drugs. </w:t>
      </w:r>
      <w:r>
        <w:rPr>
          <w:rFonts w:ascii="Times New Roman" w:hAnsi="Times New Roman"/>
          <w:b w:val="false"/>
          <w:i w:val="false"/>
          <w:color w:val="000000"/>
          <w:sz w:val="22"/>
        </w:rPr>
        <w:t xml:space="preserve">Labeling of prescription drugs for patients leaving the correctional facility for temporary absences in excess of 24 hours, such as court appearances, and for patients being released from custody shall comply with </w:t>
      </w:r>
      <w:hyperlink r:id="rId15">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xml:space="preserve"> before the drug is removed from the facility. The dispensing pharmacy shall be responsible for packaging and labeling leave and release drugs in compliance with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w:t>
      </w:r>
      <w:r>
        <w:rPr>
          <w:rFonts w:ascii="Times New Roman" w:hAnsi="Times New Roman"/>
          <w:b w:val="false"/>
          <w:i w:val="false"/>
          <w:color w:val="000000"/>
          <w:sz w:val="22"/>
        </w:rPr>
        <w:t> </w:t>
      </w:r>
      <w:r>
        <w:rPr>
          <w:rFonts w:ascii="Times New Roman" w:hAnsi="Times New Roman"/>
          <w:b w:val="false"/>
          <w:i/>
          <w:color w:val="000000"/>
          <w:sz w:val="22"/>
        </w:rPr>
        <w:t xml:space="preserve">Drug product selection. </w:t>
      </w:r>
      <w:r>
        <w:rPr>
          <w:rFonts w:ascii="Times New Roman" w:hAnsi="Times New Roman"/>
          <w:b w:val="false"/>
          <w:i w:val="false"/>
          <w:color w:val="000000"/>
          <w:sz w:val="22"/>
        </w:rPr>
        <w:t xml:space="preserve">Correctional pharmacies shall be exempt from the patient notification requirements of Iowa Code section </w:t>
      </w:r>
      <w:hyperlink r:id="rId16">
        <w:r>
          <w:rPr>
            <w:rStyle w:val="Hyperlink"/>
            <w:rFonts w:ascii="Times New Roman" w:hAnsi="Times New Roman"/>
            <w:b w:val="false"/>
            <w:i w:val="false"/>
            <w:color w:val="000000"/>
            <w:sz w:val="22"/>
          </w:rPr>
          <w:t>155A.32</w:t>
        </w:r>
      </w:hyperlink>
      <w:r>
        <w:rPr>
          <w:rFonts w:ascii="Times New Roman" w:hAnsi="Times New Roman"/>
          <w:b w:val="false"/>
          <w:i w:val="false"/>
          <w:color w:val="000000"/>
          <w:sz w:val="22"/>
        </w:rPr>
        <w:t xml:space="preserve"> when exercising drug product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15.8(10)</w:t>
      </w:r>
      <w:r>
        <w:rPr>
          <w:rFonts w:ascii="Times New Roman" w:hAnsi="Times New Roman"/>
          <w:b w:val="false"/>
          <w:i w:val="false"/>
          <w:color w:val="000000"/>
          <w:sz w:val="22"/>
        </w:rPr>
        <w:t> </w:t>
      </w:r>
      <w:r>
        <w:rPr>
          <w:rFonts w:ascii="Times New Roman" w:hAnsi="Times New Roman"/>
          <w:b w:val="false"/>
          <w:i/>
          <w:color w:val="000000"/>
          <w:sz w:val="22"/>
        </w:rPr>
        <w:t xml:space="preserve">Emergency/first dose drug supply. </w:t>
      </w:r>
      <w:r>
        <w:rPr>
          <w:rFonts w:ascii="Times New Roman" w:hAnsi="Times New Roman"/>
          <w:b w:val="false"/>
          <w:i w:val="false"/>
          <w:color w:val="000000"/>
          <w:sz w:val="22"/>
        </w:rPr>
        <w:t xml:space="preserve">An emergency/first dose drug supply of prescription drugs may be supplied to a correctional facility for use by authorized personnel pursuant to rule </w:t>
      </w:r>
      <w:hyperlink r:id="rId17">
        <w:r>
          <w:rPr>
            <w:rStyle w:val="Hyperlink"/>
            <w:rFonts w:ascii="Times New Roman" w:hAnsi="Times New Roman"/>
            <w:b w:val="false"/>
            <w:i w:val="false"/>
            <w:color w:val="000000"/>
            <w:sz w:val="22"/>
          </w:rPr>
          <w:t>657—22.7</w:t>
        </w:r>
      </w:hyperlink>
      <w:r>
        <w:rPr>
          <w:rFonts w:ascii="Times New Roman" w:hAnsi="Times New Roman"/>
          <w:b w:val="false"/>
          <w:i w:val="false"/>
          <w:color w:val="000000"/>
          <w:sz w:val="22"/>
        </w:rPr>
        <w:t>(124,155A). Only pharmacists, pharmacist-interns, and pharmacy technicians may restock, replace, or return drugs to the emergency/first dose drug supply. A drug shall be removed from the emergency/first dose drug supply only pursuant to a valid prescription drug order. The pharmacy shall be notified of the removal and administration of a drug from the emergency/first dose drug supply. The pharmacist shall perform drug use review prior to the administration of a second dose. All drugs removed from the emergency/first dose drug supply that are not administered, including any wastage, shall be returned to the pharmacy. A written or electronic record shall be made of all removals from the emergency/first dose drug supply. The record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Patient’s name and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strength, dosage form, and quantity of the drug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Signature, unique identification, or initials of the authorized person removing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and time the drug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Returns of unused drugs to the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4073C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657—15.10</w:t>
      </w:r>
      <w:r>
        <w:rPr>
          <w:rFonts w:ascii="Times New Roman" w:hAnsi="Times New Roman"/>
          <w:b/>
          <w:i w:val="false"/>
          <w:color w:val="000000"/>
          <w:sz w:val="22"/>
        </w:rPr>
        <w:t xml:space="preserve">(124,126,155A)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Pharmacy policies and procedures, established, implemented, and complied with pursuant to rule </w:t>
      </w:r>
      <w:hyperlink r:id="rId18">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shall address, but not be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Controlled substances;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Formulary or drug list;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Stop orders;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Drug sample use and distribution;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Drug recalls;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Outdated drugs;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Patient records;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Inspection of drug inventories;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Adverse reaction reports;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Leave and release drugs;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Emergency/first dose drug supply;</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Drugs brought into the facility;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Medication administration and records;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Drug compounding;</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Sterile products;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Access to the pharmacy in the absence of the pharmacist;</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Transfers of drugs between facilities and correctional pharmacies;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Transfers of prescription drug orders between correctional pharmacies;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Delivery of drugs;</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Notification when a drug or device is not available;</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Drug destruction within the pharmacy;</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Return of unused drugs.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8670B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126.10</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155A.6A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155A.6B</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155A.32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155A.34 through 155A.36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8/26/88, Notice 6/29/88—published 9/21/88, effective 10/26/88]</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9/12/89, Notice 6/14/89—published 10/4/89, effective 11/8/89]</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7/30/91, Notice 5/29/91—published 8/21/91, effective 9/25/91]</w:t>
      </w:r>
    </w:p>
    <w:p>
      <w:pPr>
        <w:spacing w:before="0" w:after="0"/>
        <w:ind w:left="120"/>
        <w:jc w:val="center"/>
      </w:pPr>
      <w:r>
        <w:rPr>
          <w:rFonts w:ascii="Times New Roman" w:hAnsi="Times New Roman"/>
          <w:b w:val="false"/>
          <w:i w:val="false"/>
          <w:color w:val="000000"/>
          <w:sz w:val="21"/>
        </w:rPr>
        <w:t>[Filed 6/24/94, Notice 4/13/94—published 7/20/94, effective 8/24/94]</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2/22/99, Notice 10/21/98—published 3/10/99, effective 4/14/99]</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ARC 8670B</w:t>
      </w:r>
      <w:r>
        <w:rPr>
          <w:rFonts w:ascii="Times New Roman" w:hAnsi="Times New Roman"/>
          <w:b w:val="false"/>
          <w:i w:val="false"/>
          <w:color w:val="000000"/>
          <w:sz w:val="21"/>
        </w:rPr>
        <w:t xml:space="preserve"> (Notice ARC 8416B, IAB 12/30/09)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2196C</w:t>
      </w:r>
      <w:r>
        <w:rPr>
          <w:rFonts w:ascii="Times New Roman" w:hAnsi="Times New Roman"/>
          <w:b w:val="false"/>
          <w:i w:val="false"/>
          <w:color w:val="000000"/>
          <w:sz w:val="21"/>
        </w:rPr>
        <w:t xml:space="preserve"> (Notice ARC 2065C,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4073C</w:t>
      </w:r>
      <w:r>
        <w:rPr>
          <w:rFonts w:ascii="Times New Roman" w:hAnsi="Times New Roman"/>
          <w:b w:val="false"/>
          <w:i w:val="false"/>
          <w:color w:val="000000"/>
          <w:sz w:val="21"/>
        </w:rPr>
        <w:t xml:space="preserve"> (Notice ARC 3848C, IAB 6/20/18)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[Editorial change: IAC Supplement 9/8/21]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7.8.pdf" Type="http://schemas.openxmlformats.org/officeDocument/2006/relationships/hyperlink" Id="rId5"/>
    <Relationship TargetMode="External" Target="https://www.legis.iowa.gov/docs/iac/rule/657.8.3.pdf" Type="http://schemas.openxmlformats.org/officeDocument/2006/relationships/hyperlink" Id="rId6"/>
    <Relationship TargetMode="External" Target="https://www.legis.iowa.gov/docs/iac/rule/657.6.14.pdf" Type="http://schemas.openxmlformats.org/officeDocument/2006/relationships/hyperlink" Id="rId7"/>
    <Relationship TargetMode="External" Target="https://www.legis.iowa.gov/docs/iac/rule/657.8.3.pdf" Type="http://schemas.openxmlformats.org/officeDocument/2006/relationships/hyperlink" Id="rId8"/>
    <Relationship TargetMode="External" Target="https://www.legis.iowa.gov/docs/iac/chapter/657.21.pdf" Type="http://schemas.openxmlformats.org/officeDocument/2006/relationships/hyperlink" Id="rId9"/>
    <Relationship TargetMode="External" Target="https://www.legis.iowa.gov/docs/iac/rule/657.8.16.pdf" Type="http://schemas.openxmlformats.org/officeDocument/2006/relationships/hyperlink" Id="rId10"/>
    <Relationship TargetMode="External" Target="https://www.legis.iowa.gov/docs/iac/rule/657.22.1.pdf" Type="http://schemas.openxmlformats.org/officeDocument/2006/relationships/hyperlink" Id="rId11"/>
    <Relationship TargetMode="External" Target="https://www.legis.iowa.gov/docs/iac/rule/657.22.5.pdf" Type="http://schemas.openxmlformats.org/officeDocument/2006/relationships/hyperlink" Id="rId12"/>
    <Relationship TargetMode="External" Target="https://www.legis.iowa.gov/docs/iac/rule/657.6.10.pdf" Type="http://schemas.openxmlformats.org/officeDocument/2006/relationships/hyperlink" Id="rId13"/>
    <Relationship TargetMode="External" Target="https://www.legis.iowa.gov/docs/iac/rule/657.6.10.pdf" Type="http://schemas.openxmlformats.org/officeDocument/2006/relationships/hyperlink" Id="rId14"/>
    <Relationship TargetMode="External" Target="https://www.legis.iowa.gov/docs/iac/rule/657.6.10.pdf" Type="http://schemas.openxmlformats.org/officeDocument/2006/relationships/hyperlink" Id="rId15"/>
    <Relationship TargetMode="External" Target="https://www.legis.iowa.gov/docs/ico/chapter/155A.32.pdf" Type="http://schemas.openxmlformats.org/officeDocument/2006/relationships/hyperlink" Id="rId16"/>
    <Relationship TargetMode="External" Target="https://www.legis.iowa.gov/docs/iac/rule/657.22.7.pdf" Type="http://schemas.openxmlformats.org/officeDocument/2006/relationships/hyperlink" Id="rId17"/>
    <Relationship TargetMode="External" Target="https://www.legis.iowa.gov/docs/iac/rule/657.8.3.pdf" Type="http://schemas.openxmlformats.org/officeDocument/2006/relationships/hyperlink" Id="rId18"/>
    <Relationship TargetMode="External" Target="https://www.legis.iowa.gov/docs/ico/chapter/124.301.pdf" Type="http://schemas.openxmlformats.org/officeDocument/2006/relationships/hyperlink" Id="rId19"/>
    <Relationship TargetMode="External" Target="https://www.legis.iowa.gov/docs/ico/chapter/124.303.pdf" Type="http://schemas.openxmlformats.org/officeDocument/2006/relationships/hyperlink" Id="rId20"/>
    <Relationship TargetMode="External" Target="https://www.legis.iowa.gov/docs/ico/chapter/124.306.pdf" Type="http://schemas.openxmlformats.org/officeDocument/2006/relationships/hyperlink" Id="rId21"/>
    <Relationship TargetMode="External" Target="https://www.legis.iowa.gov/docs/ico/chapter/124.308.pdf" Type="http://schemas.openxmlformats.org/officeDocument/2006/relationships/hyperlink" Id="rId22"/>
    <Relationship TargetMode="External" Target="https://www.legis.iowa.gov/docs/ico/chapter/126.10.pdf" Type="http://schemas.openxmlformats.org/officeDocument/2006/relationships/hyperlink" Id="rId23"/>
    <Relationship TargetMode="External" Target="https://www.legis.iowa.gov/docs/ico/chapter/126.11.pdf" Type="http://schemas.openxmlformats.org/officeDocument/2006/relationships/hyperlink" Id="rId24"/>
    <Relationship TargetMode="External" Target="https://www.legis.iowa.gov/docs/ico/chapter/155A.6A.pdf" Type="http://schemas.openxmlformats.org/officeDocument/2006/relationships/hyperlink" Id="rId25"/>
    <Relationship TargetMode="External" Target="https://www.legis.iowa.gov/docs/ico/chapter/155A.6B.pdf" Type="http://schemas.openxmlformats.org/officeDocument/2006/relationships/hyperlink" Id="rId26"/>
    <Relationship TargetMode="External" Target="https://www.legis.iowa.gov/docs/ico/chapter/155A.13.pdf" Type="http://schemas.openxmlformats.org/officeDocument/2006/relationships/hyperlink" Id="rId27"/>
    <Relationship TargetMode="External" Target="https://www.legis.iowa.gov/docs/ico/chapter/155A.27.pdf" Type="http://schemas.openxmlformats.org/officeDocument/2006/relationships/hyperlink" Id="rId28"/>
    <Relationship TargetMode="External" Target="https://www.legis.iowa.gov/docs/ico/chapter/155A.28.pdf" Type="http://schemas.openxmlformats.org/officeDocument/2006/relationships/hyperlink" Id="rId29"/>
    <Relationship TargetMode="External" Target="https://www.legis.iowa.gov/docs/ico/chapter/155A.31.pdf" Type="http://schemas.openxmlformats.org/officeDocument/2006/relationships/hyperlink" Id="rId30"/>
    <Relationship TargetMode="External" Target="https://www.legis.iowa.gov/docs/ico/chapter/155A.32.pdf" Type="http://schemas.openxmlformats.org/officeDocument/2006/relationships/hyperlink" Id="rId31"/>
    <Relationship TargetMode="External" Target="https://www.legis.iowa.gov/docs/ico/chapter/155a.34-36.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