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w:t>
      </w:r>
    </w:p>
    <w:p>
      <w:pPr>
        <w:spacing w:before="0" w:after="0"/>
        <w:ind w:left="120"/>
        <w:jc w:val="center"/>
      </w:pPr>
      <w:r>
        <w:rPr>
          <w:rFonts w:ascii="Times New Roman" w:hAnsi="Times New Roman"/>
          <w:b w:val="false"/>
          <w:i w:val="false"/>
          <w:color w:val="000000"/>
          <w:sz w:val="21"/>
        </w:rPr>
        <w:t>PRECURSOR SUBSTANCES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657—12.1</w:t>
      </w:r>
      <w:r>
        <w:rPr>
          <w:rFonts w:ascii="Times New Roman" w:hAnsi="Times New Roman"/>
          <w:b/>
          <w:i w:val="false"/>
          <w:color w:val="000000"/>
          <w:sz w:val="22"/>
        </w:rPr>
        <w:t xml:space="preserve">(124B) </w:t>
      </w:r>
      <w:r>
        <w:rPr>
          <w:rFonts w:ascii="Times New Roman" w:hAnsi="Times New Roman"/>
          <w:b/>
          <w:i w:val="false"/>
          <w:color w:val="000000"/>
          <w:sz w:val="22"/>
        </w:rPr>
        <w:t xml:space="preserve">Precursor substance identified. </w:t>
      </w:r>
      <w:r>
        <w:rPr>
          <w:rFonts w:ascii="Times New Roman" w:hAnsi="Times New Roman"/>
          <w:b w:val="false"/>
          <w:i w:val="false"/>
          <w:color w:val="000000"/>
          <w:sz w:val="22"/>
        </w:rPr>
        <w:t xml:space="preserve">For the purpose of this chapter, precursor substance includes all substances identified in Iowa Code section </w:t>
      </w:r>
      <w:hyperlink r:id="rId5">
        <w:r>
          <w:rPr>
            <w:rStyle w:val="Hyperlink"/>
            <w:rFonts w:ascii="Times New Roman" w:hAnsi="Times New Roman"/>
            <w:b w:val="false"/>
            <w:i w:val="false"/>
            <w:color w:val="000000"/>
            <w:sz w:val="22"/>
          </w:rPr>
          <w:t>124B.2</w:t>
        </w:r>
      </w:hyperlink>
      <w:r>
        <w:rPr>
          <w:rFonts w:ascii="Times New Roman" w:hAnsi="Times New Roman"/>
          <w:b w:val="false"/>
          <w:i w:val="false"/>
          <w:color w:val="000000"/>
          <w:sz w:val="22"/>
        </w:rPr>
        <w:t>. Additional precursor substances may be identified by listing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12.1(1)</w:t>
      </w:r>
      <w:r>
        <w:rPr>
          <w:rFonts w:ascii="Times New Roman" w:hAnsi="Times New Roman"/>
          <w:b w:val="false"/>
          <w:i w:val="false"/>
          <w:color w:val="000000"/>
          <w:sz w:val="22"/>
        </w:rPr>
        <w:t> </w:t>
      </w:r>
      <w:r>
        <w:rPr>
          <w:rFonts w:ascii="Times New Roman" w:hAnsi="Times New Roman"/>
          <w:b w:val="false"/>
          <w:i w:val="false"/>
          <w:color w:val="000000"/>
          <w:sz w:val="22"/>
        </w:rPr>
        <w:t xml:space="preserve">Amend Iowa Code section </w:t>
      </w:r>
      <w:hyperlink r:id="rId6">
        <w:r>
          <w:rPr>
            <w:rStyle w:val="Hyperlink"/>
            <w:rFonts w:ascii="Times New Roman" w:hAnsi="Times New Roman"/>
            <w:b w:val="false"/>
            <w:i w:val="false"/>
            <w:color w:val="000000"/>
            <w:sz w:val="22"/>
          </w:rPr>
          <w:t>124B.2(1)</w:t>
        </w:r>
      </w:hyperlink>
      <w:r>
        <w:rPr>
          <w:rFonts w:ascii="Times New Roman" w:hAnsi="Times New Roman"/>
          <w:b w:val="false"/>
          <w:i w:val="false"/>
          <w:color w:val="000000"/>
          <w:sz w:val="22"/>
        </w:rPr>
        <w:t xml:space="preserve"> by adding the following new paragraphs: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ah.</w:t>
      </w:r>
      <w:r>
        <w:rPr>
          <w:rFonts w:ascii="Times New Roman" w:hAnsi="Times New Roman"/>
          <w:b w:val="false"/>
          <w:i w:val="false"/>
          <w:color w:val="000000"/>
          <w:sz w:val="22"/>
        </w:rPr>
        <w:t>  </w:t>
      </w:r>
      <w:r>
        <w:rPr>
          <w:rFonts w:ascii="Times New Roman" w:hAnsi="Times New Roman"/>
          <w:b w:val="false"/>
          <w:i w:val="false"/>
          <w:color w:val="000000"/>
          <w:sz w:val="22"/>
        </w:rPr>
        <w:t>Methyl alpha-phenylacetoacetate (other names: MAPA; methyl 3-oxo-2-phenylbutanoate) and its optical isomers.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w:t>
      </w:r>
      <w:r>
        <w:rPr>
          <w:rFonts w:ascii="Times New Roman" w:hAnsi="Times New Roman"/>
          <w:b w:val="false"/>
          <w:i w:val="false"/>
          <w:color w:val="000000"/>
          <w:sz w:val="22"/>
        </w:rPr>
        <w:t>  </w:t>
      </w:r>
      <w:r>
        <w:rPr>
          <w:rFonts w:ascii="Times New Roman" w:hAnsi="Times New Roman"/>
          <w:b w:val="false"/>
          <w:i w:val="false"/>
          <w:color w:val="000000"/>
          <w:sz w:val="22"/>
        </w:rPr>
        <w:t>1-boc-4-AP (tert-butyl 4-(phenylamino)piperidine-1-carboxylate) and its salts.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aj.</w:t>
      </w:r>
      <w:r>
        <w:rPr>
          <w:rFonts w:ascii="Times New Roman" w:hAnsi="Times New Roman"/>
          <w:b w:val="false"/>
          <w:i w:val="false"/>
          <w:color w:val="000000"/>
          <w:sz w:val="22"/>
        </w:rPr>
        <w:t>  </w:t>
      </w:r>
      <w:r>
        <w:rPr>
          <w:rFonts w:ascii="Times New Roman" w:hAnsi="Times New Roman"/>
          <w:b w:val="false"/>
          <w:i w:val="false"/>
          <w:color w:val="000000"/>
          <w:sz w:val="22"/>
        </w:rPr>
        <w:t>4-piperidone (piperidin-4-one), its acetals, its amides, its carbamates, its salts, and salts of its acetals, its amides, and its carbamates, and any combination thereof, whenever the existence of such is possible.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5346C</w:t>
      </w:r>
      <w:r>
        <w:rPr>
          <w:rFonts w:ascii="Times New Roman" w:hAnsi="Times New Roman"/>
          <w:b w:val="false"/>
          <w:i w:val="false"/>
          <w:color w:val="000000"/>
          <w:sz w:val="16"/>
        </w:rPr>
        <w:t>, IAB 12/30/20, effective 2/3/21</w:t>
      </w:r>
      <w:r>
        <w:rPr>
          <w:rFonts w:ascii="Times New Roman" w:hAnsi="Times New Roman"/>
          <w:b w:val="false"/>
          <w:i w:val="false"/>
          <w:color w:val="000000"/>
          <w:sz w:val="16"/>
        </w:rPr>
        <w:t xml:space="preserve">; </w:t>
      </w:r>
      <w:r>
        <w:rPr>
          <w:rFonts w:ascii="Times New Roman" w:hAnsi="Times New Roman"/>
          <w:b/>
          <w:i w:val="false"/>
          <w:color w:val="000000"/>
          <w:sz w:val="16"/>
        </w:rPr>
        <w:t>ARC 6074C</w:t>
      </w:r>
      <w:r>
        <w:rPr>
          <w:rFonts w:ascii="Times New Roman" w:hAnsi="Times New Roman"/>
          <w:b w:val="false"/>
          <w:i w:val="false"/>
          <w:color w:val="000000"/>
          <w:sz w:val="16"/>
        </w:rPr>
        <w:t>, IAB 12/15/21, effective 1/19/22</w:t>
      </w:r>
      <w:r>
        <w:rPr>
          <w:rFonts w:ascii="Times New Roman" w:hAnsi="Times New Roman"/>
          <w:b w:val="false"/>
          <w:i w:val="false"/>
          <w:color w:val="000000"/>
          <w:sz w:val="16"/>
        </w:rPr>
        <w:t xml:space="preserve">; </w:t>
      </w:r>
      <w:r>
        <w:rPr>
          <w:rFonts w:ascii="Times New Roman" w:hAnsi="Times New Roman"/>
          <w:b/>
          <w:i w:val="false"/>
          <w:color w:val="000000"/>
          <w:sz w:val="16"/>
        </w:rPr>
        <w:t>ARC 6418C</w:t>
      </w:r>
      <w:r>
        <w:rPr>
          <w:rFonts w:ascii="Times New Roman" w:hAnsi="Times New Roman"/>
          <w:b w:val="false"/>
          <w:i w:val="false"/>
          <w:color w:val="000000"/>
          <w:sz w:val="16"/>
        </w:rPr>
        <w:t>, IAB 7/27/22, effective 8/31/22</w:t>
      </w:r>
      <w:r>
        <w:rPr>
          <w:rFonts w:ascii="Times New Roman" w:hAnsi="Times New Roman"/>
          <w:b w:val="false"/>
          <w:i w:val="false"/>
          <w:color w:val="000000"/>
          <w:sz w:val="16"/>
        </w:rPr>
        <w:t xml:space="preserve">; </w:t>
      </w:r>
      <w:r>
        <w:rPr>
          <w:rFonts w:ascii="Times New Roman" w:hAnsi="Times New Roman"/>
          <w:b/>
          <w:i w:val="false"/>
          <w:color w:val="000000"/>
          <w:sz w:val="16"/>
        </w:rPr>
        <w:t>ARC 7026C</w:t>
      </w:r>
      <w:r>
        <w:rPr>
          <w:rFonts w:ascii="Times New Roman" w:hAnsi="Times New Roman"/>
          <w:b w:val="false"/>
          <w:i w:val="false"/>
          <w:color w:val="000000"/>
          <w:sz w:val="16"/>
        </w:rPr>
        <w:t>, IAB 5/31/23, effective 7/5/23</w:t>
      </w:r>
      <w:r>
        <w:rPr>
          <w:rFonts w:ascii="Times New Roman" w:hAnsi="Times New Roman"/>
          <w:b w:val="false"/>
          <w:i w:val="false"/>
          <w:color w:val="000000"/>
          <w:sz w:val="16"/>
        </w:rPr>
        <w:t xml:space="preserve">; </w:t>
      </w:r>
      <w:r>
        <w:rPr>
          <w:rFonts w:ascii="Times New Roman" w:hAnsi="Times New Roman"/>
          <w:b/>
          <w:i w:val="false"/>
          <w:color w:val="000000"/>
          <w:sz w:val="16"/>
        </w:rPr>
        <w:t>ARC 7128C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657—12.2</w:t>
      </w:r>
      <w:r>
        <w:rPr>
          <w:rFonts w:ascii="Times New Roman" w:hAnsi="Times New Roman"/>
          <w:b/>
          <w:i w:val="false"/>
          <w:color w:val="000000"/>
          <w:sz w:val="22"/>
        </w:rPr>
        <w:t xml:space="preserve">(124B) </w:t>
      </w:r>
      <w:r>
        <w:rPr>
          <w:rFonts w:ascii="Times New Roman" w:hAnsi="Times New Roman"/>
          <w:b/>
          <w:i w:val="false"/>
          <w:color w:val="000000"/>
          <w:sz w:val="22"/>
        </w:rPr>
        <w:t xml:space="preserve">Reports required. </w:t>
      </w:r>
      <w:r>
        <w:rPr>
          <w:rFonts w:ascii="Times New Roman" w:hAnsi="Times New Roman"/>
          <w:b w:val="false"/>
          <w:i w:val="false"/>
          <w:color w:val="000000"/>
          <w:sz w:val="22"/>
        </w:rPr>
        <w:t xml:space="preserve">Except as provided in rule </w:t>
      </w:r>
      <w:hyperlink r:id="rId7">
        <w:r>
          <w:rPr>
            <w:rStyle w:val="Hyperlink"/>
            <w:rFonts w:ascii="Times New Roman" w:hAnsi="Times New Roman"/>
            <w:b w:val="false"/>
            <w:i w:val="false"/>
            <w:color w:val="000000"/>
            <w:sz w:val="22"/>
          </w:rPr>
          <w:t>657—12.4(124B)</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12.5(124B)</w:t>
        </w:r>
      </w:hyperlink>
      <w:r>
        <w:rPr>
          <w:rFonts w:ascii="Times New Roman" w:hAnsi="Times New Roman"/>
          <w:b w:val="false"/>
          <w:i w:val="false"/>
          <w:color w:val="000000"/>
          <w:sz w:val="22"/>
        </w:rPr>
        <w:t>, the following reports shall be filed with the board on forms provided or approved by the board. Copies of reports submitted pursuant to this rule shall be maintained for two years following the date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w:t>
      </w:r>
      <w:r>
        <w:rPr>
          <w:rFonts w:ascii="Times New Roman" w:hAnsi="Times New Roman"/>
          <w:b w:val="false"/>
          <w:i w:val="false"/>
          <w:color w:val="000000"/>
          <w:sz w:val="22"/>
        </w:rPr>
        <w:t> </w:t>
      </w:r>
      <w:r>
        <w:rPr>
          <w:rFonts w:ascii="Times New Roman" w:hAnsi="Times New Roman"/>
          <w:b w:val="false"/>
          <w:i/>
          <w:color w:val="000000"/>
          <w:sz w:val="22"/>
        </w:rPr>
        <w:t xml:space="preserve">Delivery in Iowa. </w:t>
      </w:r>
      <w:r>
        <w:rPr>
          <w:rFonts w:ascii="Times New Roman" w:hAnsi="Times New Roman"/>
          <w:b w:val="false"/>
          <w:i w:val="false"/>
          <w:color w:val="000000"/>
          <w:sz w:val="22"/>
        </w:rPr>
        <w:t>Any manufacturer, retailer, or other person who sells, transfers, or otherwise furnishes a precursor substance to anyone within this state shall report the transaction to the board no less than 21 days prior to delivery of the substance.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12.2(2)</w:t>
      </w:r>
      <w:r>
        <w:rPr>
          <w:rFonts w:ascii="Times New Roman" w:hAnsi="Times New Roman"/>
          <w:b w:val="false"/>
          <w:i w:val="false"/>
          <w:color w:val="000000"/>
          <w:sz w:val="22"/>
        </w:rPr>
        <w:t> </w:t>
      </w:r>
      <w:r>
        <w:rPr>
          <w:rFonts w:ascii="Times New Roman" w:hAnsi="Times New Roman"/>
          <w:b w:val="false"/>
          <w:i/>
          <w:color w:val="000000"/>
          <w:sz w:val="22"/>
        </w:rPr>
        <w:t xml:space="preserve">Receipt from out-of-state source. </w:t>
      </w:r>
      <w:r>
        <w:rPr>
          <w:rFonts w:ascii="Times New Roman" w:hAnsi="Times New Roman"/>
          <w:b w:val="false"/>
          <w:i w:val="false"/>
          <w:color w:val="000000"/>
          <w:sz w:val="22"/>
        </w:rPr>
        <w:t>Any vendor, recipient, or other person who receives a precursor substance from a source outside the state shall submit to the board a report of the transaction no more than 14 days following receipt of the substance.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12.2(3)</w:t>
      </w:r>
      <w:r>
        <w:rPr>
          <w:rFonts w:ascii="Times New Roman" w:hAnsi="Times New Roman"/>
          <w:b w:val="false"/>
          <w:i w:val="false"/>
          <w:color w:val="000000"/>
          <w:sz w:val="22"/>
        </w:rPr>
        <w:t> </w:t>
      </w:r>
      <w:r>
        <w:rPr>
          <w:rFonts w:ascii="Times New Roman" w:hAnsi="Times New Roman"/>
          <w:b w:val="false"/>
          <w:i/>
          <w:color w:val="000000"/>
          <w:sz w:val="22"/>
        </w:rPr>
        <w:t xml:space="preserve">Missing quantity. </w:t>
      </w:r>
      <w:r>
        <w:rPr>
          <w:rFonts w:ascii="Times New Roman" w:hAnsi="Times New Roman"/>
          <w:b w:val="false"/>
          <w:i w:val="false"/>
          <w:color w:val="000000"/>
          <w:sz w:val="22"/>
        </w:rPr>
        <w:t>Any vendor, recipient, or other person who is authorized to possess precursor substances in this state shall report to the board within seven days of discovering either of the following occurrences: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Loss or theft of a precursor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difference between the amount of a precursor substance shipped and the amount of a precursor substance received.</w:t>
      </w:r>
    </w:p>
    <w:p>
      <w:pPr>
        <w:spacing w:before="0" w:after="0"/>
        <w:ind w:left="120"/>
        <w:jc w:val="both"/>
      </w:pPr>
      <w:r>
        <w:rPr>
          <w:rFonts w:ascii="Times New Roman" w:hAnsi="Times New Roman"/>
          <w:b/>
          <w:i w:val="false"/>
          <w:color w:val="000000"/>
          <w:sz w:val="22"/>
        </w:rPr>
        <w:t>657—12.3</w:t>
      </w:r>
      <w:r>
        <w:rPr>
          <w:rFonts w:ascii="Times New Roman" w:hAnsi="Times New Roman"/>
          <w:b/>
          <w:i w:val="false"/>
          <w:color w:val="000000"/>
          <w:sz w:val="22"/>
        </w:rPr>
        <w:t xml:space="preserve">(124B) </w:t>
      </w:r>
      <w:r>
        <w:rPr>
          <w:rFonts w:ascii="Times New Roman" w:hAnsi="Times New Roman"/>
          <w:b/>
          <w:i w:val="false"/>
          <w:color w:val="000000"/>
          <w:sz w:val="22"/>
        </w:rPr>
        <w:t xml:space="preserve">Form of reports. </w:t>
      </w:r>
      <w:r>
        <w:rPr>
          <w:rFonts w:ascii="Times New Roman" w:hAnsi="Times New Roman"/>
          <w:b w:val="false"/>
          <w:i w:val="false"/>
          <w:color w:val="000000"/>
          <w:sz w:val="22"/>
        </w:rPr>
        <w:t xml:space="preserve">All reports shall be on forms provided by the board except as provided in rule </w:t>
      </w:r>
      <w:hyperlink r:id="rId9">
        <w:r>
          <w:rPr>
            <w:rStyle w:val="Hyperlink"/>
            <w:rFonts w:ascii="Times New Roman" w:hAnsi="Times New Roman"/>
            <w:b w:val="false"/>
            <w:i w:val="false"/>
            <w:color w:val="000000"/>
            <w:sz w:val="22"/>
          </w:rPr>
          <w:t>657—12.4(124B)</w:t>
        </w:r>
      </w:hyperlink>
      <w:r>
        <w:rPr>
          <w:rFonts w:ascii="Times New Roman" w:hAnsi="Times New Roman"/>
          <w:b w:val="false"/>
          <w:i w:val="false"/>
          <w:color w:val="000000"/>
          <w:sz w:val="22"/>
        </w:rPr>
        <w:t>. The following minimum information shall be completed for each required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12.3(1)</w:t>
      </w:r>
      <w:r>
        <w:rPr>
          <w:rFonts w:ascii="Times New Roman" w:hAnsi="Times New Roman"/>
          <w:b w:val="false"/>
          <w:i w:val="false"/>
          <w:color w:val="000000"/>
          <w:sz w:val="22"/>
        </w:rPr>
        <w:t> </w:t>
      </w:r>
      <w:r>
        <w:rPr>
          <w:rFonts w:ascii="Times New Roman" w:hAnsi="Times New Roman"/>
          <w:b w:val="false"/>
          <w:i/>
          <w:color w:val="000000"/>
          <w:sz w:val="22"/>
        </w:rPr>
        <w:t xml:space="preserve">Delivery. </w:t>
      </w:r>
      <w:r>
        <w:rPr>
          <w:rFonts w:ascii="Times New Roman" w:hAnsi="Times New Roman"/>
          <w:b w:val="false"/>
          <w:i w:val="false"/>
          <w:color w:val="000000"/>
          <w:sz w:val="22"/>
        </w:rPr>
        <w:t>Each form that reports the sale, transfer, or other furnishing of a precursor substance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Quantity of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sold, transferred, or furnished;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 and address of business or person selling, transferring, or furnishing the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person or the signature of an officer, authorized agent, or authorized employee of the business selling, transferring, or furnishing the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Name, address, and identification information of the person or business purchasing or receiving the substance.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12.3(2)</w:t>
      </w:r>
      <w:r>
        <w:rPr>
          <w:rFonts w:ascii="Times New Roman" w:hAnsi="Times New Roman"/>
          <w:b w:val="false"/>
          <w:i w:val="false"/>
          <w:color w:val="000000"/>
          <w:sz w:val="22"/>
        </w:rPr>
        <w:t> </w:t>
      </w:r>
      <w:r>
        <w:rPr>
          <w:rFonts w:ascii="Times New Roman" w:hAnsi="Times New Roman"/>
          <w:b w:val="false"/>
          <w:i/>
          <w:color w:val="000000"/>
          <w:sz w:val="22"/>
        </w:rPr>
        <w:t xml:space="preserve">Receipt. </w:t>
      </w:r>
      <w:r>
        <w:rPr>
          <w:rFonts w:ascii="Times New Roman" w:hAnsi="Times New Roman"/>
          <w:b w:val="false"/>
          <w:i w:val="false"/>
          <w:color w:val="000000"/>
          <w:sz w:val="22"/>
        </w:rPr>
        <w:t>Each form that reports the receipt of a precursor substance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Quantity of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 and address of person or business receiving the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person or the signature of an officer, authorized agent, or authorized employee of a business receiving the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person or business selling, transferring, or furnishing the substance.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12.3(3)</w:t>
      </w:r>
      <w:r>
        <w:rPr>
          <w:rFonts w:ascii="Times New Roman" w:hAnsi="Times New Roman"/>
          <w:b w:val="false"/>
          <w:i w:val="false"/>
          <w:color w:val="000000"/>
          <w:sz w:val="22"/>
        </w:rPr>
        <w:t> </w:t>
      </w:r>
      <w:r>
        <w:rPr>
          <w:rFonts w:ascii="Times New Roman" w:hAnsi="Times New Roman"/>
          <w:b w:val="false"/>
          <w:i/>
          <w:color w:val="000000"/>
          <w:sz w:val="22"/>
        </w:rPr>
        <w:t xml:space="preserve">Theft or loss. </w:t>
      </w:r>
      <w:r>
        <w:rPr>
          <w:rFonts w:ascii="Times New Roman" w:hAnsi="Times New Roman"/>
          <w:b w:val="false"/>
          <w:i w:val="false"/>
          <w:color w:val="000000"/>
          <w:sz w:val="22"/>
        </w:rPr>
        <w:t>Each form that reports a missing quantity of a precursor substance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missing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Quantity of substance missing;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Date on which the substance was discovered to be missing;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person or business reporting the missing quantity;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permit number of the person or business reporting the missing quantity,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person or an officer, authorized agent, or authorized employee of the business reporting the missing quantity;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who transported the precursor substance and the date of shipment, if applicable.</w:t>
      </w:r>
    </w:p>
    <w:p>
      <w:pPr>
        <w:spacing w:before="0" w:after="0"/>
        <w:ind w:left="120"/>
        <w:jc w:val="both"/>
      </w:pPr>
      <w:r>
        <w:rPr>
          <w:rFonts w:ascii="Times New Roman" w:hAnsi="Times New Roman"/>
          <w:b/>
          <w:i w:val="false"/>
          <w:color w:val="000000"/>
          <w:sz w:val="22"/>
        </w:rPr>
        <w:t>657—12.4</w:t>
      </w:r>
      <w:r>
        <w:rPr>
          <w:rFonts w:ascii="Times New Roman" w:hAnsi="Times New Roman"/>
          <w:b/>
          <w:i w:val="false"/>
          <w:color w:val="000000"/>
          <w:sz w:val="22"/>
        </w:rPr>
        <w:t xml:space="preserve">(124B) </w:t>
      </w:r>
      <w:r>
        <w:rPr>
          <w:rFonts w:ascii="Times New Roman" w:hAnsi="Times New Roman"/>
          <w:b/>
          <w:i w:val="false"/>
          <w:color w:val="000000"/>
          <w:sz w:val="22"/>
        </w:rPr>
        <w:t xml:space="preserve">Monthly reporting option.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12.4(1)</w:t>
      </w:r>
      <w:r>
        <w:rPr>
          <w:rFonts w:ascii="Times New Roman" w:hAnsi="Times New Roman"/>
          <w:b w:val="false"/>
          <w:i w:val="false"/>
          <w:color w:val="000000"/>
          <w:sz w:val="22"/>
        </w:rPr>
        <w:t> </w:t>
      </w:r>
      <w:r>
        <w:rPr>
          <w:rFonts w:ascii="Times New Roman" w:hAnsi="Times New Roman"/>
          <w:b w:val="false"/>
          <w:i/>
          <w:color w:val="000000"/>
          <w:sz w:val="22"/>
        </w:rPr>
        <w:t xml:space="preserve">Regular repeated deliveries. </w:t>
      </w:r>
      <w:r>
        <w:rPr>
          <w:rFonts w:ascii="Times New Roman" w:hAnsi="Times New Roman"/>
          <w:b w:val="false"/>
          <w:i w:val="false"/>
          <w:color w:val="000000"/>
          <w:sz w:val="22"/>
        </w:rPr>
        <w:t xml:space="preserve">Vendors who regularly transfer the same precursor substance to the same recipient may apply to the board for authorization to submit the report of those transactions on a monthly basis. Requests for monthly reporting authorization must be received at the board office at least 21 days prior to the board meeting at which the request will be considered. The board will review each request to determine if the requirements of Iowa Code chapter </w:t>
      </w:r>
      <w:hyperlink r:id="rId10">
        <w:r>
          <w:rPr>
            <w:rStyle w:val="Hyperlink"/>
            <w:rFonts w:ascii="Times New Roman" w:hAnsi="Times New Roman"/>
            <w:b w:val="false"/>
            <w:i w:val="false"/>
            <w:color w:val="000000"/>
            <w:sz w:val="22"/>
          </w:rPr>
          <w:t>124B</w:t>
        </w:r>
      </w:hyperlink>
      <w:r>
        <w:rPr>
          <w:rFonts w:ascii="Times New Roman" w:hAnsi="Times New Roman"/>
          <w:b w:val="false"/>
          <w:i w:val="false"/>
          <w:color w:val="000000"/>
          <w:sz w:val="22"/>
        </w:rPr>
        <w:t xml:space="preserve"> are met and will notify the vendor of its decision and the reporting format that will be authorized.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12.4(2)</w:t>
      </w:r>
      <w:r>
        <w:rPr>
          <w:rFonts w:ascii="Times New Roman" w:hAnsi="Times New Roman"/>
          <w:b w:val="false"/>
          <w:i w:val="false"/>
          <w:color w:val="000000"/>
          <w:sz w:val="22"/>
        </w:rPr>
        <w:t> </w:t>
      </w:r>
      <w:r>
        <w:rPr>
          <w:rFonts w:ascii="Times New Roman" w:hAnsi="Times New Roman"/>
          <w:b w:val="false"/>
          <w:i/>
          <w:color w:val="000000"/>
          <w:sz w:val="22"/>
        </w:rPr>
        <w:t xml:space="preserve">Computer-generated reports. </w:t>
      </w:r>
      <w:r>
        <w:rPr>
          <w:rFonts w:ascii="Times New Roman" w:hAnsi="Times New Roman"/>
          <w:b w:val="false"/>
          <w:i w:val="false"/>
          <w:color w:val="000000"/>
          <w:sz w:val="22"/>
        </w:rPr>
        <w:t>Vendors may also petition the board to accept reports on a computer-generated basis. If approved, reports may be furnished in hard copy or in board-approved data storage format. The vendor will be responsible for the accuracy of all reports and the prompt correction of any data entry or transmission errors.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12.4(3)</w:t>
      </w:r>
      <w:r>
        <w:rPr>
          <w:rFonts w:ascii="Times New Roman" w:hAnsi="Times New Roman"/>
          <w:b w:val="false"/>
          <w:i w:val="false"/>
          <w:color w:val="000000"/>
          <w:sz w:val="22"/>
        </w:rPr>
        <w:t> </w:t>
      </w:r>
      <w:r>
        <w:rPr>
          <w:rFonts w:ascii="Times New Roman" w:hAnsi="Times New Roman"/>
          <w:b w:val="false"/>
          <w:i/>
          <w:color w:val="000000"/>
          <w:sz w:val="22"/>
        </w:rPr>
        <w:t xml:space="preserve">Authorization rescinded at board’s discretion. </w:t>
      </w:r>
      <w:r>
        <w:rPr>
          <w:rFonts w:ascii="Times New Roman" w:hAnsi="Times New Roman"/>
          <w:b w:val="false"/>
          <w:i w:val="false"/>
          <w:color w:val="000000"/>
          <w:sz w:val="22"/>
        </w:rPr>
        <w:t>Authorization to report monthly or to use computer-generated reporting may be rescinded at the board’s discretion and with 30 days’ advance notice.</w:t>
      </w:r>
    </w:p>
    <w:p>
      <w:pPr>
        <w:spacing w:before="0" w:after="0"/>
        <w:ind w:left="120"/>
        <w:jc w:val="both"/>
      </w:pPr>
      <w:r>
        <w:rPr>
          <w:rFonts w:ascii="Times New Roman" w:hAnsi="Times New Roman"/>
          <w:b/>
          <w:i w:val="false"/>
          <w:color w:val="000000"/>
          <w:sz w:val="22"/>
        </w:rPr>
        <w:t>657—12.5</w:t>
      </w:r>
      <w:r>
        <w:rPr>
          <w:rFonts w:ascii="Times New Roman" w:hAnsi="Times New Roman"/>
          <w:b/>
          <w:i w:val="false"/>
          <w:color w:val="000000"/>
          <w:sz w:val="22"/>
        </w:rPr>
        <w:t xml:space="preserve">(124B) </w:t>
      </w:r>
      <w:r>
        <w:rPr>
          <w:rFonts w:ascii="Times New Roman" w:hAnsi="Times New Roman"/>
          <w:b/>
          <w:i w:val="false"/>
          <w:color w:val="000000"/>
          <w:sz w:val="22"/>
        </w:rPr>
        <w:t xml:space="preserve">Exemptions. </w:t>
      </w:r>
      <w:r>
        <w:rPr>
          <w:rFonts w:ascii="Times New Roman" w:hAnsi="Times New Roman"/>
          <w:b w:val="false"/>
          <w:i w:val="false"/>
          <w:color w:val="000000"/>
          <w:sz w:val="22"/>
        </w:rPr>
        <w:t xml:space="preserve">The following are exempt from the reporting requirements of subrules </w:t>
      </w:r>
      <w:hyperlink r:id="rId11">
        <w:r>
          <w:rPr>
            <w:rStyle w:val="Hyperlink"/>
            <w:rFonts w:ascii="Times New Roman" w:hAnsi="Times New Roman"/>
            <w:b w:val="false"/>
            <w:i w:val="false"/>
            <w:color w:val="000000"/>
            <w:sz w:val="22"/>
          </w:rPr>
          <w:t>12.2(1)</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12.2(2)</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12.3(1)</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12.3(2)</w:t>
        </w:r>
      </w:hyperlink>
      <w:r>
        <w:rPr>
          <w:rFonts w:ascii="Times New Roman" w:hAnsi="Times New Roman"/>
          <w:b w:val="false"/>
          <w:i w:val="false"/>
          <w:color w:val="000000"/>
          <w:sz w:val="22"/>
        </w:rPr>
        <w:t xml:space="preserve"> and the identification requirements of rule </w:t>
      </w:r>
      <w:hyperlink r:id="rId15">
        <w:r>
          <w:rPr>
            <w:rStyle w:val="Hyperlink"/>
            <w:rFonts w:ascii="Times New Roman" w:hAnsi="Times New Roman"/>
            <w:b w:val="false"/>
            <w:i w:val="false"/>
            <w:color w:val="000000"/>
            <w:sz w:val="22"/>
          </w:rPr>
          <w:t>657—12.6(124B)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licensed pharmacist or other person authorized under Iowa Code chapter </w:t>
      </w:r>
      <w:hyperlink r:id="rId16">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to sell or furnish a precursor substance upon the prescription of a practitioner.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practitioner who administers or furnishes a precursor substance to a patient.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manufacturer, wholesaler, retailer, or person who holds a permit issued by the board and who sells, transfers, or otherwise furnishes a precursor substance to a practitioner or pharmacy as defined in Iowa Code section </w:t>
      </w:r>
      <w:hyperlink r:id="rId17">
        <w:r>
          <w:rPr>
            <w:rStyle w:val="Hyperlink"/>
            <w:rFonts w:ascii="Times New Roman" w:hAnsi="Times New Roman"/>
            <w:b w:val="false"/>
            <w:i w:val="false"/>
            <w:color w:val="000000"/>
            <w:sz w:val="22"/>
          </w:rPr>
          <w:t>155A.3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Any retailer or person who sells, transfers, furnishes, or receives a drug containing ephedrine, phenylpropanolamine, or pseudoephedrine or a cosmetic containing a precursor substance if the drug or cosmetic is lawfully sold, transferred, or furnished over the counter without a prescription in accordance with Iowa Code chapter </w:t>
      </w:r>
      <w:hyperlink r:id="rId18">
        <w:r>
          <w:rPr>
            <w:rStyle w:val="Hyperlink"/>
            <w:rFonts w:ascii="Times New Roman" w:hAnsi="Times New Roman"/>
            <w:b w:val="false"/>
            <w:i w:val="false"/>
            <w:color w:val="000000"/>
            <w:sz w:val="22"/>
          </w:rPr>
          <w:t>126</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657—12.6</w:t>
      </w:r>
      <w:r>
        <w:rPr>
          <w:rFonts w:ascii="Times New Roman" w:hAnsi="Times New Roman"/>
          <w:b/>
          <w:i w:val="false"/>
          <w:color w:val="000000"/>
          <w:sz w:val="22"/>
        </w:rPr>
        <w:t xml:space="preserve">(124B) </w:t>
      </w:r>
      <w:r>
        <w:rPr>
          <w:rFonts w:ascii="Times New Roman" w:hAnsi="Times New Roman"/>
          <w:b/>
          <w:i w:val="false"/>
          <w:color w:val="000000"/>
          <w:sz w:val="22"/>
        </w:rPr>
        <w:t xml:space="preserve">Identification of purchaser or other recipient. </w:t>
      </w:r>
      <w:r>
        <w:rPr>
          <w:rFonts w:ascii="Times New Roman" w:hAnsi="Times New Roman"/>
          <w:b w:val="false"/>
          <w:i w:val="false"/>
          <w:color w:val="000000"/>
          <w:sz w:val="22"/>
        </w:rPr>
        <w:t xml:space="preserve">Prior to selling, transferring, or otherwise furnishing in this state any precursor substance as defined in rule </w:t>
      </w:r>
      <w:hyperlink r:id="rId19">
        <w:r>
          <w:rPr>
            <w:rStyle w:val="Hyperlink"/>
            <w:rFonts w:ascii="Times New Roman" w:hAnsi="Times New Roman"/>
            <w:b w:val="false"/>
            <w:i w:val="false"/>
            <w:color w:val="000000"/>
            <w:sz w:val="22"/>
          </w:rPr>
          <w:t>657—12.1(124B)</w:t>
        </w:r>
      </w:hyperlink>
      <w:r>
        <w:rPr>
          <w:rFonts w:ascii="Times New Roman" w:hAnsi="Times New Roman"/>
          <w:b w:val="false"/>
          <w:i w:val="false"/>
          <w:color w:val="000000"/>
          <w:sz w:val="22"/>
        </w:rPr>
        <w:t>, a vendor shall require appropriate identification of any purchaser or other recipient. Letters and other documentation required by this rule shall be maintained for two years following delivery.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12.6(1)</w:t>
      </w:r>
      <w:r>
        <w:rPr>
          <w:rFonts w:ascii="Times New Roman" w:hAnsi="Times New Roman"/>
          <w:b w:val="false"/>
          <w:i w:val="false"/>
          <w:color w:val="000000"/>
          <w:sz w:val="22"/>
        </w:rPr>
        <w:t> </w:t>
      </w:r>
      <w:r>
        <w:rPr>
          <w:rFonts w:ascii="Times New Roman" w:hAnsi="Times New Roman"/>
          <w:b w:val="false"/>
          <w:i/>
          <w:color w:val="000000"/>
          <w:sz w:val="22"/>
        </w:rPr>
        <w:t xml:space="preserve">Face-to-face transactions. </w:t>
      </w:r>
      <w:r>
        <w:rPr>
          <w:rFonts w:ascii="Times New Roman" w:hAnsi="Times New Roman"/>
          <w:b w:val="false"/>
          <w:i w:val="false"/>
          <w:color w:val="000000"/>
          <w:sz w:val="22"/>
        </w:rPr>
        <w:t>Prior to furnishing any precursor substance in any face-to-face transaction, a vendor shall require and document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valid driver’s license or other state-issued identification issued to the purchaser’s representative. The identification shall contain the photograph and residential or mailing address, other than a post office box number, of the purchaser’s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motor vehicle license number of the vehicle owned or operated by the purchaser or the purchaser’s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letter of authorization from the purchaser. The letter shall include the purchaser’s business license number and business address, a description that identifies how the substance will be used, the name of the purchaser’s representative authorized to receive the substance, and the purchaser’s signature. The purchaser’s representative shall also sign the letter in the presence of the vendor and the vendor shall sign as a witness to the identification and signature of the purchaser’s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12.6(2)</w:t>
      </w:r>
      <w:r>
        <w:rPr>
          <w:rFonts w:ascii="Times New Roman" w:hAnsi="Times New Roman"/>
          <w:b w:val="false"/>
          <w:i w:val="false"/>
          <w:color w:val="000000"/>
          <w:sz w:val="22"/>
        </w:rPr>
        <w:t> </w:t>
      </w:r>
      <w:r>
        <w:rPr>
          <w:rFonts w:ascii="Times New Roman" w:hAnsi="Times New Roman"/>
          <w:b w:val="false"/>
          <w:i/>
          <w:color w:val="000000"/>
          <w:sz w:val="22"/>
        </w:rPr>
        <w:t xml:space="preserve">Furnishing to a person via transaction not face to face. </w:t>
      </w:r>
      <w:r>
        <w:rPr>
          <w:rFonts w:ascii="Times New Roman" w:hAnsi="Times New Roman"/>
          <w:b w:val="false"/>
          <w:i w:val="false"/>
          <w:color w:val="000000"/>
          <w:sz w:val="22"/>
        </w:rPr>
        <w:t>Prior to furnishing any precursor substance to a person in a transaction that is not face to face, a vendor shall require a letter of authorization that includes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to whom the substance is to be delivered;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person’s residential or mailing address, other than a post office box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person’s residential telephone number, including area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person’s place of employment including employer’s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person’s 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person’s place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person’s social security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person’s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description that identifies how the substance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12.6(3)</w:t>
      </w:r>
      <w:r>
        <w:rPr>
          <w:rFonts w:ascii="Times New Roman" w:hAnsi="Times New Roman"/>
          <w:b w:val="false"/>
          <w:i w:val="false"/>
          <w:color w:val="000000"/>
          <w:sz w:val="22"/>
        </w:rPr>
        <w:t> </w:t>
      </w:r>
      <w:r>
        <w:rPr>
          <w:rFonts w:ascii="Times New Roman" w:hAnsi="Times New Roman"/>
          <w:b w:val="false"/>
          <w:i/>
          <w:color w:val="000000"/>
          <w:sz w:val="22"/>
        </w:rPr>
        <w:t xml:space="preserve">Furnishing to a business via transaction not face to face. </w:t>
      </w:r>
      <w:r>
        <w:rPr>
          <w:rFonts w:ascii="Times New Roman" w:hAnsi="Times New Roman"/>
          <w:b w:val="false"/>
          <w:i w:val="false"/>
          <w:color w:val="000000"/>
          <w:sz w:val="22"/>
        </w:rPr>
        <w:t>Prior to furnishing any precursor substance to a business in a transaction that is not face to face, a vendor shall require a letter of authorization that includes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business license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business address and telephone number, including area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that identifies how the substance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signature of an officer, authorized agent, or authorized employee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typed or printed name and title of the signatory.</w:t>
      </w:r>
    </w:p>
    <w:p>
      <w:pPr>
        <w:spacing w:before="0" w:after="0"/>
        <w:ind w:left="120"/>
        <w:jc w:val="both"/>
      </w:pPr>
      <w:r>
        <w:rPr>
          <w:rFonts w:ascii="Times New Roman" w:hAnsi="Times New Roman"/>
          <w:b/>
          <w:i w:val="false"/>
          <w:color w:val="000000"/>
          <w:sz w:val="22"/>
        </w:rPr>
        <w:t>657—12.7</w:t>
      </w:r>
      <w:r>
        <w:rPr>
          <w:rFonts w:ascii="Times New Roman" w:hAnsi="Times New Roman"/>
          <w:b/>
          <w:i w:val="false"/>
          <w:color w:val="000000"/>
          <w:sz w:val="22"/>
        </w:rPr>
        <w:t xml:space="preserve">(124B) </w:t>
      </w:r>
      <w:r>
        <w:rPr>
          <w:rFonts w:ascii="Times New Roman" w:hAnsi="Times New Roman"/>
          <w:b/>
          <w:i w:val="false"/>
          <w:color w:val="000000"/>
          <w:sz w:val="22"/>
        </w:rPr>
        <w:t xml:space="preserve">Permits. </w:t>
      </w:r>
      <w:r>
        <w:rPr>
          <w:rFonts w:ascii="Times New Roman" w:hAnsi="Times New Roman"/>
          <w:b w:val="false"/>
          <w:i w:val="false"/>
          <w:color w:val="000000"/>
          <w:sz w:val="22"/>
        </w:rPr>
        <w:t xml:space="preserve">Persons or entities in this state that purchase, transfer, or otherwise receive a precursor substance as defined in rule </w:t>
      </w:r>
      <w:hyperlink r:id="rId20">
        <w:r>
          <w:rPr>
            <w:rStyle w:val="Hyperlink"/>
            <w:rFonts w:ascii="Times New Roman" w:hAnsi="Times New Roman"/>
            <w:b w:val="false"/>
            <w:i w:val="false"/>
            <w:color w:val="000000"/>
            <w:sz w:val="22"/>
          </w:rPr>
          <w:t>657—12.1(124B)</w:t>
        </w:r>
      </w:hyperlink>
      <w:r>
        <w:rPr>
          <w:rFonts w:ascii="Times New Roman" w:hAnsi="Times New Roman"/>
          <w:b w:val="false"/>
          <w:i w:val="false"/>
          <w:color w:val="000000"/>
          <w:sz w:val="22"/>
        </w:rPr>
        <w:t xml:space="preserve"> from a source outside the state shall obtain a permit from the board. No person or entity required to obtain a permit shall receive a precursor substance from a source outside the state until an application for permit is approved and the board has issued a permit certificate. Permits shall expire on the last day of the calendar year in which the permit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12.7(1)</w:t>
      </w:r>
      <w:r>
        <w:rPr>
          <w:rFonts w:ascii="Times New Roman" w:hAnsi="Times New Roman"/>
          <w:b w:val="false"/>
          <w:i w:val="false"/>
          <w:color w:val="000000"/>
          <w:sz w:val="22"/>
        </w:rPr>
        <w:t> </w:t>
      </w:r>
      <w:r>
        <w:rPr>
          <w:rFonts w:ascii="Times New Roman" w:hAnsi="Times New Roman"/>
          <w:b w:val="false"/>
          <w:i/>
          <w:color w:val="000000"/>
          <w:sz w:val="22"/>
        </w:rPr>
        <w:t xml:space="preserve">Applications. </w:t>
      </w:r>
      <w:r>
        <w:rPr>
          <w:rFonts w:ascii="Times New Roman" w:hAnsi="Times New Roman"/>
          <w:b w:val="false"/>
          <w:i w:val="false"/>
          <w:color w:val="000000"/>
          <w:sz w:val="22"/>
        </w:rPr>
        <w:t xml:space="preserve">An applicant shall submit a completed application and nonrefundable fee pursuant to </w:t>
      </w:r>
      <w:hyperlink r:id="rId21">
        <w:r>
          <w:rPr>
            <w:rStyle w:val="Hyperlink"/>
            <w:rFonts w:ascii="Times New Roman" w:hAnsi="Times New Roman"/>
            <w:b w:val="false"/>
            <w:i w:val="false"/>
            <w:color w:val="000000"/>
            <w:sz w:val="22"/>
          </w:rPr>
          <w:t>subrule 12.7(2)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application shall include all requested information, unless the item is not applicable, in which case that fact shall be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application, attachment, or other document filed as part of an application shall be signed by the applicant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applicant is an individual, signature shall be by that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applicant is a partnership, signature shall be by a partner.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applicant is a corporation, corporate division, association, trust, or other entity, signature shall be by the chief executive officer.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12.7(2)</w:t>
      </w:r>
      <w:r>
        <w:rPr>
          <w:rFonts w:ascii="Times New Roman" w:hAnsi="Times New Roman"/>
          <w:b w:val="false"/>
          <w:i w:val="false"/>
          <w:color w:val="000000"/>
          <w:sz w:val="22"/>
        </w:rPr>
        <w:t> </w:t>
      </w:r>
      <w:r>
        <w:rPr>
          <w:rFonts w:ascii="Times New Roman" w:hAnsi="Times New Roman"/>
          <w:b w:val="false"/>
          <w:i/>
          <w:color w:val="000000"/>
          <w:sz w:val="22"/>
        </w:rPr>
        <w:t xml:space="preserve">Initial permit, renewal, and fees. </w:t>
      </w:r>
      <w:r>
        <w:rPr>
          <w:rFonts w:ascii="Times New Roman" w:hAnsi="Times New Roman"/>
          <w:b w:val="false"/>
          <w:i w:val="false"/>
          <w:color w:val="000000"/>
          <w:sz w:val="22"/>
        </w:rPr>
        <w:t>The fee for an initial permit or permit renewal shall be paid at the time that the application for the permit or permit renewal is submitted for filing. Payment shall be made in the form of a personal, business, certified, or cashier’s check or money order made payable to the Iowa Board of Pharmacy when submitted with a written application or by acceptable debit or credit card when submitted with an online application. Payments made in the form of foreign currency or third-party endorsed checks will not be accepted.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Initial and renewal fees. </w:t>
      </w:r>
      <w:r>
        <w:rPr>
          <w:rFonts w:ascii="Times New Roman" w:hAnsi="Times New Roman"/>
          <w:b w:val="false"/>
          <w:i w:val="false"/>
          <w:color w:val="000000"/>
          <w:sz w:val="22"/>
        </w:rPr>
        <w:t>For each initial permit or timely renewed permit, an applicant shall pay a fee of $180.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Late application. </w:t>
      </w:r>
      <w:r>
        <w:rPr>
          <w:rFonts w:ascii="Times New Roman" w:hAnsi="Times New Roman"/>
          <w:b w:val="false"/>
          <w:i w:val="false"/>
          <w:color w:val="000000"/>
          <w:sz w:val="22"/>
        </w:rPr>
        <w:t>Failure to renew a permit prior to January 1 following the permit’s expiration shall require payment of the renewal fee plus a $180 late payment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Delinquent permit. </w:t>
      </w:r>
      <w:r>
        <w:rPr>
          <w:rFonts w:ascii="Times New Roman" w:hAnsi="Times New Roman"/>
          <w:b w:val="false"/>
          <w:i w:val="false"/>
          <w:color w:val="000000"/>
          <w:sz w:val="22"/>
        </w:rPr>
        <w:t xml:space="preserve">If a permit is not renewed before its expiration date, the permit is delinquent and the permit holder may not receive a precursor substance from a source outside the state until the delinquent permit is renewed. A delinquent-permit holder that continues activities for which a permit is required may be subject to disciplinary sanctions pursuant to rule </w:t>
      </w:r>
      <w:hyperlink r:id="rId22">
        <w:r>
          <w:rPr>
            <w:rStyle w:val="Hyperlink"/>
            <w:rFonts w:ascii="Times New Roman" w:hAnsi="Times New Roman"/>
            <w:b w:val="false"/>
            <w:i w:val="false"/>
            <w:color w:val="000000"/>
            <w:sz w:val="22"/>
          </w:rPr>
          <w:t>657—36.6</w:t>
        </w:r>
      </w:hyperlink>
      <w:r>
        <w:rPr>
          <w:rFonts w:ascii="Times New Roman" w:hAnsi="Times New Roman"/>
          <w:b w:val="false"/>
          <w:i w:val="false"/>
          <w:color w:val="000000"/>
          <w:sz w:val="22"/>
        </w:rPr>
        <w:t>(147,155A,272C).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12.7(3)</w:t>
      </w:r>
      <w:r>
        <w:rPr>
          <w:rFonts w:ascii="Times New Roman" w:hAnsi="Times New Roman"/>
          <w:b w:val="false"/>
          <w:i w:val="false"/>
          <w:color w:val="000000"/>
          <w:sz w:val="22"/>
        </w:rPr>
        <w:t> </w:t>
      </w:r>
      <w:r>
        <w:rPr>
          <w:rFonts w:ascii="Times New Roman" w:hAnsi="Times New Roman"/>
          <w:b w:val="false"/>
          <w:i/>
          <w:color w:val="000000"/>
          <w:sz w:val="22"/>
        </w:rPr>
        <w:t xml:space="preserve">Exemption from permit fee. </w:t>
      </w:r>
      <w:r>
        <w:rPr>
          <w:rFonts w:ascii="Times New Roman" w:hAnsi="Times New Roman"/>
          <w:b w:val="false"/>
          <w:i w:val="false"/>
          <w:color w:val="000000"/>
          <w:sz w:val="22"/>
        </w:rPr>
        <w:t>The requirement for permit fee is waived for federal, state, and local law enforcement agencies and analytical laboratories. Exemption from payment of permit fees as provided in this subrule does not relieve the agency or laboratory of any requirement to obtain a permit nor of any other requirements or duties prescribed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12.7(4)</w:t>
      </w:r>
      <w:r>
        <w:rPr>
          <w:rFonts w:ascii="Times New Roman" w:hAnsi="Times New Roman"/>
          <w:b w:val="false"/>
          <w:i w:val="false"/>
          <w:color w:val="000000"/>
          <w:sz w:val="22"/>
        </w:rPr>
        <w:t> </w:t>
      </w:r>
      <w:r>
        <w:rPr>
          <w:rFonts w:ascii="Times New Roman" w:hAnsi="Times New Roman"/>
          <w:b w:val="false"/>
          <w:i/>
          <w:color w:val="000000"/>
          <w:sz w:val="22"/>
        </w:rPr>
        <w:t xml:space="preserve">Exemption from permit. </w:t>
      </w:r>
      <w:r>
        <w:rPr>
          <w:rFonts w:ascii="Times New Roman" w:hAnsi="Times New Roman"/>
          <w:b w:val="false"/>
          <w:i w:val="false"/>
          <w:color w:val="000000"/>
          <w:sz w:val="22"/>
        </w:rPr>
        <w:t xml:space="preserve">A permit is not required for a vendor of a drug containing ephedrine, phenylpropanolamine, or pseudoephedrine or of a cosmetic that contains a precursor substance if the drug or cosmetic is lawfully sold, transferred, or furnished either over the counter without a prescription pursuant to Iowa Code chapter </w:t>
      </w:r>
      <w:hyperlink r:id="rId23">
        <w:r>
          <w:rPr>
            <w:rStyle w:val="Hyperlink"/>
            <w:rFonts w:ascii="Times New Roman" w:hAnsi="Times New Roman"/>
            <w:b w:val="false"/>
            <w:i w:val="false"/>
            <w:color w:val="000000"/>
            <w:sz w:val="22"/>
          </w:rPr>
          <w:t>126</w:t>
        </w:r>
      </w:hyperlink>
      <w:r>
        <w:rPr>
          <w:rFonts w:ascii="Times New Roman" w:hAnsi="Times New Roman"/>
          <w:b w:val="false"/>
          <w:i w:val="false"/>
          <w:color w:val="000000"/>
          <w:sz w:val="22"/>
        </w:rPr>
        <w:t xml:space="preserve"> or with a prescription pursuant to Iowa Code chapter </w:t>
      </w:r>
      <w:hyperlink r:id="rId24">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12.7(5)</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A permit issued to an individual shall terminate upon the death of the individual. A permit issued to an individual or business shall terminate when the individual or business ceases legal existence, discontinues business, or discontinues activities for which the permit was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0504C</w:t>
      </w:r>
      <w:r>
        <w:rPr>
          <w:rFonts w:ascii="Times New Roman" w:hAnsi="Times New Roman"/>
          <w:b w:val="false"/>
          <w:i w:val="false"/>
          <w:color w:val="000000"/>
          <w:sz w:val="16"/>
        </w:rPr>
        <w:t>, IAB 12/12/12, effective 1/16/13</w:t>
      </w:r>
      <w:r>
        <w:rPr>
          <w:rFonts w:ascii="Times New Roman" w:hAnsi="Times New Roman"/>
          <w:b w:val="false"/>
          <w:i w:val="false"/>
          <w:color w:val="000000"/>
          <w:sz w:val="16"/>
        </w:rPr>
        <w:t xml:space="preserve">; </w:t>
      </w:r>
      <w:r>
        <w:rPr>
          <w:rFonts w:ascii="Times New Roman" w:hAnsi="Times New Roman"/>
          <w:b/>
          <w:i w:val="false"/>
          <w:color w:val="000000"/>
          <w:sz w:val="16"/>
        </w:rPr>
        <w:t>ARC 6688C</w:t>
      </w:r>
      <w:r>
        <w:rPr>
          <w:rFonts w:ascii="Times New Roman" w:hAnsi="Times New Roman"/>
          <w:b w:val="false"/>
          <w:i w:val="false"/>
          <w:color w:val="000000"/>
          <w:sz w:val="16"/>
        </w:rPr>
        <w:t>, IAB 11/30/22, effective 1/4/23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657—12.8</w:t>
      </w:r>
      <w:r>
        <w:rPr>
          <w:rFonts w:ascii="Times New Roman" w:hAnsi="Times New Roman"/>
          <w:b/>
          <w:i w:val="false"/>
          <w:color w:val="000000"/>
          <w:sz w:val="22"/>
        </w:rPr>
        <w:t xml:space="preserve">(124B) </w:t>
      </w:r>
      <w:r>
        <w:rPr>
          <w:rFonts w:ascii="Times New Roman" w:hAnsi="Times New Roman"/>
          <w:b/>
          <w:i w:val="false"/>
          <w:color w:val="000000"/>
          <w:sz w:val="22"/>
        </w:rPr>
        <w:t xml:space="preserve">Denial, modification, suspension, or revocation of permit. </w:t>
      </w:r>
      <w:r>
        <w:rPr>
          <w:rFonts w:ascii="Times New Roman" w:hAnsi="Times New Roman"/>
          <w:b w:val="false"/>
          <w:i w:val="false"/>
          <w:color w:val="000000"/>
          <w:sz w:val="22"/>
        </w:rPr>
        <w:t xml:space="preserve">Pursuant to </w:t>
      </w:r>
      <w:hyperlink r:id="rId25">
        <w:r>
          <w:rPr>
            <w:rStyle w:val="Hyperlink"/>
            <w:rFonts w:ascii="Times New Roman" w:hAnsi="Times New Roman"/>
            <w:b w:val="false"/>
            <w:i w:val="false"/>
            <w:color w:val="000000"/>
            <w:sz w:val="22"/>
          </w:rPr>
          <w:t>657—Chapters 35</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36</w:t>
        </w:r>
      </w:hyperlink>
      <w:r>
        <w:rPr>
          <w:rFonts w:ascii="Times New Roman" w:hAnsi="Times New Roman"/>
          <w:b w:val="false"/>
          <w:i w:val="false"/>
          <w:color w:val="000000"/>
          <w:sz w:val="22"/>
        </w:rPr>
        <w:t xml:space="preserve">, the board may deny, suspend, revoke, or modify any permit for any period of time it determines to be justified upon the facts of the case for any violation of this chapter or Iowa Code chapter </w:t>
      </w:r>
      <w:hyperlink r:id="rId27">
        <w:r>
          <w:rPr>
            <w:rStyle w:val="Hyperlink"/>
            <w:rFonts w:ascii="Times New Roman" w:hAnsi="Times New Roman"/>
            <w:b w:val="false"/>
            <w:i w:val="false"/>
            <w:color w:val="000000"/>
            <w:sz w:val="22"/>
          </w:rPr>
          <w:t>124B</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28">
        <w:r>
          <w:rPr>
            <w:rStyle w:val="Hyperlink"/>
            <w:rFonts w:ascii="Times New Roman" w:hAnsi="Times New Roman"/>
            <w:b w:val="false"/>
            <w:i w:val="false"/>
            <w:color w:val="000000"/>
            <w:sz w:val="22"/>
          </w:rPr>
          <w:t>124B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2/1/91, Notice 11/14/90—published 2/20/91, effective 3/27/91]</w:t>
      </w:r>
    </w:p>
    <w:p>
      <w:pPr>
        <w:spacing w:before="0" w:after="0"/>
        <w:ind w:left="120"/>
        <w:jc w:val="center"/>
      </w:pPr>
      <w:r>
        <w:rPr>
          <w:rFonts w:ascii="Times New Roman" w:hAnsi="Times New Roman"/>
          <w:b w:val="false"/>
          <w:i w:val="false"/>
          <w:color w:val="000000"/>
          <w:sz w:val="21"/>
        </w:rPr>
        <w:t>[Filed emergency 10/6/99—published 11/3/99, effective 10/11/99]</w:t>
      </w:r>
    </w:p>
    <w:p>
      <w:pPr>
        <w:spacing w:before="0" w:after="0"/>
        <w:ind w:left="120"/>
        <w:jc w:val="center"/>
      </w:pPr>
      <w:r>
        <w:rPr>
          <w:rFonts w:ascii="Times New Roman" w:hAnsi="Times New Roman"/>
          <w:b w:val="false"/>
          <w:i w:val="false"/>
          <w:color w:val="000000"/>
          <w:sz w:val="21"/>
        </w:rPr>
        <w:t>[Filed 10/24/02, Notice 7/24/02—published 11/13/02, effective 12/18/02]</w:t>
      </w:r>
    </w:p>
    <w:p>
      <w:pPr>
        <w:spacing w:before="0" w:after="0"/>
        <w:ind w:left="120"/>
        <w:jc w:val="center"/>
      </w:pPr>
      <w:r>
        <w:rPr>
          <w:rFonts w:ascii="Times New Roman" w:hAnsi="Times New Roman"/>
          <w:b w:val="false"/>
          <w:i w:val="false"/>
          <w:color w:val="000000"/>
          <w:sz w:val="21"/>
        </w:rPr>
        <w:t>[Filed emergency 7/16/04 after Notice 6/9/04—published 8/4/04, effective 7/16/04]</w:t>
      </w:r>
    </w:p>
    <w:p>
      <w:pPr>
        <w:spacing w:before="0" w:after="0"/>
        <w:ind w:left="120"/>
        <w:jc w:val="center"/>
      </w:pPr>
      <w:r>
        <w:rPr>
          <w:rFonts w:ascii="Times New Roman" w:hAnsi="Times New Roman"/>
          <w:b w:val="false"/>
          <w:i w:val="false"/>
          <w:color w:val="000000"/>
          <w:sz w:val="21"/>
        </w:rPr>
        <w:t>[Filed emergency 6/30/05 after Notice 5/11/05—published 7/20/05, effective 7/1/05]</w:t>
      </w:r>
    </w:p>
    <w:p>
      <w:pPr>
        <w:spacing w:before="0" w:after="0"/>
        <w:ind w:left="120"/>
        <w:jc w:val="center"/>
      </w:pPr>
      <w:r>
        <w:rPr>
          <w:rFonts w:ascii="Times New Roman" w:hAnsi="Times New Roman"/>
          <w:b w:val="false"/>
          <w:i w:val="false"/>
          <w:color w:val="000000"/>
          <w:sz w:val="21"/>
        </w:rPr>
        <w:t>[Filed 5/17/06, Notice 4/12/06—published 6/7/06, effective 7/12/06]</w:t>
      </w:r>
    </w:p>
    <w:p>
      <w:pPr>
        <w:spacing w:before="0" w:after="0"/>
        <w:ind w:left="120"/>
        <w:jc w:val="center"/>
      </w:pPr>
      <w:r>
        <w:rPr>
          <w:rFonts w:ascii="Times New Roman" w:hAnsi="Times New Roman"/>
          <w:b w:val="false"/>
          <w:i w:val="false"/>
          <w:color w:val="000000"/>
          <w:sz w:val="21"/>
        </w:rPr>
        <w:t>[Filed emergency 11/13/07 after Notice 8/29/07—published 12/5/07, effective 11/13/07]</w:t>
      </w:r>
    </w:p>
    <w:p>
      <w:pPr>
        <w:spacing w:before="0" w:after="0"/>
        <w:ind w:left="120"/>
        <w:jc w:val="center"/>
      </w:pPr>
      <w:r>
        <w:rPr>
          <w:rFonts w:ascii="Times New Roman" w:hAnsi="Times New Roman"/>
          <w:b w:val="false"/>
          <w:i w:val="false"/>
          <w:color w:val="000000"/>
          <w:sz w:val="21"/>
        </w:rPr>
        <w:t>[Filed ARC 0504C</w:t>
      </w:r>
      <w:r>
        <w:rPr>
          <w:rFonts w:ascii="Times New Roman" w:hAnsi="Times New Roman"/>
          <w:b w:val="false"/>
          <w:i w:val="false"/>
          <w:color w:val="000000"/>
          <w:sz w:val="21"/>
        </w:rPr>
        <w:t xml:space="preserve"> (Notice ARC 0351C, IAB 10/3/12)</w:t>
      </w:r>
      <w:r>
        <w:rPr>
          <w:rFonts w:ascii="Times New Roman" w:hAnsi="Times New Roman"/>
          <w:b w:val="false"/>
          <w:i w:val="false"/>
          <w:color w:val="000000"/>
          <w:sz w:val="21"/>
        </w:rPr>
        <w:t>, IAB 12/12/12, effective 1/16/13]</w:t>
      </w:r>
    </w:p>
    <w:p>
      <w:pPr>
        <w:spacing w:before="0" w:after="0"/>
        <w:ind w:left="120"/>
        <w:jc w:val="center"/>
      </w:pPr>
      <w:r>
        <w:rPr>
          <w:rFonts w:ascii="Times New Roman" w:hAnsi="Times New Roman"/>
          <w:b w:val="false"/>
          <w:i w:val="false"/>
          <w:color w:val="000000"/>
          <w:sz w:val="21"/>
        </w:rPr>
        <w:t>[Filed ARC 5346C</w:t>
      </w:r>
      <w:r>
        <w:rPr>
          <w:rFonts w:ascii="Times New Roman" w:hAnsi="Times New Roman"/>
          <w:b w:val="false"/>
          <w:i w:val="false"/>
          <w:color w:val="000000"/>
          <w:sz w:val="21"/>
        </w:rPr>
        <w:t xml:space="preserve"> (Notice ARC 5155C, IAB 8/26/20)</w:t>
      </w:r>
      <w:r>
        <w:rPr>
          <w:rFonts w:ascii="Times New Roman" w:hAnsi="Times New Roman"/>
          <w:b w:val="false"/>
          <w:i w:val="false"/>
          <w:color w:val="000000"/>
          <w:sz w:val="21"/>
        </w:rPr>
        <w:t>, IAB 12/30/20, effective 2/3/21]</w:t>
      </w:r>
    </w:p>
    <w:p>
      <w:pPr>
        <w:spacing w:before="0" w:after="0"/>
        <w:ind w:left="120"/>
        <w:jc w:val="center"/>
      </w:pPr>
      <w:r>
        <w:rPr>
          <w:rFonts w:ascii="Times New Roman" w:hAnsi="Times New Roman"/>
          <w:b w:val="false"/>
          <w:i w:val="false"/>
          <w:color w:val="000000"/>
          <w:sz w:val="21"/>
        </w:rPr>
        <w:t>[Filed ARC 6074C</w:t>
      </w:r>
      <w:r>
        <w:rPr>
          <w:rFonts w:ascii="Times New Roman" w:hAnsi="Times New Roman"/>
          <w:b w:val="false"/>
          <w:i w:val="false"/>
          <w:color w:val="000000"/>
          <w:sz w:val="21"/>
        </w:rPr>
        <w:t xml:space="preserve"> (Notice ARC 5837C, IAB 8/11/21)</w:t>
      </w:r>
      <w:r>
        <w:rPr>
          <w:rFonts w:ascii="Times New Roman" w:hAnsi="Times New Roman"/>
          <w:b w:val="false"/>
          <w:i w:val="false"/>
          <w:color w:val="000000"/>
          <w:sz w:val="21"/>
        </w:rPr>
        <w:t>, IAB 12/15/21, effective 1/19/22]</w:t>
      </w:r>
    </w:p>
    <w:p>
      <w:pPr>
        <w:spacing w:before="0" w:after="0"/>
        <w:ind w:left="120"/>
        <w:jc w:val="center"/>
      </w:pPr>
      <w:r>
        <w:rPr>
          <w:rFonts w:ascii="Times New Roman" w:hAnsi="Times New Roman"/>
          <w:b w:val="false"/>
          <w:i w:val="false"/>
          <w:color w:val="000000"/>
          <w:sz w:val="21"/>
        </w:rPr>
        <w:t>[Filed ARC 6418C</w:t>
      </w:r>
      <w:r>
        <w:rPr>
          <w:rFonts w:ascii="Times New Roman" w:hAnsi="Times New Roman"/>
          <w:b w:val="false"/>
          <w:i w:val="false"/>
          <w:color w:val="000000"/>
          <w:sz w:val="21"/>
        </w:rPr>
        <w:t xml:space="preserve"> (Notice ARC 6280C, IAB 4/6/22)</w:t>
      </w:r>
      <w:r>
        <w:rPr>
          <w:rFonts w:ascii="Times New Roman" w:hAnsi="Times New Roman"/>
          <w:b w:val="false"/>
          <w:i w:val="false"/>
          <w:color w:val="000000"/>
          <w:sz w:val="21"/>
        </w:rPr>
        <w:t>, IAB 7/27/22, effective 8/31/22]</w:t>
      </w:r>
    </w:p>
    <w:p>
      <w:pPr>
        <w:spacing w:before="0" w:after="0"/>
        <w:ind w:left="120"/>
        <w:jc w:val="center"/>
      </w:pPr>
      <w:r>
        <w:rPr>
          <w:rFonts w:ascii="Times New Roman" w:hAnsi="Times New Roman"/>
          <w:b w:val="false"/>
          <w:i w:val="false"/>
          <w:color w:val="000000"/>
          <w:sz w:val="21"/>
        </w:rPr>
        <w:t>[Filed ARC 6688C</w:t>
      </w:r>
      <w:r>
        <w:rPr>
          <w:rFonts w:ascii="Times New Roman" w:hAnsi="Times New Roman"/>
          <w:b w:val="false"/>
          <w:i w:val="false"/>
          <w:color w:val="000000"/>
          <w:sz w:val="21"/>
        </w:rPr>
        <w:t xml:space="preserve"> (Notice ARC 6424C, IAB 7/27/22)</w:t>
      </w:r>
      <w:r>
        <w:rPr>
          <w:rFonts w:ascii="Times New Roman" w:hAnsi="Times New Roman"/>
          <w:b w:val="false"/>
          <w:i w:val="false"/>
          <w:color w:val="000000"/>
          <w:sz w:val="21"/>
        </w:rPr>
        <w:t>, IAB 11/30/22, effective 1/4/23]</w:t>
      </w:r>
    </w:p>
    <w:p>
      <w:pPr>
        <w:spacing w:before="0" w:after="0"/>
        <w:ind w:left="120"/>
        <w:jc w:val="center"/>
      </w:pPr>
      <w:r>
        <w:rPr>
          <w:rFonts w:ascii="Times New Roman" w:hAnsi="Times New Roman"/>
          <w:b w:val="false"/>
          <w:i w:val="false"/>
          <w:color w:val="000000"/>
          <w:sz w:val="21"/>
        </w:rPr>
        <w:t>[Filed ARC 7026C</w:t>
      </w:r>
      <w:r>
        <w:rPr>
          <w:rFonts w:ascii="Times New Roman" w:hAnsi="Times New Roman"/>
          <w:b w:val="false"/>
          <w:i w:val="false"/>
          <w:color w:val="000000"/>
          <w:sz w:val="21"/>
        </w:rPr>
        <w:t xml:space="preserve"> (Notice ARC 6874C, IAB 2/8/23)</w:t>
      </w:r>
      <w:r>
        <w:rPr>
          <w:rFonts w:ascii="Times New Roman" w:hAnsi="Times New Roman"/>
          <w:b w:val="false"/>
          <w:i w:val="false"/>
          <w:color w:val="000000"/>
          <w:sz w:val="21"/>
        </w:rPr>
        <w:t>, IAB 5/31/23, effective 7/5/23]</w:t>
      </w:r>
    </w:p>
    <w:p>
      <w:pPr>
        <w:spacing w:before="0" w:after="0"/>
        <w:ind w:left="120"/>
        <w:jc w:val="center"/>
      </w:pPr>
      <w:r>
        <w:rPr>
          <w:rFonts w:ascii="Times New Roman" w:hAnsi="Times New Roman"/>
          <w:b w:val="false"/>
          <w:i w:val="false"/>
          <w:color w:val="000000"/>
          <w:sz w:val="21"/>
        </w:rPr>
        <w:t>[Filed ARC 7128C</w:t>
      </w:r>
      <w:r>
        <w:rPr>
          <w:rFonts w:ascii="Times New Roman" w:hAnsi="Times New Roman"/>
          <w:b w:val="false"/>
          <w:i w:val="false"/>
          <w:color w:val="000000"/>
          <w:sz w:val="21"/>
        </w:rPr>
        <w:t xml:space="preserve"> (Notice ARC 7048C, IAB 7/26/23)</w:t>
      </w:r>
      <w:r>
        <w:rPr>
          <w:rFonts w:ascii="Times New Roman" w:hAnsi="Times New Roman"/>
          <w:b w:val="false"/>
          <w:i w:val="false"/>
          <w:color w:val="000000"/>
          <w:sz w:val="21"/>
        </w:rPr>
        <w:t>, IAB 12/13/23, effective 1/17/24]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4B.2.pdf" Type="http://schemas.openxmlformats.org/officeDocument/2006/relationships/hyperlink" Id="rId5"/>
    <Relationship TargetMode="External" Target="https://www.legis.iowa.gov/docs/ico/chapter/124B.2.pdf" Type="http://schemas.openxmlformats.org/officeDocument/2006/relationships/hyperlink" Id="rId6"/>
    <Relationship TargetMode="External" Target="https://www.legis.iowa.gov/docs/iac/rule/657.12.4.pdf" Type="http://schemas.openxmlformats.org/officeDocument/2006/relationships/hyperlink" Id="rId7"/>
    <Relationship TargetMode="External" Target="https://www.legis.iowa.gov/docs/iac/rule/657.12.5.pdf" Type="http://schemas.openxmlformats.org/officeDocument/2006/relationships/hyperlink" Id="rId8"/>
    <Relationship TargetMode="External" Target="https://www.legis.iowa.gov/docs/iac/rule/657.12.4.pdf" Type="http://schemas.openxmlformats.org/officeDocument/2006/relationships/hyperlink" Id="rId9"/>
    <Relationship TargetMode="External" Target="https://www.legis.iowa.gov/docs/ico/chapter/124B.pdf" Type="http://schemas.openxmlformats.org/officeDocument/2006/relationships/hyperlink" Id="rId10"/>
    <Relationship TargetMode="External" Target="https://www.legis.iowa.gov/docs/iac/rule/657.12.2.pdf" Type="http://schemas.openxmlformats.org/officeDocument/2006/relationships/hyperlink" Id="rId11"/>
    <Relationship TargetMode="External" Target="https://www.legis.iowa.gov/docs/iac/rule/657.12.2.pdf" Type="http://schemas.openxmlformats.org/officeDocument/2006/relationships/hyperlink" Id="rId12"/>
    <Relationship TargetMode="External" Target="https://www.legis.iowa.gov/docs/iac/rule/657.12.3.pdf" Type="http://schemas.openxmlformats.org/officeDocument/2006/relationships/hyperlink" Id="rId13"/>
    <Relationship TargetMode="External" Target="https://www.legis.iowa.gov/docs/iac/rule/657.12.3.pdf" Type="http://schemas.openxmlformats.org/officeDocument/2006/relationships/hyperlink" Id="rId14"/>
    <Relationship TargetMode="External" Target="https://www.legis.iowa.gov/docs/iac/rule/657.12.6.pdf" Type="http://schemas.openxmlformats.org/officeDocument/2006/relationships/hyperlink" Id="rId15"/>
    <Relationship TargetMode="External" Target="https://www.legis.iowa.gov/docs/ico/chapter/155A.pdf" Type="http://schemas.openxmlformats.org/officeDocument/2006/relationships/hyperlink" Id="rId16"/>
    <Relationship TargetMode="External" Target="https://www.legis.iowa.gov/docs/ico/chapter/155A.3.pdf" Type="http://schemas.openxmlformats.org/officeDocument/2006/relationships/hyperlink" Id="rId17"/>
    <Relationship TargetMode="External" Target="https://www.legis.iowa.gov/docs/ico/chapter/126.pdf" Type="http://schemas.openxmlformats.org/officeDocument/2006/relationships/hyperlink" Id="rId18"/>
    <Relationship TargetMode="External" Target="https://www.legis.iowa.gov/docs/iac/rule/657.12.1.pdf" Type="http://schemas.openxmlformats.org/officeDocument/2006/relationships/hyperlink" Id="rId19"/>
    <Relationship TargetMode="External" Target="https://www.legis.iowa.gov/docs/iac/rule/657.12.1.pdf" Type="http://schemas.openxmlformats.org/officeDocument/2006/relationships/hyperlink" Id="rId20"/>
    <Relationship TargetMode="External" Target="https://www.legis.iowa.gov/docs/iac/rule/657.12.7.pdf" Type="http://schemas.openxmlformats.org/officeDocument/2006/relationships/hyperlink" Id="rId21"/>
    <Relationship TargetMode="External" Target="https://www.legis.iowa.gov/docs/iac/rule/657.36.6.pdf" Type="http://schemas.openxmlformats.org/officeDocument/2006/relationships/hyperlink" Id="rId22"/>
    <Relationship TargetMode="External" Target="https://www.legis.iowa.gov/docs/ico/chapter/126.pdf" Type="http://schemas.openxmlformats.org/officeDocument/2006/relationships/hyperlink" Id="rId23"/>
    <Relationship TargetMode="External" Target="https://www.legis.iowa.gov/docs/ico/chapter/155A.pdf" Type="http://schemas.openxmlformats.org/officeDocument/2006/relationships/hyperlink" Id="rId24"/>
    <Relationship TargetMode="External" Target="https://www.legis.iowa.gov/docs/iac/chapter/657.35.pdf" Type="http://schemas.openxmlformats.org/officeDocument/2006/relationships/hyperlink" Id="rId25"/>
    <Relationship TargetMode="External" Target="https://www.legis.iowa.gov/docs/iac/chapter/657.36.pdf" Type="http://schemas.openxmlformats.org/officeDocument/2006/relationships/hyperlink" Id="rId26"/>
    <Relationship TargetMode="External" Target="https://www.legis.iowa.gov/docs/ico/chapter/124B.pdf" Type="http://schemas.openxmlformats.org/officeDocument/2006/relationships/hyperlink" Id="rId27"/>
    <Relationship TargetMode="External" Target="https://www.legis.iowa.gov/docs/ico/chapter/124B.pdf" Type="http://schemas.openxmlformats.org/officeDocument/2006/relationships/hyperlink"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