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IOWA REAL-TIME ELECTRONIC PSEUDOEPHEDRINE</w:t>
      </w:r>
      <w:r>
        <w:br/>
      </w:r>
      <w:r>
        <w:rPr>
          <w:rFonts w:ascii="Times New Roman" w:hAnsi="Times New Roman"/>
          <w:b w:val="false"/>
          <w:i w:val="false"/>
          <w:color w:val="000000"/>
          <w:sz w:val="21"/>
        </w:rPr>
        <w:t>TRACKING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657—100.1</w:t>
      </w:r>
      <w:r>
        <w:rPr>
          <w:rFonts w:ascii="Times New Roman" w:hAnsi="Times New Roman"/>
          <w:b/>
          <w:i w:val="false"/>
          <w:color w:val="000000"/>
          <w:sz w:val="22"/>
        </w:rPr>
        <w:t xml:space="preserve">(124)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124.212B</w:t>
        </w:r>
      </w:hyperlink>
      <w:r>
        <w:rPr>
          <w:rFonts w:ascii="Times New Roman" w:hAnsi="Times New Roman"/>
          <w:b w:val="false"/>
          <w:i w:val="false"/>
          <w:color w:val="000000"/>
          <w:sz w:val="22"/>
        </w:rPr>
        <w:t xml:space="preserve"> directs the governor’s office of drug control policy to establish a real-time electronic repository to monitor and control the sale of Schedule V products that are not listed in another controlled substance schedule and that contain any detectible amount of pseudoephedrine, its salts, or optical isomers, or salts of optical isomers; ephedrine; or phenylpropanolamine. All pharmacies dispensing such products without a prescription shall electronically report all such sales to the repository. The real-time electronic repository shall be under the control of and administered by the governor’s office of drug control policy. Both the governor’s office of drug control policy and the board of pharmacy are directed to adopt rules relating to the real-time electronic repository and have jointly adopted these rules. These rules establish the pseudoephedrine tracking system (PTS).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8893B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3100C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657—100.2</w:t>
      </w:r>
      <w:r>
        <w:rPr>
          <w:rFonts w:ascii="Times New Roman" w:hAnsi="Times New Roman"/>
          <w:b/>
          <w:i w:val="false"/>
          <w:color w:val="000000"/>
          <w:sz w:val="22"/>
        </w:rPr>
        <w:t xml:space="preserve">(124)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“Attempted purchase” </w:t>
      </w:r>
      <w:r>
        <w:rPr>
          <w:rFonts w:ascii="Times New Roman" w:hAnsi="Times New Roman"/>
          <w:b w:val="false"/>
          <w:i w:val="false"/>
          <w:color w:val="000000"/>
          <w:sz w:val="22"/>
        </w:rPr>
        <w:t xml:space="preserve">means a proposed transaction for the dispensing of a product that is entered by a dispenser into the electronic pseudoephedrine tracking system, which transaction is not completed because the system recommends that the transaction be denied pursuant to the quantity limits established in Iowa Code section </w:t>
      </w:r>
      <w:hyperlink r:id="rId6">
        <w:r>
          <w:rPr>
            <w:rStyle w:val="Hyperlink"/>
            <w:rFonts w:ascii="Times New Roman" w:hAnsi="Times New Roman"/>
            <w:b w:val="false"/>
            <w:i w:val="false"/>
            <w:color w:val="000000"/>
            <w:sz w:val="22"/>
          </w:rPr>
          <w:t>124.213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“Dispenser” </w:t>
      </w:r>
      <w:r>
        <w:rPr>
          <w:rFonts w:ascii="Times New Roman" w:hAnsi="Times New Roman"/>
          <w:b w:val="false"/>
          <w:i w:val="false"/>
          <w:color w:val="000000"/>
          <w:sz w:val="22"/>
        </w:rPr>
        <w:t>means a licensed Iowa pharmacist, a registered pharmacist-intern under the direct supervision of a pharmacist preceptor, a registered pharmacy technician under the direct supervision of a pharmacist, except as authorized in 657—Chapter 13, or a registered pharmacy support person under the direct supervision of a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officer”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police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City or county police officer.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Sheriff or deputy sheriff.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or public university safety and security officer.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Department of natural resources officer.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Certified or full-time peace officer of this or another state.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Federal peace officer.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Criminal analyst assigned to a law enforcement agency.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Probation or parole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means the governor’s office of drug control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w:t>
      </w:r>
      <w:r>
        <w:rPr>
          <w:rFonts w:ascii="Times New Roman" w:hAnsi="Times New Roman"/>
          <w:b w:val="false"/>
          <w:i w:val="false"/>
          <w:color w:val="000000"/>
          <w:sz w:val="22"/>
        </w:rPr>
        <w:t>means a Schedule V drug product that is not listed in another controlled substance schedule and that contains any detectible amount of pseudoephedrine, its salts, or optical isomers, or salts of optical isomers; ephedrine; or phenylpropanolamine.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“Pseudoephedrine tracking system” </w:t>
      </w:r>
      <w:r>
        <w:rPr>
          <w:rFonts w:ascii="Times New Roman" w:hAnsi="Times New Roman"/>
          <w:b w:val="false"/>
          <w:i w:val="false"/>
          <w:color w:val="000000"/>
          <w:sz w:val="22"/>
        </w:rPr>
        <w:t xml:space="preserve">or </w:t>
      </w:r>
      <w:r>
        <w:rPr>
          <w:rFonts w:ascii="Times New Roman" w:hAnsi="Times New Roman"/>
          <w:b w:val="false"/>
          <w:i/>
          <w:color w:val="000000"/>
          <w:sz w:val="22"/>
        </w:rPr>
        <w:t>“PTS”</w:t>
      </w:r>
      <w:r>
        <w:rPr>
          <w:rFonts w:ascii="Times New Roman" w:hAnsi="Times New Roman"/>
          <w:b w:val="false"/>
          <w:i w:val="false"/>
          <w:color w:val="000000"/>
          <w:sz w:val="22"/>
        </w:rPr>
        <w:t xml:space="preserve"> means the real-time electronic repository established to monitor and control the sale of products and administered by the governor’s office of drug control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“Purchaser” </w:t>
      </w:r>
      <w:r>
        <w:rPr>
          <w:rFonts w:ascii="Times New Roman" w:hAnsi="Times New Roman"/>
          <w:b w:val="false"/>
          <w:i w:val="false"/>
          <w:color w:val="000000"/>
          <w:sz w:val="22"/>
        </w:rPr>
        <w:t>means an individual 18 years of age or older who purchases or attempts to purchase a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8893B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0153C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i w:val="false"/>
          <w:color w:val="000000"/>
          <w:sz w:val="16"/>
        </w:rPr>
        <w:t>ARC 3100C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4701C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657—100.3</w:t>
      </w:r>
      <w:r>
        <w:rPr>
          <w:rFonts w:ascii="Times New Roman" w:hAnsi="Times New Roman"/>
          <w:b/>
          <w:i w:val="false"/>
          <w:color w:val="000000"/>
          <w:sz w:val="22"/>
        </w:rPr>
        <w:t xml:space="preserve">(124) </w:t>
      </w:r>
      <w:r>
        <w:rPr>
          <w:rFonts w:ascii="Times New Roman" w:hAnsi="Times New Roman"/>
          <w:b/>
          <w:i w:val="false"/>
          <w:color w:val="000000"/>
          <w:sz w:val="22"/>
        </w:rPr>
        <w:t xml:space="preserve">Electronic pseudoephedrine tracking system (PTS). </w:t>
      </w:r>
      <w:r>
        <w:rPr>
          <w:rFonts w:ascii="Times New Roman" w:hAnsi="Times New Roman"/>
          <w:b w:val="false"/>
          <w:i w:val="false"/>
          <w:color w:val="000000"/>
          <w:sz w:val="22"/>
        </w:rPr>
        <w:t xml:space="preserve">Unless granted an exemption by the office pursuant to these rules, all pharmacies dispensing products as defined in rule </w:t>
      </w:r>
      <w:hyperlink r:id="rId7">
        <w:r>
          <w:rPr>
            <w:rStyle w:val="Hyperlink"/>
            <w:rFonts w:ascii="Times New Roman" w:hAnsi="Times New Roman"/>
            <w:b w:val="false"/>
            <w:i w:val="false"/>
            <w:color w:val="000000"/>
            <w:sz w:val="22"/>
          </w:rPr>
          <w:t>657—100.2</w:t>
        </w:r>
      </w:hyperlink>
      <w:r>
        <w:rPr>
          <w:rFonts w:ascii="Times New Roman" w:hAnsi="Times New Roman"/>
          <w:b w:val="false"/>
          <w:i w:val="false"/>
          <w:color w:val="000000"/>
          <w:sz w:val="22"/>
        </w:rPr>
        <w:t xml:space="preserve">(124) without a prescription are required to participate in the PTS pursuant to Iowa Code section </w:t>
      </w:r>
      <w:hyperlink r:id="rId8">
        <w:r>
          <w:rPr>
            <w:rStyle w:val="Hyperlink"/>
            <w:rFonts w:ascii="Times New Roman" w:hAnsi="Times New Roman"/>
            <w:b w:val="false"/>
            <w:i w:val="false"/>
            <w:color w:val="000000"/>
            <w:sz w:val="22"/>
          </w:rPr>
          <w:t>124.212B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Reporting elements. </w:t>
      </w:r>
      <w:r>
        <w:rPr>
          <w:rFonts w:ascii="Times New Roman" w:hAnsi="Times New Roman"/>
          <w:b w:val="false"/>
          <w:i w:val="false"/>
          <w:color w:val="000000"/>
          <w:sz w:val="22"/>
        </w:rPr>
        <w:t>The record of a completed purchase or attempted purchase of a product without a prescription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current government-issued photo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electronic signature of the purchaser. If a pharmacy is not able to secure or record an electronic signature, a hard-copy signature logbook shall be utilized and maintained by the pharmacy. Each record in the logbook shall include the purchaser’s signature and shall identify the purchase by transaction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and time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quantity of the product purchased, including the total milligrams of ephedrine, pseudoephedrine, or phenylpropanolamine contained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or unique identification of the dispenser who approved the dispensing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Frequency and quantity. </w:t>
      </w:r>
      <w:r>
        <w:rPr>
          <w:rFonts w:ascii="Times New Roman" w:hAnsi="Times New Roman"/>
          <w:b w:val="false"/>
          <w:i w:val="false"/>
          <w:color w:val="000000"/>
          <w:sz w:val="22"/>
        </w:rPr>
        <w:t>Dispensing at retail to the same purchaser within any 30-day period shall be limited to products collectively containing no more than 7,500 mg of ephedrine, pseudoephedrine, or phenylpropanolamine; dispensing at retail to the same purchaser within a single calendar day shall not exceed 3,600 mg.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Denial of transactions and overrides.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individual attempts to purchase a product in violation of these rules, the PTS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dispenser at the time of sale;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that the dispenser deny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PTS shall provide an override feature for use by a dispenser to allow completion of the sale. A dispenser utilizing the override feature shall document the reason that, in the professional judgment of the dispenser, it is necessary to override the recommendation of the PTS to deny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electronic PTS. </w:t>
      </w:r>
      <w:r>
        <w:rPr>
          <w:rFonts w:ascii="Times New Roman" w:hAnsi="Times New Roman"/>
          <w:b w:val="false"/>
          <w:i w:val="false"/>
          <w:color w:val="000000"/>
          <w:sz w:val="22"/>
        </w:rPr>
        <w:t xml:space="preserve">If the electronic PTS is unavailable for use, the dispenser shall maintain a written record of each transaction pursuant to 657—subrule </w:t>
      </w:r>
      <w:hyperlink r:id="rId9">
        <w:r>
          <w:rPr>
            <w:rStyle w:val="Hyperlink"/>
            <w:rFonts w:ascii="Times New Roman" w:hAnsi="Times New Roman"/>
            <w:b w:val="false"/>
            <w:i w:val="false"/>
            <w:color w:val="000000"/>
            <w:sz w:val="22"/>
          </w:rPr>
          <w:t>10.34(6)</w:t>
        </w:r>
      </w:hyperlink>
      <w:r>
        <w:rPr>
          <w:rFonts w:ascii="Times New Roman" w:hAnsi="Times New Roman"/>
          <w:b w:val="false"/>
          <w:i w:val="false"/>
          <w:color w:val="000000"/>
          <w:sz w:val="22"/>
        </w:rPr>
        <w:t>. The dispenser shall enter the information from the written record into the PTS within 72 hours of the time the PTS is again available and shall include in the electronic record that the record is a delayed entry.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8893B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0153C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i w:val="false"/>
          <w:color w:val="000000"/>
          <w:sz w:val="16"/>
        </w:rPr>
        <w:t>ARC 3100C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4701C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657—100.4</w:t>
      </w:r>
      <w:r>
        <w:rPr>
          <w:rFonts w:ascii="Times New Roman" w:hAnsi="Times New Roman"/>
          <w:b/>
          <w:i w:val="false"/>
          <w:color w:val="000000"/>
          <w:sz w:val="22"/>
        </w:rPr>
        <w:t xml:space="preserve">(124) </w:t>
      </w:r>
      <w:r>
        <w:rPr>
          <w:rFonts w:ascii="Times New Roman" w:hAnsi="Times New Roman"/>
          <w:b/>
          <w:i w:val="false"/>
          <w:color w:val="000000"/>
          <w:sz w:val="22"/>
        </w:rPr>
        <w:t xml:space="preserve">Access to database information and confidentiality. </w:t>
      </w:r>
      <w:r>
        <w:rPr>
          <w:rFonts w:ascii="Times New Roman" w:hAnsi="Times New Roman"/>
          <w:b w:val="false"/>
          <w:i w:val="false"/>
          <w:color w:val="000000"/>
          <w:sz w:val="22"/>
        </w:rPr>
        <w:t>Information collected in the PTS is confidential unless otherwise ordered by a court or released by the office pursuant to state or federal law. Information may not be released except as provided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color w:val="000000"/>
          <w:sz w:val="22"/>
        </w:rPr>
        <w:t xml:space="preserve">PTS administrators. </w:t>
      </w:r>
      <w:r>
        <w:rPr>
          <w:rFonts w:ascii="Times New Roman" w:hAnsi="Times New Roman"/>
          <w:b w:val="false"/>
          <w:i w:val="false"/>
          <w:color w:val="000000"/>
          <w:sz w:val="22"/>
        </w:rPr>
        <w:t xml:space="preserve">PTS administrators shall be provided access to the PTS for the purpose of searching and retrieving reports only by articulating reasonable suspicion or providing a case number or reference number for an ongoing investigation. PTS administrators shall also be provided information on purchasers directly from the PTS. This information may be sent directly to law enforcement officers pursuant to paragraph </w:t>
      </w:r>
      <w:hyperlink r:id="rId10">
        <w:r>
          <w:rPr>
            <w:rStyle w:val="Hyperlink"/>
            <w:rFonts w:ascii="Times New Roman" w:hAnsi="Times New Roman"/>
            <w:b w:val="false"/>
            <w:i w:val="false"/>
            <w:color w:val="000000"/>
            <w:sz w:val="22"/>
          </w:rPr>
          <w:t>100.4(2)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purposes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release. </w:t>
      </w:r>
      <w:r>
        <w:rPr>
          <w:rFonts w:ascii="Times New Roman" w:hAnsi="Times New Roman"/>
          <w:b w:val="false"/>
          <w:i w:val="false"/>
          <w:color w:val="000000"/>
          <w:sz w:val="22"/>
        </w:rPr>
        <w:t>PTS reports may be provided to a law enforcement officer pursuant to rule 657—100.4(124).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officer shall register with the PTS prior to requesting reports. To ensure the identity of the officer and to maintain confidentiality of PTS information, the officer’s identity shall be verified and registration shall be approved by the office or the administrator for the officer’s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Law enforcement officers shall be given direct access to all data from the PTS pursuant to the federal Combat Methamphetamine Epidemic Act and 21 CFR § 1314.45.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law enforcement officer requests PTS information directly from the PTS, the law enforcement officer shall enter the purpose of the request into the PTS and shall certify the request is part of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The PTS administrator, following establishment of confidentiality, may provide summary, statistical, or aggregate data to public or private entities for statistical, research, or educational purposes. Prior to release of any such data, the administrator shall remove any information that could be used to identify an individual patient, dispenser, or other person who is the subject of or identified in the PTS information or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color w:val="000000"/>
          <w:sz w:val="22"/>
        </w:rPr>
        <w:t xml:space="preserve">Patients. </w:t>
      </w:r>
      <w:r>
        <w:rPr>
          <w:rFonts w:ascii="Times New Roman" w:hAnsi="Times New Roman"/>
          <w:b w:val="false"/>
          <w:i w:val="false"/>
          <w:color w:val="000000"/>
          <w:sz w:val="22"/>
        </w:rPr>
        <w:t>A patient may request and receive information regarding products reported to have been purchased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patient may submit a signed, written request for records of the patient’s purchases and attempted purchases during a specified period of time. The request shall identify the patient by name, including any aliases used by the patient, and shall include the patient’s date of birth and gender. The request shall also include any address where the patient resided during the time period of the request and the patient’s current address and daytime telephone number. A patient may personally deliver the request to the PTS administrator or authorized staff member of the office located at Oran Pape State Office Building, 215 East 7th Street, Fifth Floor, Des Moines, Iowa 50319. The patient shall be required to present current government-issued photo identification at the time of delivery of the request. A copy of the patient’s identification shall be maintained in the records of the 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who is unable to personally deliver the request to the office may submit a request via mail or commercial delivery service. The request shall comply with all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and the signature of the requesting patient shall be witnessed and the patient’s identity shall be attested to by a currently registered notary public. In addition to the notary’s signature and assurance of the patient’s identity, the notary shall certify a copy of the patient’s current government-issued photo identification, and that certified copy shall be submitted with the written request. The request shall be submitted to the governor’s office of drug control policy at the address identified in paragraph 100.4(4)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color w:val="000000"/>
          <w:sz w:val="22"/>
        </w:rPr>
        <w:t xml:space="preserve">Regulatory officers. </w:t>
      </w:r>
      <w:r>
        <w:rPr>
          <w:rFonts w:ascii="Times New Roman" w:hAnsi="Times New Roman"/>
          <w:b w:val="false"/>
          <w:i w:val="false"/>
          <w:color w:val="000000"/>
          <w:sz w:val="22"/>
        </w:rPr>
        <w:t>Regulatory agencies that supervise or regulate a health care practitioner shall be able to access information from the PTS only pursuant to an order, subpoena, or other means of legal compulsion relating to a specific investigation of a specific individual and supported by a determination of probable cause. A director of a regulatory agency with jurisdiction over a practitioner, or the director’s designee, who seeks access to PTS information for an investigation shall submit to the PTS administrator in a format established by the office a written request via mail, facsimile, or personal delivery. The request shall be signed by the director or the director’s designee and shall be accompanied by an order, subpoena, or other form of legal compulsion establishing that the request is supported by a determination of probable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100.4(6)</w:t>
      </w:r>
      <w:r>
        <w:rPr>
          <w:rFonts w:ascii="Times New Roman" w:hAnsi="Times New Roman"/>
          <w:b w:val="false"/>
          <w:i w:val="false"/>
          <w:color w:val="000000"/>
          <w:sz w:val="22"/>
        </w:rPr>
        <w:t> </w:t>
      </w:r>
      <w:r>
        <w:rPr>
          <w:rFonts w:ascii="Times New Roman" w:hAnsi="Times New Roman"/>
          <w:b w:val="false"/>
          <w:i/>
          <w:color w:val="000000"/>
          <w:sz w:val="22"/>
        </w:rPr>
        <w:t xml:space="preserve">Pharmacy administrators. </w:t>
      </w:r>
      <w:r>
        <w:rPr>
          <w:rFonts w:ascii="Times New Roman" w:hAnsi="Times New Roman"/>
          <w:b w:val="false"/>
          <w:i w:val="false"/>
          <w:color w:val="000000"/>
          <w:sz w:val="22"/>
        </w:rPr>
        <w:t>A pharmacy, an authorized employee of a pharmacy, or a licensed pharmacist shall be provided access to the stored PTS information only for the limited purpose of determining the sales made by the pharmacy. A pharmacy shall be able to print the pharmacy’s sales records for any product during any specified period of time upon the request of the board or an agent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100.4(7)</w:t>
      </w:r>
      <w:r>
        <w:rPr>
          <w:rFonts w:ascii="Times New Roman" w:hAnsi="Times New Roman"/>
          <w:b w:val="false"/>
          <w:i w:val="false"/>
          <w:color w:val="000000"/>
          <w:sz w:val="22"/>
        </w:rPr>
        <w:t> </w:t>
      </w:r>
      <w:r>
        <w:rPr>
          <w:rFonts w:ascii="Times New Roman" w:hAnsi="Times New Roman"/>
          <w:b w:val="false"/>
          <w:i/>
          <w:color w:val="000000"/>
          <w:sz w:val="22"/>
        </w:rPr>
        <w:t xml:space="preserve">Court orders and subpoenas. </w:t>
      </w:r>
      <w:r>
        <w:rPr>
          <w:rFonts w:ascii="Times New Roman" w:hAnsi="Times New Roman"/>
          <w:b w:val="false"/>
          <w:i w:val="false"/>
          <w:color w:val="000000"/>
          <w:sz w:val="22"/>
        </w:rPr>
        <w:t>The PTS administrator shall provide database information in response to a court order or a county attorney subpoena or other subpoena issued by a court upon a determination of probable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8893B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9161B</w:t>
      </w:r>
      <w:r>
        <w:rPr>
          <w:rFonts w:ascii="Times New Roman" w:hAnsi="Times New Roman"/>
          <w:b w:val="false"/>
          <w:i w:val="false"/>
          <w:color w:val="000000"/>
          <w:sz w:val="16"/>
        </w:rPr>
        <w:t>, IAB 10/20/10, effective 9/30/10</w:t>
      </w:r>
      <w:r>
        <w:rPr>
          <w:rFonts w:ascii="Times New Roman" w:hAnsi="Times New Roman"/>
          <w:b w:val="false"/>
          <w:i w:val="false"/>
          <w:color w:val="000000"/>
          <w:sz w:val="16"/>
        </w:rPr>
        <w:t xml:space="preserve">; </w:t>
      </w:r>
      <w:r>
        <w:rPr>
          <w:rFonts w:ascii="Times New Roman" w:hAnsi="Times New Roman"/>
          <w:b/>
          <w:i w:val="false"/>
          <w:color w:val="000000"/>
          <w:sz w:val="16"/>
        </w:rPr>
        <w:t>ARC 0153C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i w:val="false"/>
          <w:color w:val="000000"/>
          <w:sz w:val="16"/>
        </w:rPr>
        <w:t>ARC 3100C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657—100.5</w:t>
      </w:r>
      <w:r>
        <w:rPr>
          <w:rFonts w:ascii="Times New Roman" w:hAnsi="Times New Roman"/>
          <w:b/>
          <w:i w:val="false"/>
          <w:color w:val="000000"/>
          <w:sz w:val="22"/>
        </w:rPr>
        <w:t xml:space="preserve">(124)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Violations of provisions of these rules or Iowa Code section </w:t>
      </w:r>
      <w:hyperlink r:id="rId11">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124.212B</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124.213</w:t>
        </w:r>
      </w:hyperlink>
      <w:r>
        <w:rPr>
          <w:rFonts w:ascii="Times New Roman" w:hAnsi="Times New Roman"/>
          <w:b w:val="false"/>
          <w:i w:val="false"/>
          <w:color w:val="000000"/>
          <w:sz w:val="22"/>
        </w:rPr>
        <w:t xml:space="preserve"> may subject the violator to criminal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8893B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3100C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124.212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124.212B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124.213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8893B</w:t>
      </w:r>
      <w:r>
        <w:rPr>
          <w:rFonts w:ascii="Times New Roman" w:hAnsi="Times New Roman"/>
          <w:b w:val="false"/>
          <w:i w:val="false"/>
          <w:color w:val="000000"/>
          <w:sz w:val="21"/>
        </w:rPr>
        <w:t xml:space="preserve"> (Notice ARC 8666B, IAB 4/7/10)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Emergency ARC 9161B, IAB 10/20/10, effective 9/30/10]</w:t>
      </w:r>
    </w:p>
    <w:p>
      <w:pPr>
        <w:spacing w:before="0" w:after="0"/>
        <w:ind w:left="120"/>
        <w:jc w:val="center"/>
      </w:pPr>
      <w:r>
        <w:rPr>
          <w:rFonts w:ascii="Times New Roman" w:hAnsi="Times New Roman"/>
          <w:b w:val="false"/>
          <w:i w:val="false"/>
          <w:color w:val="000000"/>
          <w:sz w:val="21"/>
        </w:rPr>
        <w:t>[Filed ARC 0153C</w:t>
      </w:r>
      <w:r>
        <w:rPr>
          <w:rFonts w:ascii="Times New Roman" w:hAnsi="Times New Roman"/>
          <w:b w:val="false"/>
          <w:i w:val="false"/>
          <w:color w:val="000000"/>
          <w:sz w:val="21"/>
        </w:rPr>
        <w:t xml:space="preserve"> (Notice ARC 0053C, IAB 3/21/12)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3100C</w:t>
      </w:r>
      <w:r>
        <w:rPr>
          <w:rFonts w:ascii="Times New Roman" w:hAnsi="Times New Roman"/>
          <w:b w:val="false"/>
          <w:i w:val="false"/>
          <w:color w:val="000000"/>
          <w:sz w:val="21"/>
        </w:rPr>
        <w:t xml:space="preserve"> (Notice ARC 2858C, IAB 12/7/16)</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4701C</w:t>
      </w:r>
      <w:r>
        <w:rPr>
          <w:rFonts w:ascii="Times New Roman" w:hAnsi="Times New Roman"/>
          <w:b w:val="false"/>
          <w:i w:val="false"/>
          <w:color w:val="000000"/>
          <w:sz w:val="21"/>
        </w:rPr>
        <w:t xml:space="preserve"> (Notice ARC 4570C, IAB 7/31/19)</w:t>
      </w:r>
      <w:r>
        <w:rPr>
          <w:rFonts w:ascii="Times New Roman" w:hAnsi="Times New Roman"/>
          <w:b w:val="false"/>
          <w:i w:val="false"/>
          <w:color w:val="000000"/>
          <w:sz w:val="21"/>
        </w:rPr>
        <w:t>, IAB 10/9/19, effective 11/13/19]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212B.pdf" Type="http://schemas.openxmlformats.org/officeDocument/2006/relationships/hyperlink" Id="rId5"/>
    <Relationship TargetMode="External" Target="https://www.legis.iowa.gov/docs/ico/chapter/124.213.pdf" Type="http://schemas.openxmlformats.org/officeDocument/2006/relationships/hyperlink" Id="rId6"/>
    <Relationship TargetMode="External" Target="https://www.legis.iowa.gov/docs/iac/rule/657.100.2.pdf" Type="http://schemas.openxmlformats.org/officeDocument/2006/relationships/hyperlink" Id="rId7"/>
    <Relationship TargetMode="External" Target="https://www.legis.iowa.gov/docs/ico/chapter/124.212B.pdf" Type="http://schemas.openxmlformats.org/officeDocument/2006/relationships/hyperlink" Id="rId8"/>
    <Relationship TargetMode="External" Target="https://www.legis.iowa.gov/docs/iac/rule/657.10.34.pdf" Type="http://schemas.openxmlformats.org/officeDocument/2006/relationships/hyperlink" Id="rId9"/>
    <Relationship TargetMode="External" Target="https://www.legis.iowa.gov/docs/iac/rule/657.100.4.pdf" Type="http://schemas.openxmlformats.org/officeDocument/2006/relationships/hyperlink" Id="rId10"/>
    <Relationship TargetMode="External" Target="https://www.legis.iowa.gov/docs/ico/chapter/124.212A.pdf" Type="http://schemas.openxmlformats.org/officeDocument/2006/relationships/hyperlink" Id="rId11"/>
    <Relationship TargetMode="External" Target="https://www.legis.iowa.gov/docs/ico/chapter/124.212B.pdf" Type="http://schemas.openxmlformats.org/officeDocument/2006/relationships/hyperlink" Id="rId12"/>
    <Relationship TargetMode="External" Target="https://www.legis.iowa.gov/docs/ico/chapter/124.213.pdf" Type="http://schemas.openxmlformats.org/officeDocument/2006/relationships/hyperlink" Id="rId13"/>
    <Relationship TargetMode="External" Target="https://www.legis.iowa.gov/docs/ico/chapter/124.212.pdf" Type="http://schemas.openxmlformats.org/officeDocument/2006/relationships/hyperlink" Id="rId14"/>
    <Relationship TargetMode="External" Target="https://www.legis.iowa.gov/docs/ico/chapter/124.212A.pdf" Type="http://schemas.openxmlformats.org/officeDocument/2006/relationships/hyperlink" Id="rId15"/>
    <Relationship TargetMode="External" Target="https://www.legis.iowa.gov/docs/ico/chapter/124.212B.pdf" Type="http://schemas.openxmlformats.org/officeDocument/2006/relationships/hyperlink" Id="rId16"/>
    <Relationship TargetMode="External" Target="https://www.legis.iowa.gov/docs/ico/chapter/124.21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