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PURPOSE AND ORGANIZATION</w:t>
      </w:r>
    </w:p>
    <w:p>
      <w:pPr>
        <w:spacing w:before="0" w:after="0"/>
        <w:ind w:left="120"/>
        <w:jc w:val="center"/>
      </w:pPr>
      <w:r>
        <w:rPr>
          <w:rFonts w:ascii="Times New Roman" w:hAnsi="Times New Roman"/>
          <w:b w:val="false"/>
          <w:i w:val="false"/>
          <w:color w:val="000000"/>
          <w:sz w:val="14"/>
        </w:rPr>
        <w:t>[Prior to 2/10/88, see Pharmacy Examiners[620]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657—1.1</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mission. </w:t>
      </w:r>
      <w:r>
        <w:rPr>
          <w:rFonts w:ascii="Times New Roman" w:hAnsi="Times New Roman"/>
          <w:b w:val="false"/>
          <w:i w:val="false"/>
          <w:color w:val="000000"/>
          <w:sz w:val="22"/>
        </w:rPr>
        <w:t>The board of pharmacy promotes, preserves, and protects the public health, safety, and welfare by fostering the provision of pharmaceutical care to all Iowans through the effective regulation of the practice of pharmacy, the operation of pharmacies, the appropriate utilization of pharmacy technicians and pharmacy support persons, the distribution of prescription drugs and devices, and the education and training of pharmacists.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657—1.2</w:t>
      </w:r>
      <w:r>
        <w:rPr>
          <w:rFonts w:ascii="Times New Roman" w:hAnsi="Times New Roman"/>
          <w:b/>
          <w:i w:val="false"/>
          <w:color w:val="000000"/>
          <w:sz w:val="22"/>
        </w:rPr>
        <w:t xml:space="preserve">(17A,147,155A,272C) </w:t>
      </w:r>
      <w:r>
        <w:rPr>
          <w:rFonts w:ascii="Times New Roman" w:hAnsi="Times New Roman"/>
          <w:b/>
          <w:i w:val="false"/>
          <w:color w:val="000000"/>
          <w:sz w:val="22"/>
        </w:rPr>
        <w:t xml:space="preserve">Description and organization of board. </w:t>
      </w:r>
      <w:r>
        <w:rPr>
          <w:rFonts w:ascii="Times New Roman" w:hAnsi="Times New Roman"/>
          <w:b w:val="false"/>
          <w:i w:val="false"/>
          <w:color w:val="000000"/>
          <w:sz w:val="22"/>
        </w:rPr>
        <w:t>The board is comprised of five pharmacist members, one certified pharmacy technician member, and two representatives of the general public, all appointed by the governor. An administrative staff headed by a public health director-appointed executive director assists board members.</w:t>
      </w:r>
    </w:p>
    <w:p>
      <w:pPr>
        <w:spacing w:before="0" w:after="0"/>
        <w:ind w:left="120"/>
        <w:jc w:val="both"/>
      </w:pPr>
      <w:r>
        <w:rPr>
          <w:rFonts w:ascii="Times New Roman" w:hAnsi="Times New Roman"/>
          <w:b w:val="false"/>
          <w:i w:val="false"/>
          <w:color w:val="000000"/>
          <w:sz w:val="22"/>
        </w:rPr>
        <w:t xml:space="preserve">The board’s authority for regulating the practice of pharmacy and the legal distribution and dispensing of prescription drugs and devices and of precursor substances in the state of Iowa is found in Iowa Code chapters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3857C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4188C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657—1.3</w:t>
      </w:r>
      <w:r>
        <w:rPr>
          <w:rFonts w:ascii="Times New Roman" w:hAnsi="Times New Roman"/>
          <w:b/>
          <w:i w:val="false"/>
          <w:color w:val="000000"/>
          <w:sz w:val="22"/>
        </w:rPr>
        <w:t xml:space="preserve">(17A,272C) </w:t>
      </w:r>
      <w:r>
        <w:rPr>
          <w:rFonts w:ascii="Times New Roman" w:hAnsi="Times New Roman"/>
          <w:b/>
          <w:i w:val="false"/>
          <w:color w:val="000000"/>
          <w:sz w:val="22"/>
        </w:rPr>
        <w:t xml:space="preserve">Responsibilities. </w:t>
      </w:r>
      <w:r>
        <w:rPr>
          <w:rFonts w:ascii="Times New Roman" w:hAnsi="Times New Roman"/>
          <w:b w:val="false"/>
          <w:i w:val="false"/>
          <w:color w:val="000000"/>
          <w:sz w:val="22"/>
        </w:rPr>
        <w:t>The responsibilities of the board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Licensing of qualified applicants for the practice of pharmacy, by examination, renewal, and reciprocity under the provisions of Iowa Code chapters </w:t>
      </w:r>
      <w:hyperlink r:id="rId1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Administering a continuing education program to ensure continued competency of individuals licensed by the board to practice pharmacy. Authority for this function comes from Iowa Code chapter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Regulating the legal distribution of prescription drugs through the licensing of pharmacies, wholesale distributors, limited distributors, outsourcing facilities, and third-party logistics providers under the authority of Iowa Code chapter </w:t>
      </w:r>
      <w:hyperlink r:id="rId15">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Regulating the legal distribution of controlled substances through the registration of authorized persons and entities engaged in the manufacture and distribution of controlled substances throughout the state under the authority of Iowa Code chapter </w:t>
      </w:r>
      <w:hyperlink r:id="rId1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Registering pharmacist-interns and administering an internship program to prepare individuals for the practice of pharmacy pursuant to the authority of Iowa Code chapter </w:t>
      </w:r>
      <w:hyperlink r:id="rId1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Registering pharmacy technicians assisting in the technical functions of the practice of pharmacy pursuant to the authority of Iowa Code chapter </w:t>
      </w:r>
      <w:hyperlink r:id="rId18">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Performing compliance investigations and audits of all persons or entities registered pursuant to Iowa Code chapter </w:t>
      </w:r>
      <w:hyperlink r:id="rId1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compliance inspections and investigations of any persons or entities licensed or registered pursuant to Iowa Code chapter </w:t>
      </w:r>
      <w:hyperlink r:id="rId2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These investigations and audits are conducted to ensure accountability for all controlled substances and to ensure compliance with laws regulating the practice of pharmacy and the distribution of prescription drugs and devices in Iowa.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Regulating the legal distribution of precursor substances through the issuance of permits to vendors and recipients of precursor substances throughout the state under the authority of Iowa Code chapter </w:t>
      </w:r>
      <w:hyperlink r:id="rId21">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Instituting disciplinary actions, hearing contested cases, issuing decisions and orders, and enforcing the terms of disciplinary orders filed against licensees, registrants, or permit holders for grounds provided in Iowa Code sections </w:t>
      </w:r>
      <w:hyperlink r:id="rId22">
        <w:r>
          <w:rPr>
            <w:rStyle w:val="Hyperlink"/>
            <w:rFonts w:ascii="Times New Roman" w:hAnsi="Times New Roman"/>
            <w:b w:val="false"/>
            <w:i w:val="false"/>
            <w:color w:val="000000"/>
            <w:sz w:val="22"/>
          </w:rPr>
          <w:t>124.303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124.304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124B.12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155A.6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155A.6A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155A.6B</w:t>
        </w:r>
      </w:hyperlink>
      <w:r>
        <w:rPr>
          <w:rFonts w:ascii="Times New Roman" w:hAnsi="Times New Roman"/>
          <w:b w:val="false"/>
          <w:i w:val="false"/>
          <w:color w:val="000000"/>
          <w:sz w:val="22"/>
        </w:rPr>
        <w:t>, </w:t>
      </w:r>
      <w:hyperlink r:id="rId29">
        <w:r>
          <w:rPr>
            <w:rStyle w:val="Hyperlink"/>
            <w:rFonts w:ascii="Times New Roman" w:hAnsi="Times New Roman"/>
            <w:b w:val="false"/>
            <w:i w:val="false"/>
            <w:color w:val="000000"/>
            <w:sz w:val="22"/>
          </w:rPr>
          <w:t>155A.12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w:t>
      </w:r>
      <w:hyperlink r:id="rId31">
        <w:r>
          <w:rPr>
            <w:rStyle w:val="Hyperlink"/>
            <w:rFonts w:ascii="Times New Roman" w:hAnsi="Times New Roman"/>
            <w:b w:val="false"/>
            <w:i w:val="false"/>
            <w:color w:val="000000"/>
            <w:sz w:val="22"/>
          </w:rPr>
          <w:t>155A.13A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155A.15</w:t>
        </w:r>
      </w:hyperlink>
      <w:r>
        <w:rPr>
          <w:rFonts w:ascii="Times New Roman" w:hAnsi="Times New Roman"/>
          <w:b w:val="false"/>
          <w:i w:val="false"/>
          <w:color w:val="000000"/>
          <w:sz w:val="22"/>
        </w:rPr>
        <w:t>,  </w:t>
      </w:r>
      <w:hyperlink r:id="rId33">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155A.17A, and </w:t>
      </w:r>
      <w:hyperlink r:id="rId34">
        <w:r>
          <w:rPr>
            <w:rStyle w:val="Hyperlink"/>
            <w:rFonts w:ascii="Times New Roman" w:hAnsi="Times New Roman"/>
            <w:b w:val="false"/>
            <w:i w:val="false"/>
            <w:color w:val="000000"/>
            <w:sz w:val="22"/>
          </w:rPr>
          <w:t>155A.42</w:t>
        </w:r>
      </w:hyperlink>
      <w:r>
        <w:rPr>
          <w:rFonts w:ascii="Times New Roman" w:hAnsi="Times New Roman"/>
          <w:b w:val="false"/>
          <w:i w:val="false"/>
          <w:color w:val="000000"/>
          <w:sz w:val="22"/>
        </w:rPr>
        <w:t xml:space="preserve"> as appropriate.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Registering pharmacy support persons assisting in the nontechnical functions of the practice of pharmacy pursuant to the authority of Iowa Code chapter </w:t>
      </w:r>
      <w:hyperlink r:id="rId35">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Registering pharmacists in charge of nonresident pharmacies pursuant to the authority of Iowa Code chapter </w:t>
      </w:r>
      <w:hyperlink r:id="rId36">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4188C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657—1.4</w:t>
      </w:r>
      <w:r>
        <w:rPr>
          <w:rFonts w:ascii="Times New Roman" w:hAnsi="Times New Roman"/>
          <w:b/>
          <w:i w:val="false"/>
          <w:color w:val="000000"/>
          <w:sz w:val="22"/>
        </w:rPr>
        <w:t xml:space="preserve">(17A,272C) </w:t>
      </w:r>
      <w:r>
        <w:rPr>
          <w:rFonts w:ascii="Times New Roman" w:hAnsi="Times New Roman"/>
          <w:b/>
          <w:i w:val="false"/>
          <w:color w:val="000000"/>
          <w:sz w:val="22"/>
        </w:rPr>
        <w:t xml:space="preserve">Submission of complaints and requests. </w:t>
      </w:r>
      <w:r>
        <w:rPr>
          <w:rFonts w:ascii="Times New Roman" w:hAnsi="Times New Roman"/>
          <w:b w:val="false"/>
          <w:i w:val="false"/>
          <w:color w:val="000000"/>
          <w:sz w:val="22"/>
        </w:rPr>
        <w:t xml:space="preserve">Members of the general public may obtain information or submit requests or complaints relative to the practice of pharmacy, continuing education for pharmacists, the legal distribution and dispensing of prescription drugs, or any other matters relating to the function and authority of the board. Correspondence should be submitted to the Executive Director, Board of Pharmacy, 400 S.W. Eighth Street, Suite E, Des Moines, Iowa 50309-4688. Communication may also be submitted via the board’s website at </w:t>
      </w:r>
      <w:hyperlink r:id="rId37">
        <w:r>
          <w:rPr>
            <w:rStyle w:val="Hyperlink"/>
            <w:rFonts w:ascii="Times New Roman" w:hAnsi="Times New Roman"/>
            <w:b w:val="false"/>
            <w:i w:val="false"/>
            <w:color w:val="000000"/>
            <w:sz w:val="22"/>
            <w:u w:val="single"/>
          </w:rPr>
          <w:t>pharmacy.iowa.gov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4188C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657—1.5</w:t>
      </w:r>
      <w:r>
        <w:rPr>
          <w:rFonts w:ascii="Times New Roman" w:hAnsi="Times New Roman"/>
          <w:b/>
          <w:i w:val="false"/>
          <w:color w:val="000000"/>
          <w:sz w:val="22"/>
        </w:rPr>
        <w:t xml:space="preserve">(17A,21)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All meetings of the board shall be open and public, and all members of the public shall be permitted to attend any meeting unless Iowa Code section </w:t>
      </w:r>
      <w:hyperlink r:id="rId3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another provision of law authorizes a closed session. Closed session shall only be by affirmative public vote of either two-thirds of the members of the board or all of the members present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Where held. </w:t>
      </w:r>
      <w:r>
        <w:rPr>
          <w:rFonts w:ascii="Times New Roman" w:hAnsi="Times New Roman"/>
          <w:b w:val="false"/>
          <w:i w:val="false"/>
          <w:color w:val="000000"/>
          <w:sz w:val="22"/>
        </w:rPr>
        <w:t>Meetings of the board shall be held in Des Moines, Iowa, except as designated otherwise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Meeting schedule and public notice. </w:t>
      </w:r>
      <w:r>
        <w:rPr>
          <w:rFonts w:ascii="Times New Roman" w:hAnsi="Times New Roman"/>
          <w:b w:val="false"/>
          <w:i w:val="false"/>
          <w:color w:val="000000"/>
          <w:sz w:val="22"/>
        </w:rPr>
        <w:t xml:space="preserve">The board shall set the dates of its meetings at the first meeting following May 1 of each fiscal year. Notices of meetings shall be routinely posted in the space set aside for that purpose in the office of the board and on the board’s website at </w:t>
      </w:r>
      <w:hyperlink r:id="rId39">
        <w:r>
          <w:rPr>
            <w:rStyle w:val="Hyperlink"/>
            <w:rFonts w:ascii="Times New Roman" w:hAnsi="Times New Roman"/>
            <w:b w:val="false"/>
            <w:i w:val="false"/>
            <w:color w:val="000000"/>
            <w:sz w:val="22"/>
            <w:u w:val="single"/>
          </w:rPr>
          <w:t>pharmacy.iowa.gov</w:t>
        </w:r>
      </w:hyperlink>
      <w:r>
        <w:rPr>
          <w:rFonts w:ascii="Times New Roman" w:hAnsi="Times New Roman"/>
          <w:b w:val="false"/>
          <w:i w:val="false"/>
          <w:color w:val="000000"/>
          <w:sz w:val="22"/>
        </w:rPr>
        <w:t>. Members of the general public may obtain the dates, times, and locations of board meetings by submitting a request to the Executive Director, Board of Pharmacy, 400 S.W. Eighth Street, Suite E, Des Moines, Iowa 50309-4688, or by accessing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Special meetings. </w:t>
      </w:r>
      <w:r>
        <w:rPr>
          <w:rFonts w:ascii="Times New Roman" w:hAnsi="Times New Roman"/>
          <w:b w:val="false"/>
          <w:i w:val="false"/>
          <w:color w:val="000000"/>
          <w:sz w:val="22"/>
        </w:rPr>
        <w:t>Special meetings of the board may be called by the chairperson or upon written request of four of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 for calling a special meeting shall be recorded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meetings shall be open to the public except as otherwise provided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Minutes of meetings. </w:t>
      </w:r>
      <w:r>
        <w:rPr>
          <w:rFonts w:ascii="Times New Roman" w:hAnsi="Times New Roman"/>
          <w:b w:val="false"/>
          <w:i w:val="false"/>
          <w:color w:val="000000"/>
          <w:sz w:val="22"/>
        </w:rPr>
        <w:t>The executive director shall keep a record of all minutes of the board, and these minutes, except as otherwise provided by statute, shall be open to the public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majority of the members of the board shall constitute a quorum.</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4188C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657—1.6</w:t>
      </w:r>
      <w:r>
        <w:rPr>
          <w:rFonts w:ascii="Times New Roman" w:hAnsi="Times New Roman"/>
          <w:b/>
          <w:i w:val="false"/>
          <w:color w:val="000000"/>
          <w:sz w:val="22"/>
        </w:rPr>
        <w:t xml:space="preserve">(124,147,155A) </w:t>
      </w:r>
      <w:r>
        <w:rPr>
          <w:rFonts w:ascii="Times New Roman" w:hAnsi="Times New Roman"/>
          <w:b/>
          <w:i w:val="false"/>
          <w:color w:val="000000"/>
          <w:sz w:val="22"/>
        </w:rPr>
        <w:t xml:space="preserve">Fee for returned check. </w:t>
      </w:r>
      <w:r>
        <w:rPr>
          <w:rFonts w:ascii="Times New Roman" w:hAnsi="Times New Roman"/>
          <w:b w:val="false"/>
          <w:i w:val="false"/>
          <w:color w:val="000000"/>
          <w:sz w:val="22"/>
        </w:rPr>
        <w:t>A nonrefundable fee of $20 may be charged for a check returned for any reason. If a license, registration, or permit has been issued by the board based on a check for the payment of fees and the check is later returned by the bank, the board shall request payment by certified check, cashier’s check, or money order. If the fees, including the fee for a returned check, are not paid within 15 calendar days of notification of the returned check, the license, registration, or permit is no longer in effect and the status reverts to what it would have been had the license, registration, or permit not been issued. Late payment penalties will be assessed, as provided in board rules, for subsequent requests to renew or reissue the license, registration, or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4188C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657—1.7</w:t>
      </w:r>
      <w:r>
        <w:rPr>
          <w:rFonts w:ascii="Times New Roman" w:hAnsi="Times New Roman"/>
          <w:b/>
          <w:i w:val="false"/>
          <w:color w:val="000000"/>
          <w:sz w:val="22"/>
        </w:rPr>
        <w:t xml:space="preserve">(124,124B,147,155A) </w:t>
      </w:r>
      <w:r>
        <w:rPr>
          <w:rFonts w:ascii="Times New Roman" w:hAnsi="Times New Roman"/>
          <w:b/>
          <w:i w:val="false"/>
          <w:color w:val="000000"/>
          <w:sz w:val="22"/>
        </w:rPr>
        <w:t xml:space="preserve">Overpayment of fees. </w:t>
      </w:r>
      <w:r>
        <w:rPr>
          <w:rFonts w:ascii="Times New Roman" w:hAnsi="Times New Roman"/>
          <w:b w:val="false"/>
          <w:i w:val="false"/>
          <w:color w:val="000000"/>
          <w:sz w:val="22"/>
        </w:rPr>
        <w:t>“Overpayment” refers to the payment of any license, registration, permit, or service fee in excess of the required amount of the fee. Overpayment of $10 or less received by the board shall not be refunded.</w:t>
      </w:r>
    </w:p>
    <w:p>
      <w:pPr>
        <w:spacing w:before="0" w:after="0"/>
        <w:ind w:left="120"/>
        <w:jc w:val="both"/>
      </w:pPr>
      <w:r>
        <w:rPr>
          <w:rFonts w:ascii="Times New Roman" w:hAnsi="Times New Roman"/>
          <w:b/>
          <w:i w:val="false"/>
          <w:color w:val="000000"/>
          <w:sz w:val="22"/>
        </w:rPr>
        <w:t>657—1.8</w:t>
      </w:r>
      <w:r>
        <w:rPr>
          <w:rFonts w:ascii="Times New Roman" w:hAnsi="Times New Roman"/>
          <w:b/>
          <w:i w:val="false"/>
          <w:color w:val="000000"/>
          <w:sz w:val="22"/>
        </w:rPr>
        <w:t xml:space="preserve">(155A) </w:t>
      </w:r>
      <w:r>
        <w:rPr>
          <w:rFonts w:ascii="Times New Roman" w:hAnsi="Times New Roman"/>
          <w:b/>
          <w:i w:val="false"/>
          <w:color w:val="000000"/>
          <w:sz w:val="22"/>
        </w:rPr>
        <w:t xml:space="preserve">Alternate board members. </w:t>
      </w:r>
      <w:r>
        <w:rPr>
          <w:rFonts w:ascii="Times New Roman" w:hAnsi="Times New Roman"/>
          <w:b w:val="false"/>
          <w:i w:val="false"/>
          <w:color w:val="000000"/>
          <w:sz w:val="22"/>
        </w:rPr>
        <w:t xml:space="preserve">The board may have a pool of up to seven alternate members, to include individuals who may or may not be licensed to practice under Iowa Code chapter </w:t>
      </w:r>
      <w:hyperlink r:id="rId4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to substitute for board members unable to participate in a contested case hearing. Utilization of such alternate board members shall be in compliance with Iowa Code section </w:t>
      </w:r>
      <w:hyperlink r:id="rId41">
        <w:r>
          <w:rPr>
            <w:rStyle w:val="Hyperlink"/>
            <w:rFonts w:ascii="Times New Roman" w:hAnsi="Times New Roman"/>
            <w:b w:val="false"/>
            <w:i w:val="false"/>
            <w:color w:val="000000"/>
            <w:sz w:val="22"/>
          </w:rPr>
          <w:t>155A.2A</w:t>
        </w:r>
      </w:hyperlink>
      <w:r>
        <w:rPr>
          <w:rFonts w:ascii="Times New Roman" w:hAnsi="Times New Roman"/>
          <w:b w:val="false"/>
          <w:i w:val="false"/>
          <w:color w:val="000000"/>
          <w:sz w:val="22"/>
        </w:rPr>
        <w:t>. Whenever there are fewer than seven individuals serving in the pool of alternate board members, the executive director may present to the board for approval a list of individuals eligible to serve in the pool. The board may select individuals to serve as alternate board members, subject to approval by the governor. The term of each alternate board member shall begin on the first day of the month following approval by the governor and shall last for three years or until the alternate board member resigns, whichever occurs first. An alternate board member may serve no more than nine years as an alternate board member. Upon approval by the governor of an alternate board member, the executive director may select that alternate board member to hear a contested case when a sufficient number of board members are unavailable to hear a contested case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4188C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21.3 through 21.5</w:t>
        </w:r>
      </w:hyperlink>
      <w:r>
        <w:rPr>
          <w:rFonts w:ascii="Times New Roman" w:hAnsi="Times New Roman"/>
          <w:b w:val="false"/>
          <w:i w:val="false"/>
          <w:color w:val="000000"/>
          <w:sz w:val="22"/>
        </w:rPr>
        <w:t>, </w:t>
      </w:r>
      <w:hyperlink r:id="rId44">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124B.11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147.14</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w:t>
      </w:r>
      <w:hyperlink r:id="rId48">
        <w:r>
          <w:rPr>
            <w:rStyle w:val="Hyperlink"/>
            <w:rFonts w:ascii="Times New Roman" w:hAnsi="Times New Roman"/>
            <w:b w:val="false"/>
            <w:i w:val="false"/>
            <w:color w:val="000000"/>
            <w:sz w:val="22"/>
          </w:rPr>
          <w:t>147.96</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155A.2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155A.2A</w:t>
        </w:r>
      </w:hyperlink>
      <w:r>
        <w:rPr>
          <w:rFonts w:ascii="Times New Roman" w:hAnsi="Times New Roman"/>
          <w:b w:val="false"/>
          <w:i w:val="false"/>
          <w:color w:val="000000"/>
          <w:sz w:val="22"/>
        </w:rPr>
        <w:t>, </w:t>
      </w:r>
      <w:hyperlink r:id="rId51">
        <w:r>
          <w:rPr>
            <w:rStyle w:val="Hyperlink"/>
            <w:rFonts w:ascii="Times New Roman" w:hAnsi="Times New Roman"/>
            <w:b w:val="false"/>
            <w:i w:val="false"/>
            <w:color w:val="000000"/>
            <w:sz w:val="22"/>
          </w:rPr>
          <w:t>155A.6</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155A.6A</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155A.6B</w:t>
        </w:r>
      </w:hyperlink>
      <w:r>
        <w:rPr>
          <w:rFonts w:ascii="Times New Roman" w:hAnsi="Times New Roman"/>
          <w:b w:val="false"/>
          <w:i w:val="false"/>
          <w:color w:val="000000"/>
          <w:sz w:val="22"/>
        </w:rPr>
        <w:t>, </w:t>
      </w:r>
      <w:hyperlink r:id="rId54">
        <w:r>
          <w:rPr>
            <w:rStyle w:val="Hyperlink"/>
            <w:rFonts w:ascii="Times New Roman" w:hAnsi="Times New Roman"/>
            <w:b w:val="false"/>
            <w:i w:val="false"/>
            <w:color w:val="000000"/>
            <w:sz w:val="22"/>
          </w:rPr>
          <w:t>155A.11</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155A.13A</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155A.13C</w:t>
        </w:r>
      </w:hyperlink>
      <w:r>
        <w:rPr>
          <w:rFonts w:ascii="Times New Roman" w:hAnsi="Times New Roman"/>
          <w:b w:val="false"/>
          <w:i w:val="false"/>
          <w:color w:val="000000"/>
          <w:sz w:val="22"/>
        </w:rPr>
        <w:t>, </w:t>
      </w:r>
      <w:hyperlink r:id="rId58">
        <w:r>
          <w:rPr>
            <w:rStyle w:val="Hyperlink"/>
            <w:rFonts w:ascii="Times New Roman" w:hAnsi="Times New Roman"/>
            <w:b w:val="false"/>
            <w:i w:val="false"/>
            <w:color w:val="000000"/>
            <w:sz w:val="22"/>
          </w:rPr>
          <w:t>155A.14</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155A.15</w:t>
        </w:r>
      </w:hyperlink>
      <w:r>
        <w:rPr>
          <w:rFonts w:ascii="Times New Roman" w:hAnsi="Times New Roman"/>
          <w:b w:val="false"/>
          <w:i w:val="false"/>
          <w:color w:val="000000"/>
          <w:sz w:val="22"/>
        </w:rPr>
        <w:t>, </w:t>
      </w:r>
      <w:hyperlink r:id="rId60">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155A.17A, </w:t>
      </w:r>
      <w:hyperlink r:id="rId61">
        <w:r>
          <w:rPr>
            <w:rStyle w:val="Hyperlink"/>
            <w:rFonts w:ascii="Times New Roman" w:hAnsi="Times New Roman"/>
            <w:b w:val="false"/>
            <w:i w:val="false"/>
            <w:color w:val="000000"/>
            <w:sz w:val="22"/>
          </w:rPr>
          <w:t>155A.42</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emergency 10/21/81—published 11/11/81, effective 11/11/81]</w:t>
      </w:r>
    </w:p>
    <w:p>
      <w:pPr>
        <w:spacing w:before="0" w:after="0"/>
        <w:ind w:left="120"/>
        <w:jc w:val="center"/>
      </w:pPr>
      <w:r>
        <w:rPr>
          <w:rFonts w:ascii="Times New Roman" w:hAnsi="Times New Roman"/>
          <w:b w:val="false"/>
          <w:i w:val="false"/>
          <w:color w:val="000000"/>
          <w:sz w:val="21"/>
        </w:rPr>
        <w:t>[Filed emergency 10/6/82—published 10/27/82, effective 10/27/82]</w:t>
      </w:r>
    </w:p>
    <w:p>
      <w:pPr>
        <w:spacing w:before="0" w:after="0"/>
        <w:ind w:left="120"/>
        <w:jc w:val="center"/>
      </w:pPr>
      <w:r>
        <w:rPr>
          <w:rFonts w:ascii="Times New Roman" w:hAnsi="Times New Roman"/>
          <w:b w:val="false"/>
          <w:i w:val="false"/>
          <w:color w:val="000000"/>
          <w:sz w:val="21"/>
        </w:rPr>
        <w:t>[Filed 7/13/84, Notice 1/18/84—published 8/1/84, effective 9/5/84]</w:t>
      </w:r>
    </w:p>
    <w:p>
      <w:pPr>
        <w:spacing w:before="0" w:after="0"/>
        <w:ind w:left="120"/>
        <w:jc w:val="center"/>
      </w:pPr>
      <w:r>
        <w:rPr>
          <w:rFonts w:ascii="Times New Roman" w:hAnsi="Times New Roman"/>
          <w:b w:val="false"/>
          <w:i w:val="false"/>
          <w:color w:val="000000"/>
          <w:sz w:val="21"/>
        </w:rPr>
        <w:t>[Filed 2/22/85, Notice 12/19/84—published 3/13/85, effective 4/18/85]</w:t>
      </w:r>
    </w:p>
    <w:p>
      <w:pPr>
        <w:spacing w:before="0" w:after="0"/>
        <w:ind w:left="120"/>
        <w:jc w:val="center"/>
      </w:pPr>
      <w:r>
        <w:rPr>
          <w:rFonts w:ascii="Times New Roman" w:hAnsi="Times New Roman"/>
          <w:b w:val="false"/>
          <w:i w:val="false"/>
          <w:color w:val="000000"/>
          <w:sz w:val="21"/>
        </w:rPr>
        <w:t>[Filed 6/14/85, Notice 3/13/85—published 7/3/85, effective 8/8/85]</w:t>
      </w:r>
    </w:p>
    <w:p>
      <w:pPr>
        <w:spacing w:before="0" w:after="0"/>
        <w:ind w:left="120"/>
        <w:jc w:val="center"/>
      </w:pPr>
      <w:r>
        <w:rPr>
          <w:rFonts w:ascii="Times New Roman" w:hAnsi="Times New Roman"/>
          <w:b w:val="false"/>
          <w:i w:val="false"/>
          <w:color w:val="000000"/>
          <w:sz w:val="21"/>
        </w:rPr>
        <w:t>[Filed 1/28/87, Notice 11/19/86—published 2/25/87, effective 4/1/87]</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4/5/88, Notice 2/10/88—published 5/4/88, effective 7/1/88]</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emergency 9/12/89—published 10/4/89, effective 9/13/89]</w:t>
      </w:r>
    </w:p>
    <w:p>
      <w:pPr>
        <w:spacing w:before="0" w:after="0"/>
        <w:ind w:left="120"/>
        <w:jc w:val="center"/>
      </w:pPr>
      <w:r>
        <w:rPr>
          <w:rFonts w:ascii="Times New Roman" w:hAnsi="Times New Roman"/>
          <w:b w:val="false"/>
          <w:i w:val="false"/>
          <w:color w:val="000000"/>
          <w:sz w:val="21"/>
        </w:rPr>
        <w:t>[Filed 8/31/90, Notice 6/13/90—published 9/19/90, effective 10/24/90]</w:t>
      </w:r>
    </w:p>
    <w:p>
      <w:pPr>
        <w:spacing w:before="0" w:after="0"/>
        <w:ind w:left="120"/>
        <w:jc w:val="center"/>
      </w:pPr>
      <w:r>
        <w:rPr>
          <w:rFonts w:ascii="Times New Roman" w:hAnsi="Times New Roman"/>
          <w:b w:val="false"/>
          <w:i w:val="false"/>
          <w:color w:val="000000"/>
          <w:sz w:val="21"/>
        </w:rPr>
        <w:t>[Filed emergency 10/12/90—published 10/31/90, effective 10/24/90]</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7/30/91, Notice 5/29/91—published 8/21/91, effective 9/25/91]</w:t>
      </w:r>
    </w:p>
    <w:p>
      <w:pPr>
        <w:spacing w:before="0" w:after="0"/>
        <w:ind w:left="120"/>
        <w:jc w:val="center"/>
      </w:pPr>
      <w:r>
        <w:rPr>
          <w:rFonts w:ascii="Times New Roman" w:hAnsi="Times New Roman"/>
          <w:b w:val="false"/>
          <w:i w:val="false"/>
          <w:color w:val="000000"/>
          <w:sz w:val="21"/>
        </w:rPr>
        <w:t>[Filed 1/21/92, Notice 10/16/91—published 2/19/92, effective 3/25/92]</w:t>
      </w:r>
    </w:p>
    <w:p>
      <w:pPr>
        <w:spacing w:before="0" w:after="0"/>
        <w:ind w:left="120"/>
        <w:jc w:val="center"/>
      </w:pPr>
      <w:r>
        <w:rPr>
          <w:rFonts w:ascii="Times New Roman" w:hAnsi="Times New Roman"/>
          <w:b w:val="false"/>
          <w:i w:val="false"/>
          <w:color w:val="000000"/>
          <w:sz w:val="21"/>
        </w:rPr>
        <w:t>[[Filed 12/10/96, Notice 8/28/96—published 1/1/97, effective 2/5/97]</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4/22/99, Notices 10/21/98, 3/10/99—published 5/19/99, effective 6/23/99]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8/3/07, Notice 6/20/07—published 8/29/07, effective 10/3/07]</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3857C</w:t>
      </w:r>
      <w:r>
        <w:rPr>
          <w:rFonts w:ascii="Times New Roman" w:hAnsi="Times New Roman"/>
          <w:b w:val="false"/>
          <w:i w:val="false"/>
          <w:color w:val="000000"/>
          <w:sz w:val="21"/>
        </w:rPr>
        <w:t xml:space="preserve"> (Notice ARC 3506C,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4188C</w:t>
      </w:r>
      <w:r>
        <w:rPr>
          <w:rFonts w:ascii="Times New Roman" w:hAnsi="Times New Roman"/>
          <w:b w:val="false"/>
          <w:i w:val="false"/>
          <w:color w:val="000000"/>
          <w:sz w:val="21"/>
        </w:rPr>
        <w:t xml:space="preserve"> (Notice ARC 3977C, IAB 8/29/18)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B.pdf" Type="http://schemas.openxmlformats.org/officeDocument/2006/relationships/hyperlink" Id="rId6"/>
    <Relationship TargetMode="External" Target="https://www.legis.iowa.gov/docs/ico/chapter/126.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205.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147.pdf" Type="http://schemas.openxmlformats.org/officeDocument/2006/relationships/hyperlink" Id="rId12"/>
    <Relationship TargetMode="External" Target="https://www.legis.iowa.gov/docs/ico/chapter/155A.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55A.pdf" Type="http://schemas.openxmlformats.org/officeDocument/2006/relationships/hyperlink" Id="rId15"/>
    <Relationship TargetMode="External" Target="https://www.legis.iowa.gov/docs/ico/chapter/124.pdf" Type="http://schemas.openxmlformats.org/officeDocument/2006/relationships/hyperlink" Id="rId16"/>
    <Relationship TargetMode="External" Target="https://www.legis.iowa.gov/docs/ico/chapter/155A.pdf" Type="http://schemas.openxmlformats.org/officeDocument/2006/relationships/hyperlink" Id="rId17"/>
    <Relationship TargetMode="External" Target="https://www.legis.iowa.gov/docs/ico/chapter/155A.pdf" Type="http://schemas.openxmlformats.org/officeDocument/2006/relationships/hyperlink" Id="rId18"/>
    <Relationship TargetMode="External" Target="https://www.legis.iowa.gov/docs/ico/chapter/124.pdf" Type="http://schemas.openxmlformats.org/officeDocument/2006/relationships/hyperlink" Id="rId19"/>
    <Relationship TargetMode="External" Target="https://www.legis.iowa.gov/docs/ico/chapter/155A.pdf" Type="http://schemas.openxmlformats.org/officeDocument/2006/relationships/hyperlink" Id="rId20"/>
    <Relationship TargetMode="External" Target="https://www.legis.iowa.gov/docs/ico/chapter/124B.pdf" Type="http://schemas.openxmlformats.org/officeDocument/2006/relationships/hyperlink" Id="rId21"/>
    <Relationship TargetMode="External" Target="https://www.legis.iowa.gov/docs/ico/chapter/124.303.pdf" Type="http://schemas.openxmlformats.org/officeDocument/2006/relationships/hyperlink" Id="rId22"/>
    <Relationship TargetMode="External" Target="https://www.legis.iowa.gov/docs/ico/chapter/124.304.pdf" Type="http://schemas.openxmlformats.org/officeDocument/2006/relationships/hyperlink" Id="rId23"/>
    <Relationship TargetMode="External" Target="https://www.legis.iowa.gov/docs/ico/chapter/124B.12.pdf" Type="http://schemas.openxmlformats.org/officeDocument/2006/relationships/hyperlink" Id="rId24"/>
    <Relationship TargetMode="External" Target="https://www.legis.iowa.gov/docs/ico/chapter/147.55.pdf" Type="http://schemas.openxmlformats.org/officeDocument/2006/relationships/hyperlink" Id="rId25"/>
    <Relationship TargetMode="External" Target="https://www.legis.iowa.gov/docs/ico/chapter/155A.6.pdf" Type="http://schemas.openxmlformats.org/officeDocument/2006/relationships/hyperlink" Id="rId26"/>
    <Relationship TargetMode="External" Target="https://www.legis.iowa.gov/docs/ico/chapter/155A.6A.pdf" Type="http://schemas.openxmlformats.org/officeDocument/2006/relationships/hyperlink" Id="rId27"/>
    <Relationship TargetMode="External" Target="https://www.legis.iowa.gov/docs/ico/chapter/155A.6B.pdf" Type="http://schemas.openxmlformats.org/officeDocument/2006/relationships/hyperlink" Id="rId28"/>
    <Relationship TargetMode="External" Target="https://www.legis.iowa.gov/docs/ico/chapter/155A.12.pdf" Type="http://schemas.openxmlformats.org/officeDocument/2006/relationships/hyperlink" Id="rId29"/>
    <Relationship TargetMode="External" Target="https://www.legis.iowa.gov/docs/ico/chapter/155A.13.pdf" Type="http://schemas.openxmlformats.org/officeDocument/2006/relationships/hyperlink" Id="rId30"/>
    <Relationship TargetMode="External" Target="https://www.legis.iowa.gov/docs/ico/chapter/155A.13A.pdf" Type="http://schemas.openxmlformats.org/officeDocument/2006/relationships/hyperlink" Id="rId31"/>
    <Relationship TargetMode="External" Target="https://www.legis.iowa.gov/docs/ico/chapter/155A.15.pdf" Type="http://schemas.openxmlformats.org/officeDocument/2006/relationships/hyperlink" Id="rId32"/>
    <Relationship TargetMode="External" Target="https://www.legis.iowa.gov/docs/ico/chapter/155A.17.pdf" Type="http://schemas.openxmlformats.org/officeDocument/2006/relationships/hyperlink" Id="rId33"/>
    <Relationship TargetMode="External" Target="https://www.legis.iowa.gov/docs/ico/chapter/155A.42.pdf" Type="http://schemas.openxmlformats.org/officeDocument/2006/relationships/hyperlink" Id="rId34"/>
    <Relationship TargetMode="External" Target="https://www.legis.iowa.gov/docs/ico/chapter/155A.pdf" Type="http://schemas.openxmlformats.org/officeDocument/2006/relationships/hyperlink" Id="rId35"/>
    <Relationship TargetMode="External" Target="https://www.legis.iowa.gov/docs/ico/chapter/155A.pdf" Type="http://schemas.openxmlformats.org/officeDocument/2006/relationships/hyperlink" Id="rId36"/>
    <Relationship TargetMode="External" Target="https://pharmacy.iowa.gov" Type="http://schemas.openxmlformats.org/officeDocument/2006/relationships/hyperlink" Id="rId37"/>
    <Relationship TargetMode="External" Target="https://www.legis.iowa.gov/docs/ico/chapter/21.5.pdf" Type="http://schemas.openxmlformats.org/officeDocument/2006/relationships/hyperlink" Id="rId38"/>
    <Relationship TargetMode="External" Target="https://pharmacy.iowa.gov" Type="http://schemas.openxmlformats.org/officeDocument/2006/relationships/hyperlink" Id="rId39"/>
    <Relationship TargetMode="External" Target="https://www.legis.iowa.gov/docs/ico/chapter/155A.pdf" Type="http://schemas.openxmlformats.org/officeDocument/2006/relationships/hyperlink" Id="rId40"/>
    <Relationship TargetMode="External" Target="https://www.legis.iowa.gov/docs/ico/chapter/155A.2A.pdf" Type="http://schemas.openxmlformats.org/officeDocument/2006/relationships/hyperlink" Id="rId41"/>
    <Relationship TargetMode="External" Target="https://www.legis.iowa.gov/docs/ico/chapter/17A.3.pdf" Type="http://schemas.openxmlformats.org/officeDocument/2006/relationships/hyperlink" Id="rId42"/>
    <Relationship TargetMode="External" Target="https://www.legis.iowa.gov/docs/ico/chapter/21.3-5.pdf" Type="http://schemas.openxmlformats.org/officeDocument/2006/relationships/hyperlink" Id="rId43"/>
    <Relationship TargetMode="External" Target="https://www.legis.iowa.gov/docs/ico/chapter/124.301.pdf" Type="http://schemas.openxmlformats.org/officeDocument/2006/relationships/hyperlink" Id="rId44"/>
    <Relationship TargetMode="External" Target="https://www.legis.iowa.gov/docs/ico/chapter/124B.11.pdf" Type="http://schemas.openxmlformats.org/officeDocument/2006/relationships/hyperlink" Id="rId45"/>
    <Relationship TargetMode="External" Target="https://www.legis.iowa.gov/docs/ico/chapter/147.14.pdf" Type="http://schemas.openxmlformats.org/officeDocument/2006/relationships/hyperlink" Id="rId46"/>
    <Relationship TargetMode="External" Target="https://www.legis.iowa.gov/docs/ico/chapter/147.76.pdf" Type="http://schemas.openxmlformats.org/officeDocument/2006/relationships/hyperlink" Id="rId47"/>
    <Relationship TargetMode="External" Target="https://www.legis.iowa.gov/docs/ico/chapter/147.96.pdf" Type="http://schemas.openxmlformats.org/officeDocument/2006/relationships/hyperlink" Id="rId48"/>
    <Relationship TargetMode="External" Target="https://www.legis.iowa.gov/docs/ico/chapter/155A.2.pdf" Type="http://schemas.openxmlformats.org/officeDocument/2006/relationships/hyperlink" Id="rId49"/>
    <Relationship TargetMode="External" Target="https://www.legis.iowa.gov/docs/ico/chapter/155A.2A.pdf" Type="http://schemas.openxmlformats.org/officeDocument/2006/relationships/hyperlink" Id="rId50"/>
    <Relationship TargetMode="External" Target="https://www.legis.iowa.gov/docs/ico/chapter/155A.6.pdf" Type="http://schemas.openxmlformats.org/officeDocument/2006/relationships/hyperlink" Id="rId51"/>
    <Relationship TargetMode="External" Target="https://www.legis.iowa.gov/docs/ico/chapter/155A.6A.pdf" Type="http://schemas.openxmlformats.org/officeDocument/2006/relationships/hyperlink" Id="rId52"/>
    <Relationship TargetMode="External" Target="https://www.legis.iowa.gov/docs/ico/chapter/155A.6B.pdf" Type="http://schemas.openxmlformats.org/officeDocument/2006/relationships/hyperlink" Id="rId53"/>
    <Relationship TargetMode="External" Target="https://www.legis.iowa.gov/docs/ico/chapter/155A.11.pdf" Type="http://schemas.openxmlformats.org/officeDocument/2006/relationships/hyperlink" Id="rId54"/>
    <Relationship TargetMode="External" Target="https://www.legis.iowa.gov/docs/ico/chapter/155A.13.pdf" Type="http://schemas.openxmlformats.org/officeDocument/2006/relationships/hyperlink" Id="rId55"/>
    <Relationship TargetMode="External" Target="https://www.legis.iowa.gov/docs/ico/chapter/155A.13A.pdf" Type="http://schemas.openxmlformats.org/officeDocument/2006/relationships/hyperlink" Id="rId56"/>
    <Relationship TargetMode="External" Target="https://www.legis.iowa.gov/docs/ico/chapter/155A.13C.pdf" Type="http://schemas.openxmlformats.org/officeDocument/2006/relationships/hyperlink" Id="rId57"/>
    <Relationship TargetMode="External" Target="https://www.legis.iowa.gov/docs/ico/chapter/155A.14.pdf" Type="http://schemas.openxmlformats.org/officeDocument/2006/relationships/hyperlink" Id="rId58"/>
    <Relationship TargetMode="External" Target="https://www.legis.iowa.gov/docs/ico/chapter/155A.15.pdf" Type="http://schemas.openxmlformats.org/officeDocument/2006/relationships/hyperlink" Id="rId59"/>
    <Relationship TargetMode="External" Target="https://www.legis.iowa.gov/docs/ico/chapter/155A.17.pdf" Type="http://schemas.openxmlformats.org/officeDocument/2006/relationships/hyperlink" Id="rId60"/>
    <Relationship TargetMode="External" Target="https://www.legis.iowa.gov/docs/ico/chapter/155A.42.pdf" Type="http://schemas.openxmlformats.org/officeDocument/2006/relationships/hyperlink" Id="rId61"/>
    <Relationship TargetMode="External" Target="https://www.legis.iowa.gov/docs/ico/chapter/272C.3.pdf" Type="http://schemas.openxmlformats.org/officeDocument/2006/relationships/hyperlink" Id="rId62"/>
    <Relationship TargetMode="External" Target="https://www.legis.iowa.gov/docs/ico/chapter/272C.4.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