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94</w:t>
      </w:r>
    </w:p>
    <w:p>
      <w:pPr>
        <w:spacing w:before="0" w:after="0"/>
        <w:ind w:left="120"/>
        <w:jc w:val="center"/>
      </w:pPr>
      <w:r>
        <w:rPr>
          <w:rFonts w:ascii="Times New Roman" w:hAnsi="Times New Roman"/>
          <w:b w:val="false"/>
          <w:i w:val="false"/>
          <w:color w:val="000000"/>
          <w:sz w:val="21"/>
        </w:rPr>
        <w:t>CHILD PROTECTION CENTER GRANT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641—94.1</w:t>
      </w:r>
      <w:r>
        <w:rPr>
          <w:rFonts w:ascii="Times New Roman" w:hAnsi="Times New Roman"/>
          <w:b/>
          <w:i w:val="false"/>
          <w:color w:val="000000"/>
          <w:sz w:val="22"/>
        </w:rPr>
        <w:t xml:space="preserve">(135) </w:t>
      </w:r>
      <w:r>
        <w:rPr>
          <w:rFonts w:ascii="Times New Roman" w:hAnsi="Times New Roman"/>
          <w:b/>
          <w:i w:val="false"/>
          <w:color w:val="000000"/>
          <w:sz w:val="22"/>
        </w:rPr>
        <w:t xml:space="preserve">Scope and purpose. </w:t>
      </w:r>
      <w:r>
        <w:rPr>
          <w:rFonts w:ascii="Times New Roman" w:hAnsi="Times New Roman"/>
          <w:b w:val="false"/>
          <w:i w:val="false"/>
          <w:color w:val="000000"/>
          <w:sz w:val="22"/>
        </w:rPr>
        <w:t>A child protection center grant program is established to provide grants to eligible applicants for the purpose of establishing new child protection centers and to support existing child protection centers. Grants may be available to eligible organizations that meet, or that are in the process of implementing, child protection center standards established by the National Children’s Alliance. If sufficient funding is available, the program shall, at a minimum, award a grant to a child protection center in or available to each department of human services region in Iowa. Implementation of the grant program is subject to the availability of funding.</w:t>
      </w:r>
    </w:p>
    <w:p>
      <w:pPr>
        <w:spacing w:before="0" w:after="0"/>
        <w:ind w:left="120"/>
        <w:jc w:val="both"/>
      </w:pPr>
      <w:r>
        <w:rPr>
          <w:rFonts w:ascii="Times New Roman" w:hAnsi="Times New Roman"/>
          <w:b/>
          <w:i w:val="false"/>
          <w:color w:val="000000"/>
          <w:sz w:val="22"/>
        </w:rPr>
        <w:t>641—94.2</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abuse” </w:t>
      </w:r>
      <w:r>
        <w:rPr>
          <w:rFonts w:ascii="Times New Roman" w:hAnsi="Times New Roman"/>
          <w:b w:val="false"/>
          <w:i w:val="false"/>
          <w:color w:val="000000"/>
          <w:sz w:val="22"/>
        </w:rPr>
        <w:t xml:space="preserve">means abuse as defined by Iowa Code section </w:t>
      </w:r>
      <w:hyperlink r:id="rId5">
        <w:r>
          <w:rPr>
            <w:rStyle w:val="Hyperlink"/>
            <w:rFonts w:ascii="Times New Roman" w:hAnsi="Times New Roman"/>
            <w:b w:val="false"/>
            <w:i w:val="false"/>
            <w:color w:val="000000"/>
            <w:sz w:val="22"/>
          </w:rPr>
          <w:t>232.68(2)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protection center”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“child advocacy center” </w:t>
      </w:r>
      <w:r>
        <w:rPr>
          <w:rFonts w:ascii="Times New Roman" w:hAnsi="Times New Roman"/>
          <w:b w:val="false"/>
          <w:i w:val="false"/>
          <w:color w:val="000000"/>
          <w:sz w:val="22"/>
        </w:rPr>
        <w:t>means a comprehensive, child-focused program, designed by communities to meet their needs, based in a facility that allows law enforcement, child protection professionals, prosecutors, and the mental health and medical communities to work together to handle child abuse cases. Child advocacy center is synonymous with child protection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protection worker” </w:t>
      </w:r>
      <w:r>
        <w:rPr>
          <w:rFonts w:ascii="Times New Roman" w:hAnsi="Times New Roman"/>
          <w:b w:val="false"/>
          <w:i w:val="false"/>
          <w:color w:val="000000"/>
          <w:sz w:val="22"/>
        </w:rPr>
        <w:t xml:space="preserve">means a worker as defined by Iowa Code section </w:t>
      </w:r>
      <w:hyperlink r:id="rId6">
        <w:r>
          <w:rPr>
            <w:rStyle w:val="Hyperlink"/>
            <w:rFonts w:ascii="Times New Roman" w:hAnsi="Times New Roman"/>
            <w:b w:val="false"/>
            <w:i w:val="false"/>
            <w:color w:val="000000"/>
            <w:sz w:val="22"/>
          </w:rPr>
          <w:t>232.68</w:t>
        </w:r>
      </w:hyperlink>
      <w:r>
        <w:rPr>
          <w:rFonts w:ascii="Times New Roman" w:hAnsi="Times New Roman"/>
          <w:b w:val="false"/>
          <w:i w:val="false"/>
          <w:color w:val="000000"/>
          <w:sz w:val="22"/>
        </w:rPr>
        <w:t>(2A).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“Culturally competent” </w:t>
      </w:r>
      <w:r>
        <w:rPr>
          <w:rFonts w:ascii="Times New Roman" w:hAnsi="Times New Roman"/>
          <w:b w:val="false"/>
          <w:i w:val="false"/>
          <w:color w:val="000000"/>
          <w:sz w:val="22"/>
        </w:rPr>
        <w:t>means the capacity to function in more than one culture, requiring the ability to appreciate, understand and interact with members of diverse populations within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“Developmentally appropriate” </w:t>
      </w:r>
      <w:r>
        <w:rPr>
          <w:rFonts w:ascii="Times New Roman" w:hAnsi="Times New Roman"/>
          <w:b w:val="false"/>
          <w:i w:val="false"/>
          <w:color w:val="000000"/>
          <w:sz w:val="22"/>
        </w:rPr>
        <w:t>means that services are based on human development and learning, individual characteristics and experiences, social and cultural contexts.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advocate” </w:t>
      </w:r>
      <w:r>
        <w:rPr>
          <w:rFonts w:ascii="Times New Roman" w:hAnsi="Times New Roman"/>
          <w:b w:val="false"/>
          <w:i w:val="false"/>
          <w:color w:val="000000"/>
          <w:sz w:val="22"/>
        </w:rPr>
        <w:t>means an individual who supports a child provided service through a child protection center and ensures access to formal or informal community services as needed by the child or the child’s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“Forensic interview” </w:t>
      </w:r>
      <w:r>
        <w:rPr>
          <w:rFonts w:ascii="Times New Roman" w:hAnsi="Times New Roman"/>
          <w:b w:val="false"/>
          <w:i w:val="false"/>
          <w:color w:val="000000"/>
          <w:sz w:val="22"/>
        </w:rPr>
        <w:t>means a face-to-face meeting between individuals to elicit information and that follows a process suitable for a law court or public debate.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“Multidisciplinary team” </w:t>
      </w:r>
      <w:r>
        <w:rPr>
          <w:rFonts w:ascii="Times New Roman" w:hAnsi="Times New Roman"/>
          <w:b w:val="false"/>
          <w:i w:val="false"/>
          <w:color w:val="000000"/>
          <w:sz w:val="22"/>
        </w:rPr>
        <w:t>means individuals with many education levels that encompass the individuals’ beliefs and training in fields of health, education, human service, justice, faith, and others.</w:t>
      </w:r>
    </w:p>
    <w:p>
      <w:pPr>
        <w:spacing w:before="0" w:after="0"/>
        <w:ind w:left="120"/>
        <w:jc w:val="both"/>
      </w:pPr>
      <w:r>
        <w:rPr>
          <w:rFonts w:ascii="Times New Roman" w:hAnsi="Times New Roman"/>
          <w:b/>
          <w:i w:val="false"/>
          <w:color w:val="000000"/>
          <w:sz w:val="22"/>
        </w:rPr>
        <w:t>641—94.3</w:t>
      </w:r>
      <w:r>
        <w:rPr>
          <w:rFonts w:ascii="Times New Roman" w:hAnsi="Times New Roman"/>
          <w:b/>
          <w:i w:val="false"/>
          <w:color w:val="000000"/>
          <w:sz w:val="22"/>
        </w:rPr>
        <w:t xml:space="preserve">(135) </w:t>
      </w:r>
      <w:r>
        <w:rPr>
          <w:rFonts w:ascii="Times New Roman" w:hAnsi="Times New Roman"/>
          <w:b/>
          <w:i w:val="false"/>
          <w:color w:val="000000"/>
          <w:sz w:val="22"/>
        </w:rPr>
        <w:t xml:space="preserve">Goals. </w:t>
      </w:r>
      <w:r>
        <w:rPr>
          <w:rFonts w:ascii="Times New Roman" w:hAnsi="Times New Roman"/>
          <w:b w:val="false"/>
          <w:i w:val="false"/>
          <w:color w:val="000000"/>
          <w:sz w:val="22"/>
        </w:rPr>
        <w:t>A child protection center’s goals for victims of child abuse allegations shall be: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To provide consistent and expedient response and follow-up to abuse reports.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Coordination of activities to investigate, prosecute, and treat child abuse.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To advocate for medical and mental health resources to effectively help the child and the child’s family.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To reduce the number of interviews and interactions with a victim.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To provide consistent and compassionate support for the child and the child’s family.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To ensure that the child is not further victimized by the system designed to protect the child.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To increase successful prosecutions.</w:t>
      </w:r>
    </w:p>
    <w:p>
      <w:pPr>
        <w:spacing w:before="0" w:after="0"/>
        <w:ind w:left="120"/>
        <w:jc w:val="both"/>
      </w:pPr>
      <w:r>
        <w:rPr>
          <w:rFonts w:ascii="Times New Roman" w:hAnsi="Times New Roman"/>
          <w:b/>
          <w:i w:val="false"/>
          <w:color w:val="000000"/>
          <w:sz w:val="22"/>
        </w:rPr>
        <w:t>641—94.4</w:t>
      </w:r>
      <w:r>
        <w:rPr>
          <w:rFonts w:ascii="Times New Roman" w:hAnsi="Times New Roman"/>
          <w:b/>
          <w:i w:val="false"/>
          <w:color w:val="000000"/>
          <w:sz w:val="22"/>
        </w:rPr>
        <w:t xml:space="preserve">(135) </w:t>
      </w:r>
      <w:r>
        <w:rPr>
          <w:rFonts w:ascii="Times New Roman" w:hAnsi="Times New Roman"/>
          <w:b/>
          <w:i w:val="false"/>
          <w:color w:val="000000"/>
          <w:sz w:val="22"/>
        </w:rPr>
        <w:t xml:space="preserve">Review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94.4(1)</w:t>
      </w:r>
      <w:r>
        <w:rPr>
          <w:rFonts w:ascii="Times New Roman" w:hAnsi="Times New Roman"/>
          <w:b w:val="false"/>
          <w:i w:val="false"/>
          <w:color w:val="000000"/>
          <w:sz w:val="22"/>
        </w:rPr>
        <w:t> </w:t>
      </w:r>
      <w:r>
        <w:rPr>
          <w:rFonts w:ascii="Times New Roman" w:hAnsi="Times New Roman"/>
          <w:b w:val="false"/>
          <w:i w:val="false"/>
          <w:color w:val="000000"/>
          <w:sz w:val="22"/>
        </w:rPr>
        <w:t>The department shall establish a request for proposal and application process for organizations eligible to receive funding. The department shall establish a process to review applications, which includes receiving input from a review committee. The review process and review criteria shall be described in the request for proposals.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94.4(2)</w:t>
      </w:r>
      <w:r>
        <w:rPr>
          <w:rFonts w:ascii="Times New Roman" w:hAnsi="Times New Roman"/>
          <w:b w:val="false"/>
          <w:i w:val="false"/>
          <w:color w:val="000000"/>
          <w:sz w:val="22"/>
        </w:rPr>
        <w:t> </w:t>
      </w:r>
      <w:r>
        <w:rPr>
          <w:rFonts w:ascii="Times New Roman" w:hAnsi="Times New Roman"/>
          <w:b w:val="false"/>
          <w:i w:val="false"/>
          <w:color w:val="000000"/>
          <w:sz w:val="22"/>
        </w:rPr>
        <w:t>The director shall create a committee to review proposals and make recommendations to the director. At a minimum, committee membership shall include representation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State departments of human services, justice and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Iowa Medical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Iowa Hospital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Iowa Nurses Association;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Iowa chapter of the National Association of Social Workers.</w:t>
      </w:r>
    </w:p>
    <w:p>
      <w:pPr>
        <w:spacing w:before="0" w:after="0"/>
        <w:ind w:left="120"/>
        <w:jc w:val="both"/>
      </w:pPr>
      <w:r>
        <w:rPr>
          <w:rFonts w:ascii="Times New Roman" w:hAnsi="Times New Roman"/>
          <w:b/>
          <w:i w:val="false"/>
          <w:color w:val="000000"/>
          <w:sz w:val="22"/>
        </w:rPr>
        <w:t>641—94.5</w:t>
      </w:r>
      <w:r>
        <w:rPr>
          <w:rFonts w:ascii="Times New Roman" w:hAnsi="Times New Roman"/>
          <w:b/>
          <w:i w:val="false"/>
          <w:color w:val="000000"/>
          <w:sz w:val="22"/>
        </w:rPr>
        <w:t xml:space="preserve">(135) </w:t>
      </w:r>
      <w:r>
        <w:rPr>
          <w:rFonts w:ascii="Times New Roman" w:hAnsi="Times New Roman"/>
          <w:b/>
          <w:i w:val="false"/>
          <w:color w:val="000000"/>
          <w:sz w:val="22"/>
        </w:rPr>
        <w:t xml:space="preserve">Eligibility and criteria. </w:t>
      </w:r>
      <w:r>
        <w:rPr>
          <w:rFonts w:ascii="Times New Roman" w:hAnsi="Times New Roman"/>
          <w:b w:val="false"/>
          <w:i w:val="false"/>
          <w:color w:val="000000"/>
          <w:sz w:val="22"/>
        </w:rPr>
        <w:t>To be eligible for a child protection center grant, an organization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94.5(1)</w:t>
      </w:r>
      <w:r>
        <w:rPr>
          <w:rFonts w:ascii="Times New Roman" w:hAnsi="Times New Roman"/>
          <w:b w:val="false"/>
          <w:i w:val="false"/>
          <w:color w:val="000000"/>
          <w:sz w:val="22"/>
        </w:rPr>
        <w:t> </w:t>
      </w:r>
      <w:r>
        <w:rPr>
          <w:rFonts w:ascii="Times New Roman" w:hAnsi="Times New Roman"/>
          <w:b w:val="false"/>
          <w:i w:val="false"/>
          <w:color w:val="000000"/>
          <w:sz w:val="22"/>
        </w:rPr>
        <w:t>Have acquired partial membership rank as a child advocacy center from the National Children’s Alliance and shall identify a plan to acquire full membership rank within one year of receiving a state grant.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94.5(2)</w:t>
      </w:r>
      <w:r>
        <w:rPr>
          <w:rFonts w:ascii="Times New Roman" w:hAnsi="Times New Roman"/>
          <w:b w:val="false"/>
          <w:i w:val="false"/>
          <w:color w:val="000000"/>
          <w:sz w:val="22"/>
        </w:rPr>
        <w:t> </w:t>
      </w:r>
      <w:r>
        <w:rPr>
          <w:rFonts w:ascii="Times New Roman" w:hAnsi="Times New Roman"/>
          <w:b w:val="false"/>
          <w:i w:val="false"/>
          <w:color w:val="000000"/>
          <w:sz w:val="22"/>
        </w:rPr>
        <w:t xml:space="preserve">Have in place an interagency memorandum of understanding which meets the requirements of Iowa Code section </w:t>
      </w:r>
      <w:hyperlink r:id="rId7">
        <w:r>
          <w:rPr>
            <w:rStyle w:val="Hyperlink"/>
            <w:rFonts w:ascii="Times New Roman" w:hAnsi="Times New Roman"/>
            <w:b w:val="false"/>
            <w:i w:val="false"/>
            <w:color w:val="000000"/>
            <w:sz w:val="22"/>
          </w:rPr>
          <w:t>135.118</w:t>
        </w:r>
      </w:hyperlink>
      <w:r>
        <w:rPr>
          <w:rFonts w:ascii="Times New Roman" w:hAnsi="Times New Roman"/>
          <w:b w:val="false"/>
          <w:i w:val="false"/>
          <w:color w:val="000000"/>
          <w:sz w:val="22"/>
        </w:rPr>
        <w:t>. The applicant shall provide in the application written information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Data, statistics and facts from an assessment of need and assets in the community to support a child protection center for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Identification of barriers to the child protection center to reach the purpose and goals for children as may exist in federal, state or local rules, regulations, codes, policies or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plan to request and advocate waivers of federal, state, or local rules, regulations, codes, policies, or procedures to remove or reduce barriers.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child protection center’s access to information regarding all suspected or confirmed child abuse/neglect victims in the identified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child protection center’s provision of 24-hour access to center staff for support, questions and referrals regarding child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Identification of matching local funds to support and sustain the child protection center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plan for community education on prevention of child abuse and neglect.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Collaboration agreements with providers of human services, child health services, early education services, and all other potential community partners to support the purpose and goals of the child protection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child protection center’s ability to access and utilize alternate funds for activities provided.</w:t>
      </w:r>
    </w:p>
    <w:p>
      <w:pPr>
        <w:spacing w:before="210" w:after="0"/>
        <w:ind w:left="120"/>
        <w:jc w:val="both"/>
      </w:pPr>
      <w:r>
        <w:rPr>
          <w:rFonts w:ascii="Times New Roman" w:hAnsi="Times New Roman"/>
          <w:b/>
          <w:i w:val="false"/>
          <w:color w:val="000000"/>
          <w:sz w:val="22"/>
        </w:rPr>
        <w:t>641—94.6</w:t>
      </w:r>
      <w:r>
        <w:rPr>
          <w:rFonts w:ascii="Times New Roman" w:hAnsi="Times New Roman"/>
          <w:b/>
          <w:i w:val="false"/>
          <w:color w:val="000000"/>
          <w:sz w:val="22"/>
        </w:rPr>
        <w:t xml:space="preserve">(135)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An applicant may appeal the denial of a properly submitted grant application. Appeals shall be governed by </w:t>
      </w:r>
      <w:hyperlink r:id="rId8">
        <w:r>
          <w:rPr>
            <w:rStyle w:val="Hyperlink"/>
            <w:rFonts w:ascii="Times New Roman" w:hAnsi="Times New Roman"/>
            <w:b w:val="false"/>
            <w:i w:val="false"/>
            <w:color w:val="000000"/>
            <w:sz w:val="22"/>
          </w:rPr>
          <w:t>rule 641—176.8(135,17A)</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135.118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3/14/03, Notice 2/5/03—published 4/2/03, effective 5/7/03]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2.68.pdf" Type="http://schemas.openxmlformats.org/officeDocument/2006/relationships/hyperlink" Id="rId5"/>
    <Relationship TargetMode="External" Target="https://www.legis.iowa.gov/docs/ico/chapter/232.68.pdf" Type="http://schemas.openxmlformats.org/officeDocument/2006/relationships/hyperlink" Id="rId6"/>
    <Relationship TargetMode="External" Target="https://www.legis.iowa.gov/docs/ico/chapter/135.118.pdf" Type="http://schemas.openxmlformats.org/officeDocument/2006/relationships/hyperlink" Id="rId7"/>
    <Relationship TargetMode="External" Target="https://www.legis.iowa.gov/docs/iac/rule/641.176.8.pdf" Type="http://schemas.openxmlformats.org/officeDocument/2006/relationships/hyperlink" Id="rId8"/>
    <Relationship TargetMode="External" Target="https://www.legis.iowa.gov/docs/ico/chapter/135.118.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