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w:t>
      </w:r>
    </w:p>
    <w:p>
      <w:pPr>
        <w:spacing w:before="0" w:after="0"/>
        <w:ind w:left="120"/>
        <w:jc w:val="center"/>
      </w:pPr>
      <w:r>
        <w:rPr>
          <w:rFonts w:ascii="Times New Roman" w:hAnsi="Times New Roman"/>
          <w:b w:val="false"/>
          <w:i w:val="false"/>
          <w:color w:val="000000"/>
          <w:sz w:val="21"/>
        </w:rPr>
        <w:t>OUTPATIENT DIABETES EDUCATION PROGRAMS</w:t>
      </w:r>
    </w:p>
    <w:p>
      <w:pPr>
        <w:spacing w:before="0" w:after="0"/>
        <w:ind w:left="120"/>
        <w:jc w:val="center"/>
      </w:pPr>
      <w:r>
        <w:rPr>
          <w:rFonts w:ascii="Times New Roman" w:hAnsi="Times New Roman"/>
          <w:b w:val="false"/>
          <w:i w:val="false"/>
          <w:color w:val="000000"/>
          <w:sz w:val="14"/>
        </w:rPr>
        <w:t>[Prior to 7/29/87, Health Department[470], Ch 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641—9.1</w:t>
      </w:r>
      <w:r>
        <w:rPr>
          <w:rFonts w:ascii="Times New Roman" w:hAnsi="Times New Roman"/>
          <w:b/>
          <w:i w:val="false"/>
          <w:color w:val="000000"/>
          <w:sz w:val="22"/>
        </w:rPr>
        <w:t xml:space="preserve">(135) </w:t>
      </w:r>
      <w:r>
        <w:rPr>
          <w:rFonts w:ascii="Times New Roman" w:hAnsi="Times New Roman"/>
          <w:b/>
          <w:i w:val="false"/>
          <w:color w:val="000000"/>
          <w:sz w:val="22"/>
        </w:rPr>
        <w:t xml:space="preserve">Scope. </w:t>
      </w:r>
      <w:r>
        <w:rPr>
          <w:rFonts w:ascii="Times New Roman" w:hAnsi="Times New Roman"/>
          <w:b w:val="false"/>
          <w:i w:val="false"/>
          <w:color w:val="000000"/>
          <w:sz w:val="22"/>
        </w:rPr>
        <w:t>The scope of this chapter is to describe the standards for outpatient diabetes self-management education programs and the procedures programs must follow for certification by the Iowa department of public health that will allow for third-party reimbursement.</w:t>
      </w:r>
    </w:p>
    <w:p>
      <w:pPr>
        <w:spacing w:before="0" w:after="0"/>
        <w:ind w:left="120"/>
        <w:jc w:val="both"/>
      </w:pPr>
      <w:r>
        <w:rPr>
          <w:rFonts w:ascii="Times New Roman" w:hAnsi="Times New Roman"/>
          <w:b/>
          <w:i w:val="false"/>
          <w:color w:val="000000"/>
          <w:sz w:val="22"/>
        </w:rPr>
        <w:t>641—9.2</w:t>
      </w:r>
      <w:r>
        <w:rPr>
          <w:rFonts w:ascii="Times New Roman" w:hAnsi="Times New Roman"/>
          <w:b/>
          <w:i w:val="false"/>
          <w:color w:val="000000"/>
          <w:sz w:val="22"/>
        </w:rPr>
        <w:t xml:space="preserve">(135)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terms shall have the meaning set forth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“AADE” </w:t>
      </w:r>
      <w:r>
        <w:rPr>
          <w:rFonts w:ascii="Times New Roman" w:hAnsi="Times New Roman"/>
          <w:b w:val="false"/>
          <w:i w:val="false"/>
          <w:color w:val="000000"/>
          <w:sz w:val="22"/>
        </w:rPr>
        <w:t xml:space="preserve">means the American Association of Diabetes Educators.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“Accredited” </w:t>
      </w:r>
      <w:r>
        <w:rPr>
          <w:rFonts w:ascii="Times New Roman" w:hAnsi="Times New Roman"/>
          <w:b w:val="false"/>
          <w:i w:val="false"/>
          <w:color w:val="000000"/>
          <w:sz w:val="22"/>
        </w:rPr>
        <w:t>means that a program is currently accredited by the Association of Diabetes Care and Education Specialists (ADCES)/American Association of Diabetes Educators (AADE).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“ADA” </w:t>
      </w:r>
      <w:r>
        <w:rPr>
          <w:rFonts w:ascii="Times New Roman" w:hAnsi="Times New Roman"/>
          <w:b w:val="false"/>
          <w:i w:val="false"/>
          <w:color w:val="000000"/>
          <w:sz w:val="22"/>
        </w:rPr>
        <w:t>means the American Diabetes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“ADCES” </w:t>
      </w:r>
      <w:r>
        <w:rPr>
          <w:rFonts w:ascii="Times New Roman" w:hAnsi="Times New Roman"/>
          <w:b w:val="false"/>
          <w:i w:val="false"/>
          <w:color w:val="000000"/>
          <w:sz w:val="22"/>
        </w:rPr>
        <w:t>means the Association of Diabetes Care and Education Specialists.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“Certification” </w:t>
      </w:r>
      <w:r>
        <w:rPr>
          <w:rFonts w:ascii="Times New Roman" w:hAnsi="Times New Roman"/>
          <w:b w:val="false"/>
          <w:i w:val="false"/>
          <w:color w:val="000000"/>
          <w:sz w:val="22"/>
        </w:rPr>
        <w:t>means the review and approval and assignment of a program site number of an outpatient diabetes education program which meets minimum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diabetes care and education specialist” </w:t>
      </w:r>
      <w:r>
        <w:rPr>
          <w:rFonts w:ascii="Times New Roman" w:hAnsi="Times New Roman"/>
          <w:b w:val="false"/>
          <w:i w:val="false"/>
          <w:color w:val="000000"/>
          <w:sz w:val="22"/>
        </w:rPr>
        <w:t>means a person currently certified by the Certification Board for Diabetes Care and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diabetes educator” </w:t>
      </w:r>
      <w:r>
        <w:rPr>
          <w:rFonts w:ascii="Times New Roman" w:hAnsi="Times New Roman"/>
          <w:b w:val="false"/>
          <w:i w:val="false"/>
          <w:color w:val="000000"/>
          <w:sz w:val="22"/>
        </w:rPr>
        <w:t>means a person currently certified by the National Certification Board for Diabetes Educators.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“Diabetes mellitus” </w:t>
      </w:r>
      <w:r>
        <w:rPr>
          <w:rFonts w:ascii="Times New Roman" w:hAnsi="Times New Roman"/>
          <w:b w:val="false"/>
          <w:i w:val="false"/>
          <w:color w:val="000000"/>
          <w:sz w:val="22"/>
        </w:rPr>
        <w:t>includes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“Type I diabetes” means insulin-dependent diabetes (IDDM) requiring lifelong treatment with insulin.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“Type II diabetes” means noninsulin-dependent diabetes often managed by food plan, exercise, weight control, and in some instances, oral medications or insulin.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“Gestational diabetes” means diabetes diagnosed during pregnancy.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“Impaired glucose tolerance” means a condition in which blood glucose levels are higher than normal, diagnosed by a physician or physician assistant, and treated with food plan, exercise or weight control.</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“Secondary diabetes” means diabetes induced by drugs or chemicals as well as by pancreatic or endocrine disease and treated appropriately.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“Licensed dietitian” </w:t>
      </w:r>
      <w:r>
        <w:rPr>
          <w:rFonts w:ascii="Times New Roman" w:hAnsi="Times New Roman"/>
          <w:b w:val="false"/>
          <w:i w:val="false"/>
          <w:color w:val="000000"/>
          <w:sz w:val="22"/>
        </w:rPr>
        <w:t xml:space="preserve">means a person currently licensed to practice dietetics under Iowa Code chapter </w:t>
      </w:r>
      <w:hyperlink r:id="rId5">
        <w:r>
          <w:rPr>
            <w:rStyle w:val="Hyperlink"/>
            <w:rFonts w:ascii="Times New Roman" w:hAnsi="Times New Roman"/>
            <w:b w:val="false"/>
            <w:i w:val="false"/>
            <w:color w:val="000000"/>
            <w:sz w:val="22"/>
          </w:rPr>
          <w:t>152A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“Participant” </w:t>
      </w:r>
      <w:r>
        <w:rPr>
          <w:rFonts w:ascii="Times New Roman" w:hAnsi="Times New Roman"/>
          <w:b w:val="false"/>
          <w:i w:val="false"/>
          <w:color w:val="000000"/>
          <w:sz w:val="22"/>
        </w:rPr>
        <w:t>means a patient who is referred to, is active in, or has completed the educational diabetes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“Pharmacist” </w:t>
      </w:r>
      <w:r>
        <w:rPr>
          <w:rFonts w:ascii="Times New Roman" w:hAnsi="Times New Roman"/>
          <w:b w:val="false"/>
          <w:i w:val="false"/>
          <w:color w:val="000000"/>
          <w:sz w:val="22"/>
        </w:rPr>
        <w:t xml:space="preserve">means a person currently licensed to practice pharmacy under Iowa Code chapter </w:t>
      </w:r>
      <w:hyperlink r:id="rId6">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w:t>
      </w:r>
      <w:r>
        <w:rPr>
          <w:rFonts w:ascii="Times New Roman" w:hAnsi="Times New Roman"/>
          <w:b w:val="false"/>
          <w:i w:val="false"/>
          <w:color w:val="000000"/>
          <w:sz w:val="22"/>
        </w:rPr>
        <w:t>means a person currently licensed to practice medicine and surgery, osteopathic medicine and surgery, or osteopathy under Iowa Code chapter </w:t>
      </w:r>
      <w:hyperlink r:id="rId7">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assistant” </w:t>
      </w:r>
      <w:r>
        <w:rPr>
          <w:rFonts w:ascii="Times New Roman" w:hAnsi="Times New Roman"/>
          <w:b w:val="false"/>
          <w:i w:val="false"/>
          <w:color w:val="000000"/>
          <w:sz w:val="22"/>
        </w:rPr>
        <w:t xml:space="preserve">means a person currently licensed under Iowa Code chapter </w:t>
      </w:r>
      <w:hyperlink r:id="rId8">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instructor” </w:t>
      </w:r>
      <w:r>
        <w:rPr>
          <w:rFonts w:ascii="Times New Roman" w:hAnsi="Times New Roman"/>
          <w:b w:val="false"/>
          <w:i w:val="false"/>
          <w:color w:val="000000"/>
          <w:sz w:val="22"/>
        </w:rPr>
        <w:t>means an instructor with major or broad teaching responsibility.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“Professional health educator” </w:t>
      </w:r>
      <w:r>
        <w:rPr>
          <w:rFonts w:ascii="Times New Roman" w:hAnsi="Times New Roman"/>
          <w:b w:val="false"/>
          <w:i w:val="false"/>
          <w:color w:val="000000"/>
          <w:sz w:val="22"/>
        </w:rPr>
        <w:t>means a person having successfully completed a degree designated “health education” from an accredited college or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an outpatient diabetes self-management education program in which instruction shall be provided which shall enable people with diabetes and their families to understand the diabetes disease process and the daily management of diabetes.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coordinator” </w:t>
      </w:r>
      <w:r>
        <w:rPr>
          <w:rFonts w:ascii="Times New Roman" w:hAnsi="Times New Roman"/>
          <w:b w:val="false"/>
          <w:i w:val="false"/>
          <w:color w:val="000000"/>
          <w:sz w:val="22"/>
        </w:rPr>
        <w:t>means the person responsible for the direction and supervision of a program including, but not limited to, planning, arranging implementation, and assuring quality.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staff” </w:t>
      </w:r>
      <w:r>
        <w:rPr>
          <w:rFonts w:ascii="Times New Roman" w:hAnsi="Times New Roman"/>
          <w:b w:val="false"/>
          <w:i w:val="false"/>
          <w:color w:val="000000"/>
          <w:sz w:val="22"/>
        </w:rPr>
        <w:t>means the program coordinator, program physician, primary and supporting instructors, and advisory committee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“Recognized” </w:t>
      </w:r>
      <w:r>
        <w:rPr>
          <w:rFonts w:ascii="Times New Roman" w:hAnsi="Times New Roman"/>
          <w:b w:val="false"/>
          <w:i w:val="false"/>
          <w:color w:val="000000"/>
          <w:sz w:val="22"/>
        </w:rPr>
        <w:t>means that a program is currently recognized by the American Diabetes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“Registered nurse” </w:t>
      </w:r>
      <w:r>
        <w:rPr>
          <w:rFonts w:ascii="Times New Roman" w:hAnsi="Times New Roman"/>
          <w:b w:val="false"/>
          <w:i w:val="false"/>
          <w:color w:val="000000"/>
          <w:sz w:val="22"/>
        </w:rPr>
        <w:t xml:space="preserve">means a person currently licensed to practice professional nursing under Iowa Code chapter </w:t>
      </w:r>
      <w:hyperlink r:id="rId9">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“Standards” </w:t>
      </w:r>
      <w:r>
        <w:rPr>
          <w:rFonts w:ascii="Times New Roman" w:hAnsi="Times New Roman"/>
          <w:b w:val="false"/>
          <w:i w:val="false"/>
          <w:color w:val="000000"/>
          <w:sz w:val="22"/>
        </w:rPr>
        <w:t>means the outpatient diabetes education program standards developed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“Supporting instructor” </w:t>
      </w:r>
      <w:r>
        <w:rPr>
          <w:rFonts w:ascii="Times New Roman" w:hAnsi="Times New Roman"/>
          <w:b w:val="false"/>
          <w:i w:val="false"/>
          <w:color w:val="000000"/>
          <w:sz w:val="22"/>
        </w:rPr>
        <w:t>means an instructor who teaches only one or two specific topics of the program, on a voluntary or paid basis.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9249B</w:t>
      </w:r>
      <w:r>
        <w:rPr>
          <w:rFonts w:ascii="Times New Roman" w:hAnsi="Times New Roman"/>
          <w:b w:val="false"/>
          <w:i w:val="false"/>
          <w:color w:val="000000"/>
          <w:sz w:val="16"/>
        </w:rPr>
        <w:t>, IAB 12/1/10, effective 1/5/11</w:t>
      </w:r>
      <w:r>
        <w:rPr>
          <w:rFonts w:ascii="Times New Roman" w:hAnsi="Times New Roman"/>
          <w:b w:val="false"/>
          <w:i w:val="false"/>
          <w:color w:val="000000"/>
          <w:sz w:val="16"/>
        </w:rPr>
        <w:t xml:space="preserve">; </w:t>
      </w:r>
      <w:r>
        <w:rPr>
          <w:rFonts w:ascii="Times New Roman" w:hAnsi="Times New Roman"/>
          <w:b/>
          <w:i w:val="false"/>
          <w:color w:val="000000"/>
          <w:sz w:val="16"/>
        </w:rPr>
        <w:t>ARC 4074C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 xml:space="preserve">; </w:t>
      </w:r>
      <w:r>
        <w:rPr>
          <w:rFonts w:ascii="Times New Roman" w:hAnsi="Times New Roman"/>
          <w:b/>
          <w:i w:val="false"/>
          <w:color w:val="000000"/>
          <w:sz w:val="16"/>
        </w:rPr>
        <w:t>ARC 6268C</w:t>
      </w:r>
      <w:r>
        <w:rPr>
          <w:rFonts w:ascii="Times New Roman" w:hAnsi="Times New Roman"/>
          <w:b w:val="false"/>
          <w:i w:val="false"/>
          <w:color w:val="000000"/>
          <w:sz w:val="16"/>
        </w:rPr>
        <w:t>, IAB 4/6/22, effective 5/11/22</w:t>
      </w:r>
      <w:r>
        <w:rPr>
          <w:rFonts w:ascii="Times New Roman" w:hAnsi="Times New Roman"/>
          <w:b w:val="false"/>
          <w:i w:val="false"/>
          <w:color w:val="000000"/>
          <w:sz w:val="16"/>
        </w:rPr>
        <w:t xml:space="preserve">; </w:t>
      </w:r>
      <w:r>
        <w:rPr>
          <w:rFonts w:ascii="Times New Roman" w:hAnsi="Times New Roman"/>
          <w:b/>
          <w:i w:val="false"/>
          <w:color w:val="000000"/>
          <w:sz w:val="16"/>
        </w:rPr>
        <w:t>ARC 6847C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641—9.3</w:t>
      </w:r>
      <w:r>
        <w:rPr>
          <w:rFonts w:ascii="Times New Roman" w:hAnsi="Times New Roman"/>
          <w:b/>
          <w:i w:val="false"/>
          <w:color w:val="000000"/>
          <w:sz w:val="22"/>
        </w:rPr>
        <w:t xml:space="preserve">(135) </w:t>
      </w:r>
      <w:r>
        <w:rPr>
          <w:rFonts w:ascii="Times New Roman" w:hAnsi="Times New Roman"/>
          <w:b/>
          <w:i w:val="false"/>
          <w:color w:val="000000"/>
          <w:sz w:val="22"/>
        </w:rPr>
        <w:t xml:space="preserve">Powers and duties. </w:t>
      </w:r>
      <w:r>
        <w:rPr>
          <w:rFonts w:ascii="Times New Roman" w:hAnsi="Times New Roman"/>
          <w:b w:val="false"/>
          <w:i w:val="false"/>
          <w:color w:val="000000"/>
          <w:sz w:val="22"/>
        </w:rPr>
        <w:t>The department shall be responsible for taking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w:t>
      </w:r>
      <w:r>
        <w:rPr>
          <w:rFonts w:ascii="Times New Roman" w:hAnsi="Times New Roman"/>
          <w:b w:val="false"/>
          <w:i w:val="false"/>
          <w:color w:val="000000"/>
          <w:sz w:val="22"/>
        </w:rPr>
        <w:t> </w:t>
      </w:r>
      <w:r>
        <w:rPr>
          <w:rFonts w:ascii="Times New Roman" w:hAnsi="Times New Roman"/>
          <w:b w:val="false"/>
          <w:i w:val="false"/>
          <w:color w:val="000000"/>
          <w:sz w:val="22"/>
        </w:rPr>
        <w:t>Develop minimum standards for certification aligned with the National Standards for Diabetes Self-Management Education and Support published by the ADA and the ADCES/AADE.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9.3(2)</w:t>
      </w:r>
      <w:r>
        <w:rPr>
          <w:rFonts w:ascii="Times New Roman" w:hAnsi="Times New Roman"/>
          <w:b w:val="false"/>
          <w:i w:val="false"/>
          <w:color w:val="000000"/>
          <w:sz w:val="22"/>
        </w:rPr>
        <w:t> </w:t>
      </w:r>
      <w:r>
        <w:rPr>
          <w:rFonts w:ascii="Times New Roman" w:hAnsi="Times New Roman"/>
          <w:b w:val="false"/>
          <w:i w:val="false"/>
          <w:color w:val="000000"/>
          <w:sz w:val="22"/>
        </w:rPr>
        <w:t>Annually review and update the standards as needed, and provide revised standards to programs and others.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9.3(3)</w:t>
      </w:r>
      <w:r>
        <w:rPr>
          <w:rFonts w:ascii="Times New Roman" w:hAnsi="Times New Roman"/>
          <w:b w:val="false"/>
          <w:i w:val="false"/>
          <w:color w:val="000000"/>
          <w:sz w:val="22"/>
        </w:rPr>
        <w:t> </w:t>
      </w:r>
      <w:r>
        <w:rPr>
          <w:rFonts w:ascii="Times New Roman" w:hAnsi="Times New Roman"/>
          <w:b w:val="false"/>
          <w:i w:val="false"/>
          <w:color w:val="000000"/>
          <w:sz w:val="22"/>
        </w:rPr>
        <w:t>Develop certification packages.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Certification packages shall be provided on request to programs and to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package shall contain certification procedures, rules, and standardized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certification package is available from the Bureau of Chronic Disease Prevention and Management, Division of Health Promotion and Chronic Disease Prevention, Iowa Department of Public Health, Lucas State Office Building, 321 East 12th Street, Des Moines, Iowa 50319-0075.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w:t>
      </w:r>
      <w:r>
        <w:rPr>
          <w:rFonts w:ascii="Times New Roman" w:hAnsi="Times New Roman"/>
          <w:b w:val="false"/>
          <w:i w:val="false"/>
          <w:color w:val="000000"/>
          <w:sz w:val="22"/>
        </w:rPr>
        <w:t> </w:t>
      </w:r>
      <w:r>
        <w:rPr>
          <w:rFonts w:ascii="Times New Roman" w:hAnsi="Times New Roman"/>
          <w:b w:val="false"/>
          <w:i w:val="false"/>
          <w:color w:val="000000"/>
          <w:sz w:val="22"/>
        </w:rPr>
        <w:t>Evaluate each application submitted and determine adequacy of program for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w:t>
      </w:r>
      <w:r>
        <w:rPr>
          <w:rFonts w:ascii="Times New Roman" w:hAnsi="Times New Roman"/>
          <w:b w:val="false"/>
          <w:i w:val="false"/>
          <w:color w:val="000000"/>
          <w:sz w:val="22"/>
        </w:rPr>
        <w:t> </w:t>
      </w:r>
      <w:r>
        <w:rPr>
          <w:rFonts w:ascii="Times New Roman" w:hAnsi="Times New Roman"/>
          <w:b w:val="false"/>
          <w:i w:val="false"/>
          <w:color w:val="000000"/>
          <w:sz w:val="22"/>
        </w:rPr>
        <w:t>Assign a site number and an expiration date and issue a certificate to each program that meets the standards. A certificate shall be valid for four years from issuance unless specified otherwise on the certificate or unless sooner revoked.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9.3(6)</w:t>
      </w:r>
      <w:r>
        <w:rPr>
          <w:rFonts w:ascii="Times New Roman" w:hAnsi="Times New Roman"/>
          <w:b w:val="false"/>
          <w:i w:val="false"/>
          <w:color w:val="000000"/>
          <w:sz w:val="22"/>
        </w:rPr>
        <w:t> </w:t>
      </w:r>
      <w:r>
        <w:rPr>
          <w:rFonts w:ascii="Times New Roman" w:hAnsi="Times New Roman"/>
          <w:b w:val="false"/>
          <w:i w:val="false"/>
          <w:color w:val="000000"/>
          <w:sz w:val="22"/>
        </w:rPr>
        <w:t>Maintain a list of certified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9249B</w:t>
      </w:r>
      <w:r>
        <w:rPr>
          <w:rFonts w:ascii="Times New Roman" w:hAnsi="Times New Roman"/>
          <w:b w:val="false"/>
          <w:i w:val="false"/>
          <w:color w:val="000000"/>
          <w:sz w:val="16"/>
        </w:rPr>
        <w:t>, IAB 12/1/10, effective 1/5/11</w:t>
      </w:r>
      <w:r>
        <w:rPr>
          <w:rFonts w:ascii="Times New Roman" w:hAnsi="Times New Roman"/>
          <w:b w:val="false"/>
          <w:i w:val="false"/>
          <w:color w:val="000000"/>
          <w:sz w:val="16"/>
        </w:rPr>
        <w:t xml:space="preserve">; </w:t>
      </w:r>
      <w:r>
        <w:rPr>
          <w:rFonts w:ascii="Times New Roman" w:hAnsi="Times New Roman"/>
          <w:b/>
          <w:i w:val="false"/>
          <w:color w:val="000000"/>
          <w:sz w:val="16"/>
        </w:rPr>
        <w:t>ARC 4074C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 xml:space="preserve">; </w:t>
      </w:r>
      <w:r>
        <w:rPr>
          <w:rFonts w:ascii="Times New Roman" w:hAnsi="Times New Roman"/>
          <w:b/>
          <w:i w:val="false"/>
          <w:color w:val="000000"/>
          <w:sz w:val="16"/>
        </w:rPr>
        <w:t>ARC 6268C</w:t>
      </w:r>
      <w:r>
        <w:rPr>
          <w:rFonts w:ascii="Times New Roman" w:hAnsi="Times New Roman"/>
          <w:b w:val="false"/>
          <w:i w:val="false"/>
          <w:color w:val="000000"/>
          <w:sz w:val="16"/>
        </w:rPr>
        <w:t>, IAB 4/6/22, effective 5/11/22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641—9.4</w:t>
      </w:r>
      <w:r>
        <w:rPr>
          <w:rFonts w:ascii="Times New Roman" w:hAnsi="Times New Roman"/>
          <w:b/>
          <w:i w:val="false"/>
          <w:color w:val="000000"/>
          <w:sz w:val="22"/>
        </w:rPr>
        <w:t xml:space="preserve">(135) </w:t>
      </w:r>
      <w:r>
        <w:rPr>
          <w:rFonts w:ascii="Times New Roman" w:hAnsi="Times New Roman"/>
          <w:b/>
          <w:i w:val="false"/>
          <w:color w:val="000000"/>
          <w:sz w:val="22"/>
        </w:rPr>
        <w:t xml:space="preserve">Application procedures for American Diabetes Association-recognized and Association of Diabetes Care and Education Specialists/American Association of Diabetes Educators-accredited programs. </w:t>
      </w:r>
      <w:r>
        <w:rPr>
          <w:rFonts w:ascii="Times New Roman" w:hAnsi="Times New Roman"/>
          <w:b w:val="false"/>
          <w:i w:val="false"/>
          <w:color w:val="000000"/>
          <w:sz w:val="22"/>
        </w:rPr>
        <w:t>When a program is recognized by the ADA or accredited by the ADCES/AADE, the program shall apply for certification by submitting the following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w:t>
      </w:r>
      <w:r>
        <w:rPr>
          <w:rFonts w:ascii="Times New Roman" w:hAnsi="Times New Roman"/>
          <w:b w:val="false"/>
          <w:i w:val="false"/>
          <w:color w:val="000000"/>
          <w:sz w:val="22"/>
        </w:rPr>
        <w:t> </w:t>
      </w:r>
      <w:r>
        <w:rPr>
          <w:rFonts w:ascii="Times New Roman" w:hAnsi="Times New Roman"/>
          <w:b w:val="false"/>
          <w:i w:val="false"/>
          <w:color w:val="000000"/>
          <w:sz w:val="22"/>
        </w:rPr>
        <w:t>A copy of the Certificate of Recognition provided by the ADA or the Certificate of Accreditation provided by the ADCES/AADE.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9.4(2)</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for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 and email address of the program coordinator and the names of the program physician, primary and supporting instructors, and advisory committee members.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w:t>
      </w:r>
      <w:r>
        <w:rPr>
          <w:rFonts w:ascii="Times New Roman" w:hAnsi="Times New Roman"/>
          <w:b w:val="false"/>
          <w:i w:val="false"/>
          <w:color w:val="000000"/>
          <w:sz w:val="22"/>
        </w:rPr>
        <w:t> </w:t>
      </w:r>
      <w:r>
        <w:rPr>
          <w:rFonts w:ascii="Times New Roman" w:hAnsi="Times New Roman"/>
          <w:b w:val="false"/>
          <w:i w:val="false"/>
          <w:color w:val="000000"/>
          <w:sz w:val="22"/>
        </w:rPr>
        <w:t xml:space="preserve">Copies of current licenses for all Iowa-licensed professionals named in </w:t>
      </w:r>
      <w:hyperlink r:id="rId10">
        <w:r>
          <w:rPr>
            <w:rStyle w:val="Hyperlink"/>
            <w:rFonts w:ascii="Times New Roman" w:hAnsi="Times New Roman"/>
            <w:b w:val="false"/>
            <w:i w:val="false"/>
            <w:color w:val="000000"/>
            <w:sz w:val="22"/>
          </w:rPr>
          <w:t>9.4(3)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9.4(5)</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 and a copy of both the Iowa licenses and continuing education hours of any pharmacist who serves as program staff. A pharmacist shall be a primary or supporting instructor or advisory committee member and shall meet the education requirements in </w:t>
      </w:r>
      <w:hyperlink r:id="rId11">
        <w:r>
          <w:rPr>
            <w:rStyle w:val="Hyperlink"/>
            <w:rFonts w:ascii="Times New Roman" w:hAnsi="Times New Roman"/>
            <w:b w:val="false"/>
            <w:i w:val="false"/>
            <w:color w:val="000000"/>
            <w:sz w:val="22"/>
          </w:rPr>
          <w:t>9.8(6)</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9.8(7)</w:t>
        </w:r>
      </w:hyperlink>
      <w:r>
        <w:rPr>
          <w:rFonts w:ascii="Times New Roman" w:hAnsi="Times New Roman"/>
          <w:b w:val="false"/>
          <w:i w:val="false"/>
          <w:color w:val="000000"/>
          <w:sz w:val="22"/>
        </w:rPr>
        <w:t xml:space="preserve"> or </w:t>
      </w:r>
      <w:hyperlink r:id="rId13">
        <w:r>
          <w:rPr>
            <w:rStyle w:val="Hyperlink"/>
            <w:rFonts w:ascii="Times New Roman" w:hAnsi="Times New Roman"/>
            <w:b w:val="false"/>
            <w:i w:val="false"/>
            <w:color w:val="000000"/>
            <w:sz w:val="22"/>
          </w:rPr>
          <w:t>9.8(8)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9249B</w:t>
      </w:r>
      <w:r>
        <w:rPr>
          <w:rFonts w:ascii="Times New Roman" w:hAnsi="Times New Roman"/>
          <w:b w:val="false"/>
          <w:i w:val="false"/>
          <w:color w:val="000000"/>
          <w:sz w:val="16"/>
        </w:rPr>
        <w:t>, IAB 12/1/10, effective 1/5/11</w:t>
      </w:r>
      <w:r>
        <w:rPr>
          <w:rFonts w:ascii="Times New Roman" w:hAnsi="Times New Roman"/>
          <w:b w:val="false"/>
          <w:i w:val="false"/>
          <w:color w:val="000000"/>
          <w:sz w:val="16"/>
        </w:rPr>
        <w:t xml:space="preserve">; </w:t>
      </w:r>
      <w:r>
        <w:rPr>
          <w:rFonts w:ascii="Times New Roman" w:hAnsi="Times New Roman"/>
          <w:b/>
          <w:i w:val="false"/>
          <w:color w:val="000000"/>
          <w:sz w:val="16"/>
        </w:rPr>
        <w:t>ARC 4074C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 xml:space="preserve">; </w:t>
      </w:r>
      <w:r>
        <w:rPr>
          <w:rFonts w:ascii="Times New Roman" w:hAnsi="Times New Roman"/>
          <w:b/>
          <w:i w:val="false"/>
          <w:color w:val="000000"/>
          <w:sz w:val="16"/>
        </w:rPr>
        <w:t>ARC 6268C</w:t>
      </w:r>
      <w:r>
        <w:rPr>
          <w:rFonts w:ascii="Times New Roman" w:hAnsi="Times New Roman"/>
          <w:b w:val="false"/>
          <w:i w:val="false"/>
          <w:color w:val="000000"/>
          <w:sz w:val="16"/>
        </w:rPr>
        <w:t>, IAB 4/6/22, effective 5/11/22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641—9.5</w:t>
      </w:r>
      <w:r>
        <w:rPr>
          <w:rFonts w:ascii="Times New Roman" w:hAnsi="Times New Roman"/>
          <w:b/>
          <w:i w:val="false"/>
          <w:color w:val="000000"/>
          <w:sz w:val="22"/>
        </w:rPr>
        <w:t xml:space="preserve">(135) </w:t>
      </w:r>
      <w:r>
        <w:rPr>
          <w:rFonts w:ascii="Times New Roman" w:hAnsi="Times New Roman"/>
          <w:b/>
          <w:i w:val="false"/>
          <w:color w:val="000000"/>
          <w:sz w:val="22"/>
        </w:rPr>
        <w:t xml:space="preserve">Renewal procedures for American Diabetes Association-recognized and Association of Diabetes Care and Education Specialists/American Association of Diabetes Educators-accredited programs. </w:t>
      </w:r>
      <w:r>
        <w:rPr>
          <w:rFonts w:ascii="Times New Roman" w:hAnsi="Times New Roman"/>
          <w:b w:val="false"/>
          <w:i w:val="false"/>
          <w:color w:val="000000"/>
          <w:sz w:val="22"/>
        </w:rPr>
        <w:t>Programs shall renew their certification every four years, at least 30 days prior to the expiration date. To apply for renewal of certification, the ADA-recognized program or the ADCES/AADE-accredited program shall submit the following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w:t>
      </w:r>
      <w:r>
        <w:rPr>
          <w:rFonts w:ascii="Times New Roman" w:hAnsi="Times New Roman"/>
          <w:b w:val="false"/>
          <w:i w:val="false"/>
          <w:color w:val="000000"/>
          <w:sz w:val="22"/>
        </w:rPr>
        <w:t> </w:t>
      </w:r>
      <w:r>
        <w:rPr>
          <w:rFonts w:ascii="Times New Roman" w:hAnsi="Times New Roman"/>
          <w:b w:val="false"/>
          <w:i w:val="false"/>
          <w:color w:val="000000"/>
          <w:sz w:val="22"/>
        </w:rPr>
        <w:t>A copy of the new ADA Certificate of Recognition or ADCES/AADE Certificate of Accreditation.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for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9.5(3)</w:t>
      </w:r>
      <w:r>
        <w:rPr>
          <w:rFonts w:ascii="Times New Roman" w:hAnsi="Times New Roman"/>
          <w:b w:val="false"/>
          <w:i w:val="false"/>
          <w:color w:val="000000"/>
          <w:sz w:val="22"/>
        </w:rPr>
        <w:t> </w:t>
      </w:r>
      <w:r>
        <w:rPr>
          <w:rFonts w:ascii="Times New Roman" w:hAnsi="Times New Roman"/>
          <w:b w:val="false"/>
          <w:i w:val="false"/>
          <w:color w:val="000000"/>
          <w:sz w:val="22"/>
        </w:rPr>
        <w:t>The name and email address of the program coordinator and the names of the program physician, primary and supporting instructors, and advisory committee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9.5(4)</w:t>
      </w:r>
      <w:r>
        <w:rPr>
          <w:rFonts w:ascii="Times New Roman" w:hAnsi="Times New Roman"/>
          <w:b w:val="false"/>
          <w:i w:val="false"/>
          <w:color w:val="000000"/>
          <w:sz w:val="22"/>
        </w:rPr>
        <w:t> </w:t>
      </w:r>
      <w:r>
        <w:rPr>
          <w:rFonts w:ascii="Times New Roman" w:hAnsi="Times New Roman"/>
          <w:b w:val="false"/>
          <w:i w:val="false"/>
          <w:color w:val="000000"/>
          <w:sz w:val="22"/>
        </w:rPr>
        <w:t xml:space="preserve">Copies of current licenses for all Iowa-licensed professionals named in </w:t>
      </w:r>
      <w:hyperlink r:id="rId14">
        <w:r>
          <w:rPr>
            <w:rStyle w:val="Hyperlink"/>
            <w:rFonts w:ascii="Times New Roman" w:hAnsi="Times New Roman"/>
            <w:b w:val="false"/>
            <w:i w:val="false"/>
            <w:color w:val="000000"/>
            <w:sz w:val="22"/>
          </w:rPr>
          <w:t>9.5(3)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9.5(5)</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 and a copy of both the Iowa licenses and continuing education hours of any pharmacist who serves as program staff. A pharmacist shall be a primary or supporting instructor or advisory committee member and shall meet the continuing education requirements in </w:t>
      </w:r>
      <w:hyperlink r:id="rId15">
        <w:r>
          <w:rPr>
            <w:rStyle w:val="Hyperlink"/>
            <w:rFonts w:ascii="Times New Roman" w:hAnsi="Times New Roman"/>
            <w:b w:val="false"/>
            <w:i w:val="false"/>
            <w:color w:val="000000"/>
            <w:sz w:val="22"/>
          </w:rPr>
          <w:t>9.9(7)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9249B</w:t>
      </w:r>
      <w:r>
        <w:rPr>
          <w:rFonts w:ascii="Times New Roman" w:hAnsi="Times New Roman"/>
          <w:b w:val="false"/>
          <w:i w:val="false"/>
          <w:color w:val="000000"/>
          <w:sz w:val="16"/>
        </w:rPr>
        <w:t>, IAB 12/1/10, effective 1/5/11</w:t>
      </w:r>
      <w:r>
        <w:rPr>
          <w:rFonts w:ascii="Times New Roman" w:hAnsi="Times New Roman"/>
          <w:b w:val="false"/>
          <w:i w:val="false"/>
          <w:color w:val="000000"/>
          <w:sz w:val="16"/>
        </w:rPr>
        <w:t xml:space="preserve">; </w:t>
      </w:r>
      <w:r>
        <w:rPr>
          <w:rFonts w:ascii="Times New Roman" w:hAnsi="Times New Roman"/>
          <w:b/>
          <w:i w:val="false"/>
          <w:color w:val="000000"/>
          <w:sz w:val="16"/>
        </w:rPr>
        <w:t>ARC 4074C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 xml:space="preserve">; </w:t>
      </w:r>
      <w:r>
        <w:rPr>
          <w:rFonts w:ascii="Times New Roman" w:hAnsi="Times New Roman"/>
          <w:b/>
          <w:i w:val="false"/>
          <w:color w:val="000000"/>
          <w:sz w:val="16"/>
        </w:rPr>
        <w:t>ARC 6268C</w:t>
      </w:r>
      <w:r>
        <w:rPr>
          <w:rFonts w:ascii="Times New Roman" w:hAnsi="Times New Roman"/>
          <w:b w:val="false"/>
          <w:i w:val="false"/>
          <w:color w:val="000000"/>
          <w:sz w:val="16"/>
        </w:rPr>
        <w:t>, IAB 4/6/22, effective 5/11/22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641—9.6</w:t>
      </w:r>
      <w:r>
        <w:rPr>
          <w:rFonts w:ascii="Times New Roman" w:hAnsi="Times New Roman"/>
          <w:b/>
          <w:i w:val="false"/>
          <w:color w:val="000000"/>
          <w:sz w:val="22"/>
        </w:rPr>
        <w:t xml:space="preserve">(135) </w:t>
      </w:r>
      <w:r>
        <w:rPr>
          <w:rFonts w:ascii="Times New Roman" w:hAnsi="Times New Roman"/>
          <w:b/>
          <w:i w:val="false"/>
          <w:color w:val="000000"/>
          <w:sz w:val="22"/>
        </w:rPr>
        <w:t xml:space="preserve">Application procedures for programs not recognized by the American Diabetes Association or accredited by the Association of Diabetes Care and Education Specialists/American Association of Diabetes Educators.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w:t>
      </w:r>
      <w:r>
        <w:rPr>
          <w:rFonts w:ascii="Times New Roman" w:hAnsi="Times New Roman"/>
          <w:b w:val="false"/>
          <w:i w:val="false"/>
          <w:color w:val="000000"/>
          <w:sz w:val="22"/>
        </w:rPr>
        <w:t> </w:t>
      </w:r>
      <w:r>
        <w:rPr>
          <w:rFonts w:ascii="Times New Roman" w:hAnsi="Times New Roman"/>
          <w:b w:val="false"/>
          <w:i w:val="false"/>
          <w:color w:val="000000"/>
          <w:sz w:val="22"/>
        </w:rPr>
        <w:t>Each program shall apply for certification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w:t>
      </w:r>
      <w:r>
        <w:rPr>
          <w:rFonts w:ascii="Times New Roman" w:hAnsi="Times New Roman"/>
          <w:b w:val="false"/>
          <w:i w:val="false"/>
          <w:color w:val="000000"/>
          <w:sz w:val="22"/>
        </w:rPr>
        <w:t> </w:t>
      </w:r>
      <w:r>
        <w:rPr>
          <w:rFonts w:ascii="Times New Roman" w:hAnsi="Times New Roman"/>
          <w:b w:val="false"/>
          <w:i w:val="false"/>
          <w:color w:val="000000"/>
          <w:sz w:val="22"/>
        </w:rPr>
        <w:t>Applications from programs not recognized by the ADA or accredited by the ADCES/AADE shall provide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for the program, program physician and program coordinator and email address of the program coordinator. The names of instructional staff and advisory committee members and copies of their current Iowa licenses shall also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Identification of the target population, an estimate of the program caseload, estimated number of programs to be conducted annually, minimum and maximum class size, and a calendar identifying the hours per day and number of days per week scheduled in individual or group instruction to meet the minimum course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description of goals and objectives, participant referral mechanism, and means of coordinating between the community, physicians, and program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Evaluation methods designed by individual programs and samples of documents to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description of the curriculum designed to instruct the participant with diabetes how to achieve self-management competency. The curriculum shall cover the same content areas as are required by the ADA for recognition or the ADCES/AADE for accreditation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Diabetes overview: includes content about the diabetes disease process, pathophysiology and treatment/management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Stress and psychological adjustment: includes developing personal strategies to address psychological issues, healthy coping, and problem solving.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Family involvement and social support: includes strategies for safety and risk reduction and creating healthy environments and social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Nutrition: includes incorporating nutritional management (healthy eating) into lifestyle.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Exercise and activity: includes incorporating physical activity (being active) into lifestyle.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Medications: includes using medications safely and for maximum therapeutic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Monitoring and use of results: includes monitoring blood glucose and other health indicators or parameters and interpreting and using the results for self-management decision making.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Reducing risks: includes prevention, detection, and treatment of acute complications (including hypoglycemia, hyperglycemia, diabetic ketoacidosis, sick days, and severe weather or crisis supply management) and chronic complications (including foot, eye and dental; exams; immunizations; and kidney function testing as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Behavior change strategies, goal setting, risk-factor reduction, and problem solving: includes personal goals and strategies to address risks and build positive habits.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Preconception care, pregnancy, and gestational diabetes.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Use of health care systems and community resources.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9249B</w:t>
      </w:r>
      <w:r>
        <w:rPr>
          <w:rFonts w:ascii="Times New Roman" w:hAnsi="Times New Roman"/>
          <w:b w:val="false"/>
          <w:i w:val="false"/>
          <w:color w:val="000000"/>
          <w:sz w:val="16"/>
        </w:rPr>
        <w:t>, IAB 12/1/10, effective 1/5/11</w:t>
      </w:r>
      <w:r>
        <w:rPr>
          <w:rFonts w:ascii="Times New Roman" w:hAnsi="Times New Roman"/>
          <w:b w:val="false"/>
          <w:i w:val="false"/>
          <w:color w:val="000000"/>
          <w:sz w:val="16"/>
        </w:rPr>
        <w:t xml:space="preserve">; </w:t>
      </w:r>
      <w:r>
        <w:rPr>
          <w:rFonts w:ascii="Times New Roman" w:hAnsi="Times New Roman"/>
          <w:b/>
          <w:i w:val="false"/>
          <w:color w:val="000000"/>
          <w:sz w:val="16"/>
        </w:rPr>
        <w:t>ARC 4074C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 xml:space="preserve">; </w:t>
      </w:r>
      <w:r>
        <w:rPr>
          <w:rFonts w:ascii="Times New Roman" w:hAnsi="Times New Roman"/>
          <w:b/>
          <w:i w:val="false"/>
          <w:color w:val="000000"/>
          <w:sz w:val="16"/>
        </w:rPr>
        <w:t>ARC 6268C</w:t>
      </w:r>
      <w:r>
        <w:rPr>
          <w:rFonts w:ascii="Times New Roman" w:hAnsi="Times New Roman"/>
          <w:b w:val="false"/>
          <w:i w:val="false"/>
          <w:color w:val="000000"/>
          <w:sz w:val="16"/>
        </w:rPr>
        <w:t>, IAB 4/6/22, effective 5/11/22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641—9.7</w:t>
      </w:r>
      <w:r>
        <w:rPr>
          <w:rFonts w:ascii="Times New Roman" w:hAnsi="Times New Roman"/>
          <w:b/>
          <w:i w:val="false"/>
          <w:color w:val="000000"/>
          <w:sz w:val="22"/>
        </w:rPr>
        <w:t xml:space="preserve">(135) </w:t>
      </w:r>
      <w:r>
        <w:rPr>
          <w:rFonts w:ascii="Times New Roman" w:hAnsi="Times New Roman"/>
          <w:b/>
          <w:i w:val="false"/>
          <w:color w:val="000000"/>
          <w:sz w:val="22"/>
        </w:rPr>
        <w:t xml:space="preserve">Diabetes program management for programs not recognized by the American Diabetes Association or accredited by the Association of Diabetes Care and Education Specialists/American Association of Diabetes Educators.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w:t>
      </w:r>
      <w:r>
        <w:rPr>
          <w:rFonts w:ascii="Times New Roman" w:hAnsi="Times New Roman"/>
          <w:b w:val="false"/>
          <w:i w:val="false"/>
          <w:color w:val="000000"/>
          <w:sz w:val="22"/>
        </w:rPr>
        <w:t> </w:t>
      </w:r>
      <w:r>
        <w:rPr>
          <w:rFonts w:ascii="Times New Roman" w:hAnsi="Times New Roman"/>
          <w:b w:val="false"/>
          <w:i w:val="false"/>
          <w:color w:val="000000"/>
          <w:sz w:val="22"/>
        </w:rPr>
        <w:t>Pertinent information related to the recent medical history, physical examination, and test results performed by the participant’s health care provider shall be provided when the participant is referred to the program. Program staff shall remain in contact with the participant’s health care provider and shall make recommendations relative to the medical care and treatment of the participant’s diabetes when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9.7(2)</w:t>
      </w:r>
      <w:r>
        <w:rPr>
          <w:rFonts w:ascii="Times New Roman" w:hAnsi="Times New Roman"/>
          <w:b w:val="false"/>
          <w:i w:val="false"/>
          <w:color w:val="000000"/>
          <w:sz w:val="22"/>
        </w:rPr>
        <w:t> </w:t>
      </w:r>
      <w:r>
        <w:rPr>
          <w:rFonts w:ascii="Times New Roman" w:hAnsi="Times New Roman"/>
          <w:b w:val="false"/>
          <w:i w:val="false"/>
          <w:color w:val="000000"/>
          <w:sz w:val="22"/>
        </w:rPr>
        <w:t>When the participant completes the program, arrangements shall be made by program staff for optimal follow-up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9.7(3)</w:t>
      </w:r>
      <w:r>
        <w:rPr>
          <w:rFonts w:ascii="Times New Roman" w:hAnsi="Times New Roman"/>
          <w:b w:val="false"/>
          <w:i w:val="false"/>
          <w:color w:val="000000"/>
          <w:sz w:val="22"/>
        </w:rPr>
        <w:t> </w:t>
      </w:r>
      <w:r>
        <w:rPr>
          <w:rFonts w:ascii="Times New Roman" w:hAnsi="Times New Roman"/>
          <w:b w:val="false"/>
          <w:i w:val="false"/>
          <w:color w:val="000000"/>
          <w:sz w:val="22"/>
        </w:rPr>
        <w:t>Program staff members shall take an active role in the care of the participant’s diabetes during the course of the program to optimize diabetes control. The program staff shall be prepared to make necessary recommendations to the referring health care provider in the participant’s diabetes management which may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Changes in the insulin regimen.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Changes in the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Changes in the food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Changes in exercise.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9.7(4)</w:t>
      </w:r>
      <w:r>
        <w:rPr>
          <w:rFonts w:ascii="Times New Roman" w:hAnsi="Times New Roman"/>
          <w:b w:val="false"/>
          <w:i w:val="false"/>
          <w:color w:val="000000"/>
          <w:sz w:val="22"/>
        </w:rPr>
        <w:t> </w:t>
      </w:r>
      <w:r>
        <w:rPr>
          <w:rFonts w:ascii="Times New Roman" w:hAnsi="Times New Roman"/>
          <w:b w:val="false"/>
          <w:i w:val="false"/>
          <w:color w:val="000000"/>
          <w:sz w:val="22"/>
        </w:rPr>
        <w:t>Written materials supporting the program curriculum are to be made available to the participants. Educational materials from commercial sources shall be carefully evaluated by staff and be consistent with the program curriculum.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9249B</w:t>
      </w:r>
      <w:r>
        <w:rPr>
          <w:rFonts w:ascii="Times New Roman" w:hAnsi="Times New Roman"/>
          <w:b w:val="false"/>
          <w:i w:val="false"/>
          <w:color w:val="000000"/>
          <w:sz w:val="16"/>
        </w:rPr>
        <w:t>, IAB 12/1/10, effective 1/5/11</w:t>
      </w:r>
      <w:r>
        <w:rPr>
          <w:rFonts w:ascii="Times New Roman" w:hAnsi="Times New Roman"/>
          <w:b w:val="false"/>
          <w:i w:val="false"/>
          <w:color w:val="000000"/>
          <w:sz w:val="16"/>
        </w:rPr>
        <w:t xml:space="preserve">; </w:t>
      </w:r>
      <w:r>
        <w:rPr>
          <w:rFonts w:ascii="Times New Roman" w:hAnsi="Times New Roman"/>
          <w:b/>
          <w:i w:val="false"/>
          <w:color w:val="000000"/>
          <w:sz w:val="16"/>
        </w:rPr>
        <w:t>ARC 6268C</w:t>
      </w:r>
      <w:r>
        <w:rPr>
          <w:rFonts w:ascii="Times New Roman" w:hAnsi="Times New Roman"/>
          <w:b w:val="false"/>
          <w:i w:val="false"/>
          <w:color w:val="000000"/>
          <w:sz w:val="16"/>
        </w:rPr>
        <w:t>, IAB 4/6/22, effective 5/11/22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641—9.8</w:t>
      </w:r>
      <w:r>
        <w:rPr>
          <w:rFonts w:ascii="Times New Roman" w:hAnsi="Times New Roman"/>
          <w:b/>
          <w:i w:val="false"/>
          <w:color w:val="000000"/>
          <w:sz w:val="22"/>
        </w:rPr>
        <w:t xml:space="preserve">(135) </w:t>
      </w:r>
      <w:r>
        <w:rPr>
          <w:rFonts w:ascii="Times New Roman" w:hAnsi="Times New Roman"/>
          <w:b/>
          <w:i w:val="false"/>
          <w:color w:val="000000"/>
          <w:sz w:val="22"/>
        </w:rPr>
        <w:t xml:space="preserve">Program staff for programs not recognized by the American Diabetes Association or accredited by the Association of Diabetes Care and Education Specialists/American Association of Diabetes Educators.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w:t>
      </w:r>
      <w:r>
        <w:rPr>
          <w:rFonts w:ascii="Times New Roman" w:hAnsi="Times New Roman"/>
          <w:b w:val="false"/>
          <w:i w:val="false"/>
          <w:color w:val="000000"/>
          <w:sz w:val="22"/>
        </w:rPr>
        <w:t> </w:t>
      </w:r>
      <w:r>
        <w:rPr>
          <w:rFonts w:ascii="Times New Roman" w:hAnsi="Times New Roman"/>
          <w:b w:val="false"/>
          <w:i w:val="false"/>
          <w:color w:val="000000"/>
          <w:sz w:val="22"/>
        </w:rPr>
        <w:t>A program coordinator and a program physician shall be designated.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coordinator shall provide direction and supervision of the program, including, but not limited to, planning, arranging implementation, and assuring quality. If the program coordinator is an instructor, the program coordinator shall be a health care professional and meet the requirements for primary or supporting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physician shall provide medical direction for the program. The program physician shall maintain contact with the participant’s attending physician and shall make recommendations relative to the medical care and treatment of the participant’s diabetes where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w:t>
      </w:r>
      <w:r>
        <w:rPr>
          <w:rFonts w:ascii="Times New Roman" w:hAnsi="Times New Roman"/>
          <w:b w:val="false"/>
          <w:i w:val="false"/>
          <w:color w:val="000000"/>
          <w:sz w:val="22"/>
        </w:rPr>
        <w:t> </w:t>
      </w:r>
      <w:r>
        <w:rPr>
          <w:rFonts w:ascii="Times New Roman" w:hAnsi="Times New Roman"/>
          <w:b w:val="false"/>
          <w:i w:val="false"/>
          <w:color w:val="000000"/>
          <w:sz w:val="22"/>
        </w:rPr>
        <w:t>The program shall have an advisory committee composed of at least one physician, one registered nurse, one licensed dietitian and one pharmacist to oversee the program. It is recommended the advisory committee include an individual with behavioral science expertise, a consumer, and a community representative. The advisory committee shall participate in the annual planning process, including determination of target audience, program objectives, participant access mechanisms, instructional methods, resource requirements, participant follow-up mechanisms, and program 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w:t>
      </w:r>
      <w:r>
        <w:rPr>
          <w:rFonts w:ascii="Times New Roman" w:hAnsi="Times New Roman"/>
          <w:b w:val="false"/>
          <w:i w:val="false"/>
          <w:color w:val="000000"/>
          <w:sz w:val="22"/>
        </w:rPr>
        <w:t> </w:t>
      </w:r>
      <w:r>
        <w:rPr>
          <w:rFonts w:ascii="Times New Roman" w:hAnsi="Times New Roman"/>
          <w:b w:val="false"/>
          <w:i w:val="false"/>
          <w:color w:val="000000"/>
          <w:sz w:val="22"/>
        </w:rPr>
        <w:t>The primary instructors shall be one or more of the following health care professionals: physicians, physician assistants, registered nurses, licensed dietitians, and pharmacists who are knowledgeable about the disease process of diabetes and the treatment of diabetes. If there is only one primary instructor, there shall be at least one supporting instructor. The supporting instructor shall be from one of the four professions listed as possible primary instructors, but a different profession from the single primary instructor.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w:t>
      </w:r>
      <w:r>
        <w:rPr>
          <w:rFonts w:ascii="Times New Roman" w:hAnsi="Times New Roman"/>
          <w:b w:val="false"/>
          <w:i w:val="false"/>
          <w:color w:val="000000"/>
          <w:sz w:val="22"/>
        </w:rPr>
        <w:t> </w:t>
      </w:r>
      <w:r>
        <w:rPr>
          <w:rFonts w:ascii="Times New Roman" w:hAnsi="Times New Roman"/>
          <w:b w:val="false"/>
          <w:i w:val="false"/>
          <w:color w:val="000000"/>
          <w:sz w:val="22"/>
        </w:rPr>
        <w:t>The program may have additional supporting instructors including, but not limited to, dentist, exercise physiologist, health educator, ophthalmologist, pediatric diabetologist, podiatrist, psychologist, psychiatrist, or social worker.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9.8(5)</w:t>
      </w:r>
      <w:r>
        <w:rPr>
          <w:rFonts w:ascii="Times New Roman" w:hAnsi="Times New Roman"/>
          <w:b w:val="false"/>
          <w:i w:val="false"/>
          <w:color w:val="000000"/>
          <w:sz w:val="22"/>
        </w:rPr>
        <w:t> </w:t>
      </w:r>
      <w:r>
        <w:rPr>
          <w:rFonts w:ascii="Times New Roman" w:hAnsi="Times New Roman"/>
          <w:b w:val="false"/>
          <w:i w:val="false"/>
          <w:color w:val="000000"/>
          <w:sz w:val="22"/>
        </w:rPr>
        <w:t>The names of the program physician, program coordinator, all primary and supporting instructors, and advisory committee members shall be included with the program application, with copies of their current Iowa licenses.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w:t>
      </w:r>
      <w:r>
        <w:rPr>
          <w:rFonts w:ascii="Times New Roman" w:hAnsi="Times New Roman"/>
          <w:b w:val="false"/>
          <w:i w:val="false"/>
          <w:color w:val="000000"/>
          <w:sz w:val="22"/>
        </w:rPr>
        <w:t> </w:t>
      </w:r>
      <w:r>
        <w:rPr>
          <w:rFonts w:ascii="Times New Roman" w:hAnsi="Times New Roman"/>
          <w:b w:val="false"/>
          <w:i w:val="false"/>
          <w:color w:val="000000"/>
          <w:sz w:val="22"/>
        </w:rPr>
        <w:t>All primary instructors shall show evidence of knowledge about the disease process of diabetes and the treatment and management of people with diabetes by documentation of 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the last four years, completion of a minimum of 32 hours of continuing education in diabetes, diabetes management, or diabetes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Equivalent training or experience including, but not limited to, endocrinology fellowship training or masters level preparation in diabetes nursing/nutrition. Unsupervised teaching of patients is not an acceptable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Current certification as a certified diabetes care and education specialist/certified diabetes educator.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w:t>
      </w:r>
      <w:r>
        <w:rPr>
          <w:rFonts w:ascii="Times New Roman" w:hAnsi="Times New Roman"/>
          <w:b w:val="false"/>
          <w:i w:val="false"/>
          <w:color w:val="000000"/>
          <w:sz w:val="22"/>
        </w:rPr>
        <w:t> </w:t>
      </w:r>
      <w:r>
        <w:rPr>
          <w:rFonts w:ascii="Times New Roman" w:hAnsi="Times New Roman"/>
          <w:b w:val="false"/>
          <w:i w:val="false"/>
          <w:color w:val="000000"/>
          <w:sz w:val="22"/>
        </w:rPr>
        <w:t>All supporting instructors shall show evidence of knowledge about the disease process of diabetes and the treatment and management of people with diabetes by documentation of completion of a minimum of 16 hours of continuing education in diabetes, diabetes management, or diabetes education within the last four years or have current certification as a certified diabetes care and education specialist/certified diabetes educator.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four professionals required in </w:t>
      </w:r>
      <w:hyperlink r:id="rId16">
        <w:r>
          <w:rPr>
            <w:rStyle w:val="Hyperlink"/>
            <w:rFonts w:ascii="Times New Roman" w:hAnsi="Times New Roman"/>
            <w:b w:val="false"/>
            <w:i w:val="false"/>
            <w:color w:val="000000"/>
            <w:sz w:val="22"/>
          </w:rPr>
          <w:t>9.8(2)</w:t>
        </w:r>
      </w:hyperlink>
      <w:r>
        <w:rPr>
          <w:rFonts w:ascii="Times New Roman" w:hAnsi="Times New Roman"/>
          <w:b w:val="false"/>
          <w:i w:val="false"/>
          <w:color w:val="000000"/>
          <w:sz w:val="22"/>
        </w:rPr>
        <w:t xml:space="preserve"> to be on the advisory committee shall have completed eight hours of continuing education in diabetes within the past four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9.8(9)</w:t>
      </w:r>
      <w:r>
        <w:rPr>
          <w:rFonts w:ascii="Times New Roman" w:hAnsi="Times New Roman"/>
          <w:b w:val="false"/>
          <w:i w:val="false"/>
          <w:color w:val="000000"/>
          <w:sz w:val="22"/>
        </w:rPr>
        <w:t> </w:t>
      </w:r>
      <w:r>
        <w:rPr>
          <w:rFonts w:ascii="Times New Roman" w:hAnsi="Times New Roman"/>
          <w:b w:val="false"/>
          <w:i w:val="false"/>
          <w:color w:val="000000"/>
          <w:sz w:val="22"/>
        </w:rPr>
        <w:t>The program coordinator shall determine that each primary or supporting instructor has current licensure or registration required to practice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9.8(10)</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program coordinator shall determine that new primary or supporting instructors, who join the program staff during a certification period, meet the requirements for initial certification in </w:t>
      </w:r>
      <w:hyperlink r:id="rId17">
        <w:r>
          <w:rPr>
            <w:rStyle w:val="Hyperlink"/>
            <w:rFonts w:ascii="Times New Roman" w:hAnsi="Times New Roman"/>
            <w:b w:val="false"/>
            <w:i w:val="false"/>
            <w:color w:val="000000"/>
            <w:sz w:val="22"/>
          </w:rPr>
          <w:t>9.8(6)</w:t>
        </w:r>
      </w:hyperlink>
      <w:r>
        <w:rPr>
          <w:rFonts w:ascii="Times New Roman" w:hAnsi="Times New Roman"/>
          <w:b w:val="false"/>
          <w:i w:val="false"/>
          <w:color w:val="000000"/>
          <w:sz w:val="22"/>
        </w:rPr>
        <w:t xml:space="preserve"> or </w:t>
      </w:r>
      <w:hyperlink r:id="rId18">
        <w:r>
          <w:rPr>
            <w:rStyle w:val="Hyperlink"/>
            <w:rFonts w:ascii="Times New Roman" w:hAnsi="Times New Roman"/>
            <w:b w:val="false"/>
            <w:i w:val="false"/>
            <w:color w:val="000000"/>
            <w:sz w:val="22"/>
          </w:rPr>
          <w:t>9.8(7)</w:t>
        </w:r>
      </w:hyperlink>
      <w:r>
        <w:rPr>
          <w:rFonts w:ascii="Times New Roman" w:hAnsi="Times New Roman"/>
          <w:b w:val="false"/>
          <w:i w:val="false"/>
          <w:color w:val="000000"/>
          <w:sz w:val="22"/>
        </w:rPr>
        <w:t xml:space="preserve"> within six months of when they join the program staff.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9249B</w:t>
      </w:r>
      <w:r>
        <w:rPr>
          <w:rFonts w:ascii="Times New Roman" w:hAnsi="Times New Roman"/>
          <w:b w:val="false"/>
          <w:i w:val="false"/>
          <w:color w:val="000000"/>
          <w:sz w:val="16"/>
        </w:rPr>
        <w:t>, IAB 12/1/10, effective 1/5/11</w:t>
      </w:r>
      <w:r>
        <w:rPr>
          <w:rFonts w:ascii="Times New Roman" w:hAnsi="Times New Roman"/>
          <w:b w:val="false"/>
          <w:i w:val="false"/>
          <w:color w:val="000000"/>
          <w:sz w:val="16"/>
        </w:rPr>
        <w:t xml:space="preserve">; </w:t>
      </w:r>
      <w:r>
        <w:rPr>
          <w:rFonts w:ascii="Times New Roman" w:hAnsi="Times New Roman"/>
          <w:b/>
          <w:i w:val="false"/>
          <w:color w:val="000000"/>
          <w:sz w:val="16"/>
        </w:rPr>
        <w:t>ARC 4074C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 xml:space="preserve">; </w:t>
      </w:r>
      <w:r>
        <w:rPr>
          <w:rFonts w:ascii="Times New Roman" w:hAnsi="Times New Roman"/>
          <w:b/>
          <w:i w:val="false"/>
          <w:color w:val="000000"/>
          <w:sz w:val="16"/>
        </w:rPr>
        <w:t>ARC 6268C</w:t>
      </w:r>
      <w:r>
        <w:rPr>
          <w:rFonts w:ascii="Times New Roman" w:hAnsi="Times New Roman"/>
          <w:b w:val="false"/>
          <w:i w:val="false"/>
          <w:color w:val="000000"/>
          <w:sz w:val="16"/>
        </w:rPr>
        <w:t>, IAB 4/6/22, effective 5/11/22</w:t>
      </w:r>
      <w:r>
        <w:rPr>
          <w:rFonts w:ascii="Times New Roman" w:hAnsi="Times New Roman"/>
          <w:b w:val="false"/>
          <w:i w:val="false"/>
          <w:color w:val="000000"/>
          <w:sz w:val="16"/>
        </w:rPr>
        <w:t xml:space="preserve">; </w:t>
      </w:r>
      <w:r>
        <w:rPr>
          <w:rFonts w:ascii="Times New Roman" w:hAnsi="Times New Roman"/>
          <w:b/>
          <w:i w:val="false"/>
          <w:color w:val="000000"/>
          <w:sz w:val="16"/>
        </w:rPr>
        <w:t>ARC 6847C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641—9.9</w:t>
      </w:r>
      <w:r>
        <w:rPr>
          <w:rFonts w:ascii="Times New Roman" w:hAnsi="Times New Roman"/>
          <w:b/>
          <w:i w:val="false"/>
          <w:color w:val="000000"/>
          <w:sz w:val="22"/>
        </w:rPr>
        <w:t xml:space="preserve">(135) </w:t>
      </w:r>
      <w:r>
        <w:rPr>
          <w:rFonts w:ascii="Times New Roman" w:hAnsi="Times New Roman"/>
          <w:b/>
          <w:i w:val="false"/>
          <w:color w:val="000000"/>
          <w:sz w:val="22"/>
        </w:rPr>
        <w:t xml:space="preserve">Renewal application procedures for programs not recognized by the American Diabetes Association or accredited by the Association of Diabetes Care and Education Specialists/American Association of Diabetes Educators. </w:t>
      </w:r>
      <w:r>
        <w:rPr>
          <w:rFonts w:ascii="Times New Roman" w:hAnsi="Times New Roman"/>
          <w:b w:val="false"/>
          <w:i w:val="false"/>
          <w:color w:val="000000"/>
          <w:sz w:val="22"/>
        </w:rPr>
        <w:t>Every four years, programs shall provide the following information to the department at least 30 days prior to 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the program, program physician and program coordinator; email address of the program coordinator; and names of instructional staff and advisory committee members and copies of current licenses for all Iowa-licensed professionals.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w:t>
      </w:r>
      <w:r>
        <w:rPr>
          <w:rFonts w:ascii="Times New Roman" w:hAnsi="Times New Roman"/>
          <w:b w:val="false"/>
          <w:i w:val="false"/>
          <w:color w:val="000000"/>
          <w:sz w:val="22"/>
        </w:rPr>
        <w:t> </w:t>
      </w:r>
      <w:r>
        <w:rPr>
          <w:rFonts w:ascii="Times New Roman" w:hAnsi="Times New Roman"/>
          <w:b w:val="false"/>
          <w:i w:val="false"/>
          <w:color w:val="000000"/>
          <w:sz w:val="22"/>
        </w:rPr>
        <w:t>Identification of the target population, an estimate of program caseload, and the number of participants served in the certification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9.9(3)</w:t>
      </w:r>
      <w:r>
        <w:rPr>
          <w:rFonts w:ascii="Times New Roman" w:hAnsi="Times New Roman"/>
          <w:b w:val="false"/>
          <w:i w:val="false"/>
          <w:color w:val="000000"/>
          <w:sz w:val="22"/>
        </w:rPr>
        <w:t> </w:t>
      </w:r>
      <w:r>
        <w:rPr>
          <w:rFonts w:ascii="Times New Roman" w:hAnsi="Times New Roman"/>
          <w:b w:val="false"/>
          <w:i w:val="false"/>
          <w:color w:val="000000"/>
          <w:sz w:val="22"/>
        </w:rPr>
        <w:t>A description of goals and objectives, participant referral mechanism, and means of coordinating between the community, physicians, and program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w:t>
      </w:r>
      <w:r>
        <w:rPr>
          <w:rFonts w:ascii="Times New Roman" w:hAnsi="Times New Roman"/>
          <w:b w:val="false"/>
          <w:i w:val="false"/>
          <w:color w:val="000000"/>
          <w:sz w:val="22"/>
        </w:rPr>
        <w:t> </w:t>
      </w:r>
      <w:r>
        <w:rPr>
          <w:rFonts w:ascii="Times New Roman" w:hAnsi="Times New Roman"/>
          <w:b w:val="false"/>
          <w:i w:val="false"/>
          <w:color w:val="000000"/>
          <w:sz w:val="22"/>
        </w:rPr>
        <w:t>A description of the program evaluation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9.9(5)</w:t>
      </w:r>
      <w:r>
        <w:rPr>
          <w:rFonts w:ascii="Times New Roman" w:hAnsi="Times New Roman"/>
          <w:b w:val="false"/>
          <w:i w:val="false"/>
          <w:color w:val="000000"/>
          <w:sz w:val="22"/>
        </w:rPr>
        <w:t> </w:t>
      </w:r>
      <w:r>
        <w:rPr>
          <w:rFonts w:ascii="Times New Roman" w:hAnsi="Times New Roman"/>
          <w:b w:val="false"/>
          <w:i w:val="false"/>
          <w:color w:val="000000"/>
          <w:sz w:val="22"/>
        </w:rPr>
        <w:t>A description of any changes from the previous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w:t>
      </w:r>
      <w:r>
        <w:rPr>
          <w:rFonts w:ascii="Times New Roman" w:hAnsi="Times New Roman"/>
          <w:b w:val="false"/>
          <w:i w:val="false"/>
          <w:color w:val="000000"/>
          <w:sz w:val="22"/>
        </w:rPr>
        <w:t> </w:t>
      </w:r>
      <w:r>
        <w:rPr>
          <w:rFonts w:ascii="Times New Roman" w:hAnsi="Times New Roman"/>
          <w:b w:val="false"/>
          <w:i w:val="false"/>
          <w:color w:val="000000"/>
          <w:sz w:val="22"/>
        </w:rPr>
        <w:t xml:space="preserve">A list of new program staff by name, license number or registration number, and position with the program. New staff who will serve as primary instructors shall submit documentation of their training in diabetes as addressed in </w:t>
      </w:r>
      <w:hyperlink r:id="rId19">
        <w:r>
          <w:rPr>
            <w:rStyle w:val="Hyperlink"/>
            <w:rFonts w:ascii="Times New Roman" w:hAnsi="Times New Roman"/>
            <w:b w:val="false"/>
            <w:i w:val="false"/>
            <w:color w:val="000000"/>
            <w:sz w:val="22"/>
          </w:rPr>
          <w:t>9.8(6)</w:t>
        </w:r>
      </w:hyperlink>
      <w:r>
        <w:rPr>
          <w:rFonts w:ascii="Times New Roman" w:hAnsi="Times New Roman"/>
          <w:b w:val="false"/>
          <w:i w:val="false"/>
          <w:color w:val="000000"/>
          <w:sz w:val="22"/>
        </w:rPr>
        <w:t xml:space="preserve">. New staff serving as supporting instructors shall submit documentation of their training as addressed in </w:t>
      </w:r>
      <w:hyperlink r:id="rId20">
        <w:r>
          <w:rPr>
            <w:rStyle w:val="Hyperlink"/>
            <w:rFonts w:ascii="Times New Roman" w:hAnsi="Times New Roman"/>
            <w:b w:val="false"/>
            <w:i w:val="false"/>
            <w:color w:val="000000"/>
            <w:sz w:val="22"/>
          </w:rPr>
          <w:t>9.8(7)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9.9(7)</w:t>
      </w:r>
      <w:r>
        <w:rPr>
          <w:rFonts w:ascii="Times New Roman" w:hAnsi="Times New Roman"/>
          <w:b w:val="false"/>
          <w:i w:val="false"/>
          <w:color w:val="000000"/>
          <w:sz w:val="22"/>
        </w:rPr>
        <w:t> </w:t>
      </w:r>
      <w:r>
        <w:rPr>
          <w:rFonts w:ascii="Times New Roman" w:hAnsi="Times New Roman"/>
          <w:b w:val="false"/>
          <w:i w:val="false"/>
          <w:color w:val="000000"/>
          <w:sz w:val="22"/>
        </w:rPr>
        <w:t>Documentation of continuing education hours accrued since the previous application for current staff and new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primary instructors shall complete a minimum of 24 hours of continuing education in diabetes, diabetes management, or diabetes education within the past four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supporting instructors shall complete a minimum of 12 hours of continuing education in diabetes, diabetes management, or diabetes education within the past four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four professionals required in </w:t>
      </w:r>
      <w:hyperlink r:id="rId21">
        <w:r>
          <w:rPr>
            <w:rStyle w:val="Hyperlink"/>
            <w:rFonts w:ascii="Times New Roman" w:hAnsi="Times New Roman"/>
            <w:b w:val="false"/>
            <w:i w:val="false"/>
            <w:color w:val="000000"/>
            <w:sz w:val="22"/>
          </w:rPr>
          <w:t>9.8(2)</w:t>
        </w:r>
      </w:hyperlink>
      <w:r>
        <w:rPr>
          <w:rFonts w:ascii="Times New Roman" w:hAnsi="Times New Roman"/>
          <w:b w:val="false"/>
          <w:i w:val="false"/>
          <w:color w:val="000000"/>
          <w:sz w:val="22"/>
        </w:rPr>
        <w:t xml:space="preserve"> to be on the advisory committee shall complete a minimum of seven hours of continuing education in diabetes within the past four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9249B</w:t>
      </w:r>
      <w:r>
        <w:rPr>
          <w:rFonts w:ascii="Times New Roman" w:hAnsi="Times New Roman"/>
          <w:b w:val="false"/>
          <w:i w:val="false"/>
          <w:color w:val="000000"/>
          <w:sz w:val="16"/>
        </w:rPr>
        <w:t>, IAB 12/1/10, effective 1/5/11</w:t>
      </w:r>
      <w:r>
        <w:rPr>
          <w:rFonts w:ascii="Times New Roman" w:hAnsi="Times New Roman"/>
          <w:b w:val="false"/>
          <w:i w:val="false"/>
          <w:color w:val="000000"/>
          <w:sz w:val="16"/>
        </w:rPr>
        <w:t xml:space="preserve">; </w:t>
      </w:r>
      <w:r>
        <w:rPr>
          <w:rFonts w:ascii="Times New Roman" w:hAnsi="Times New Roman"/>
          <w:b/>
          <w:i w:val="false"/>
          <w:color w:val="000000"/>
          <w:sz w:val="16"/>
        </w:rPr>
        <w:t>ARC 4074C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 xml:space="preserve">; </w:t>
      </w:r>
      <w:r>
        <w:rPr>
          <w:rFonts w:ascii="Times New Roman" w:hAnsi="Times New Roman"/>
          <w:b/>
          <w:i w:val="false"/>
          <w:color w:val="000000"/>
          <w:sz w:val="16"/>
        </w:rPr>
        <w:t>ARC 6268C</w:t>
      </w:r>
      <w:r>
        <w:rPr>
          <w:rFonts w:ascii="Times New Roman" w:hAnsi="Times New Roman"/>
          <w:b w:val="false"/>
          <w:i w:val="false"/>
          <w:color w:val="000000"/>
          <w:sz w:val="16"/>
        </w:rPr>
        <w:t>, IAB 4/6/22, effective 5/11/22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641—9.10</w:t>
      </w:r>
      <w:r>
        <w:rPr>
          <w:rFonts w:ascii="Times New Roman" w:hAnsi="Times New Roman"/>
          <w:b/>
          <w:i w:val="false"/>
          <w:color w:val="000000"/>
          <w:sz w:val="22"/>
        </w:rPr>
        <w:t xml:space="preserve">(135) </w:t>
      </w:r>
      <w:r>
        <w:rPr>
          <w:rFonts w:ascii="Times New Roman" w:hAnsi="Times New Roman"/>
          <w:b/>
          <w:i w:val="false"/>
          <w:color w:val="000000"/>
          <w:sz w:val="22"/>
        </w:rPr>
        <w:t xml:space="preserve">Annual report. </w:t>
      </w:r>
      <w:r>
        <w:rPr>
          <w:rFonts w:ascii="Times New Roman" w:hAnsi="Times New Roman"/>
          <w:b w:val="false"/>
          <w:i w:val="false"/>
          <w:color w:val="000000"/>
          <w:sz w:val="22"/>
        </w:rPr>
        <w:t>Summary data shall be completed annually by each program and sent to the department at a time determined by the department. The data shall include but not be limited to the number of times the program was presented, the number of outpatients that participated, and a summarized description of program participants including type of diabetes, age, race and sex.</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9249B</w:t>
      </w:r>
      <w:r>
        <w:rPr>
          <w:rFonts w:ascii="Times New Roman" w:hAnsi="Times New Roman"/>
          <w:b w:val="false"/>
          <w:i w:val="false"/>
          <w:color w:val="000000"/>
          <w:sz w:val="16"/>
        </w:rPr>
        <w:t>, IAB 12/1/10, effective 1/5/11</w:t>
      </w:r>
      <w:r>
        <w:rPr>
          <w:rFonts w:ascii="Times New Roman" w:hAnsi="Times New Roman"/>
          <w:b w:val="false"/>
          <w:i w:val="false"/>
          <w:color w:val="000000"/>
          <w:sz w:val="16"/>
        </w:rPr>
        <w:t xml:space="preserve">; </w:t>
      </w:r>
      <w:r>
        <w:rPr>
          <w:rFonts w:ascii="Times New Roman" w:hAnsi="Times New Roman"/>
          <w:b/>
          <w:i w:val="false"/>
          <w:color w:val="000000"/>
          <w:sz w:val="16"/>
        </w:rPr>
        <w:t>ARC 6268C</w:t>
      </w:r>
      <w:r>
        <w:rPr>
          <w:rFonts w:ascii="Times New Roman" w:hAnsi="Times New Roman"/>
          <w:b w:val="false"/>
          <w:i w:val="false"/>
          <w:color w:val="000000"/>
          <w:sz w:val="16"/>
        </w:rPr>
        <w:t>, IAB 4/6/22, effective 5/11/22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641—9.11</w:t>
      </w:r>
      <w:r>
        <w:rPr>
          <w:rFonts w:ascii="Times New Roman" w:hAnsi="Times New Roman"/>
          <w:b/>
          <w:i w:val="false"/>
          <w:color w:val="000000"/>
          <w:sz w:val="22"/>
        </w:rPr>
        <w:t xml:space="preserve">(135) </w:t>
      </w:r>
      <w:r>
        <w:rPr>
          <w:rFonts w:ascii="Times New Roman" w:hAnsi="Times New Roman"/>
          <w:b/>
          <w:i w:val="false"/>
          <w:color w:val="000000"/>
          <w:sz w:val="22"/>
        </w:rPr>
        <w:t xml:space="preserve">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9.11(1)</w:t>
      </w:r>
      <w:r>
        <w:rPr>
          <w:rFonts w:ascii="Times New Roman" w:hAnsi="Times New Roman"/>
          <w:b w:val="false"/>
          <w:i w:val="false"/>
          <w:color w:val="000000"/>
          <w:sz w:val="22"/>
        </w:rPr>
        <w:t> </w:t>
      </w:r>
      <w:r>
        <w:rPr>
          <w:rFonts w:ascii="Times New Roman" w:hAnsi="Times New Roman"/>
          <w:b w:val="false"/>
          <w:i w:val="false"/>
          <w:color w:val="000000"/>
          <w:sz w:val="22"/>
        </w:rPr>
        <w:t>The department may annually or more frequently conduct on-site visits of certified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9.11(2)</w:t>
      </w:r>
      <w:r>
        <w:rPr>
          <w:rFonts w:ascii="Times New Roman" w:hAnsi="Times New Roman"/>
          <w:b w:val="false"/>
          <w:i w:val="false"/>
          <w:color w:val="000000"/>
          <w:sz w:val="22"/>
        </w:rPr>
        <w:t> </w:t>
      </w:r>
      <w:r>
        <w:rPr>
          <w:rFonts w:ascii="Times New Roman" w:hAnsi="Times New Roman"/>
          <w:b w:val="false"/>
          <w:i w:val="false"/>
          <w:color w:val="000000"/>
          <w:sz w:val="22"/>
        </w:rPr>
        <w:t>The department shall furnish a written report of each visit to the program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9.11(3)</w:t>
      </w:r>
      <w:r>
        <w:rPr>
          <w:rFonts w:ascii="Times New Roman" w:hAnsi="Times New Roman"/>
          <w:b w:val="false"/>
          <w:i w:val="false"/>
          <w:color w:val="000000"/>
          <w:sz w:val="22"/>
        </w:rPr>
        <w:t> </w:t>
      </w:r>
      <w:r>
        <w:rPr>
          <w:rFonts w:ascii="Times New Roman" w:hAnsi="Times New Roman"/>
          <w:b w:val="false"/>
          <w:i w:val="false"/>
          <w:color w:val="000000"/>
          <w:sz w:val="22"/>
        </w:rPr>
        <w:t>Programs determined by the department to no longer meet the minimum standards for certification shall be given 30 days following receipt of the department’s notification of deficiencies to submit a plan of correction.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9.11(4)</w:t>
      </w:r>
      <w:r>
        <w:rPr>
          <w:rFonts w:ascii="Times New Roman" w:hAnsi="Times New Roman"/>
          <w:b w:val="false"/>
          <w:i w:val="false"/>
          <w:color w:val="000000"/>
          <w:sz w:val="22"/>
        </w:rPr>
        <w:t> </w:t>
      </w:r>
      <w:r>
        <w:rPr>
          <w:rFonts w:ascii="Times New Roman" w:hAnsi="Times New Roman"/>
          <w:b w:val="false"/>
          <w:i w:val="false"/>
          <w:color w:val="000000"/>
          <w:sz w:val="22"/>
        </w:rPr>
        <w:t>Notification of cancellation shall be provided to the Iowa insurance division of the Iowa department of commerce and the public.</w:t>
      </w:r>
    </w:p>
    <w:p>
      <w:pPr>
        <w:spacing w:before="0" w:after="0"/>
        <w:ind w:left="120"/>
        <w:jc w:val="both"/>
      </w:pPr>
      <w:r>
        <w:rPr>
          <w:rFonts w:ascii="Times New Roman" w:hAnsi="Times New Roman"/>
          <w:b/>
          <w:i w:val="false"/>
          <w:color w:val="000000"/>
          <w:sz w:val="22"/>
        </w:rPr>
        <w:t>641—9.12</w:t>
      </w:r>
      <w:r>
        <w:rPr>
          <w:rFonts w:ascii="Times New Roman" w:hAnsi="Times New Roman"/>
          <w:b/>
          <w:i w:val="false"/>
          <w:color w:val="000000"/>
          <w:sz w:val="22"/>
        </w:rPr>
        <w:t xml:space="preserve">(135) </w:t>
      </w:r>
      <w:r>
        <w:rPr>
          <w:rFonts w:ascii="Times New Roman" w:hAnsi="Times New Roman"/>
          <w:b/>
          <w:i w:val="false"/>
          <w:color w:val="000000"/>
          <w:sz w:val="22"/>
        </w:rPr>
        <w:t xml:space="preserve">Complaints.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9.12(1)</w:t>
      </w:r>
      <w:r>
        <w:rPr>
          <w:rFonts w:ascii="Times New Roman" w:hAnsi="Times New Roman"/>
          <w:b w:val="false"/>
          <w:i w:val="false"/>
          <w:color w:val="000000"/>
          <w:sz w:val="22"/>
        </w:rPr>
        <w:t> </w:t>
      </w:r>
      <w:r>
        <w:rPr>
          <w:rFonts w:ascii="Times New Roman" w:hAnsi="Times New Roman"/>
          <w:b w:val="false"/>
          <w:i w:val="false"/>
          <w:color w:val="000000"/>
          <w:sz w:val="22"/>
        </w:rPr>
        <w:t>The department shall accept complaints of alleged problems relating to certified outpatient diabetes self-management programs. The information shall state in a reasonably specific manner the basis of the complaints and be presented in writing, in person or by telephone to: Bureau of Chronic Disease Prevention and Management, Division of Health Promotion and Chronic Disease Prevention, Iowa Department of Public Health, Lucas State Office Building, 321 East 12th Street, Des Moines, Iowa 50319-0075; (515)281-5616.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9.12(2)</w:t>
      </w:r>
      <w:r>
        <w:rPr>
          <w:rFonts w:ascii="Times New Roman" w:hAnsi="Times New Roman"/>
          <w:b w:val="false"/>
          <w:i w:val="false"/>
          <w:color w:val="000000"/>
          <w:sz w:val="22"/>
        </w:rPr>
        <w:t> </w:t>
      </w:r>
      <w:r>
        <w:rPr>
          <w:rFonts w:ascii="Times New Roman" w:hAnsi="Times New Roman"/>
          <w:b w:val="false"/>
          <w:i w:val="false"/>
          <w:color w:val="000000"/>
          <w:sz w:val="22"/>
        </w:rPr>
        <w:t>The department shall, within 20 working days of the receipt of the complaint, contact the program coordinator for initial evaluation of the specific matters alleged in the complaint. The program shall receive a written report of the results of department activities relating to the complaint investigation. The complainant shall be promptly informed of the results of the investigation or any action taken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9249B</w:t>
      </w:r>
      <w:r>
        <w:rPr>
          <w:rFonts w:ascii="Times New Roman" w:hAnsi="Times New Roman"/>
          <w:b w:val="false"/>
          <w:i w:val="false"/>
          <w:color w:val="000000"/>
          <w:sz w:val="16"/>
        </w:rPr>
        <w:t>, IAB 12/1/10, effective 1/5/11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641—9.13</w:t>
      </w:r>
      <w:r>
        <w:rPr>
          <w:rFonts w:ascii="Times New Roman" w:hAnsi="Times New Roman"/>
          <w:b/>
          <w:i w:val="false"/>
          <w:color w:val="000000"/>
          <w:sz w:val="22"/>
        </w:rPr>
        <w:t xml:space="preserve">(135) </w:t>
      </w:r>
      <w:r>
        <w:rPr>
          <w:rFonts w:ascii="Times New Roman" w:hAnsi="Times New Roman"/>
          <w:b/>
          <w:i w:val="false"/>
          <w:color w:val="000000"/>
          <w:sz w:val="22"/>
        </w:rPr>
        <w:t xml:space="preserve">Appeal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9.13(1)</w:t>
      </w:r>
      <w:r>
        <w:rPr>
          <w:rFonts w:ascii="Times New Roman" w:hAnsi="Times New Roman"/>
          <w:b w:val="false"/>
          <w:i w:val="false"/>
          <w:color w:val="000000"/>
          <w:sz w:val="22"/>
        </w:rPr>
        <w:t> </w:t>
      </w:r>
      <w:r>
        <w:rPr>
          <w:rFonts w:ascii="Times New Roman" w:hAnsi="Times New Roman"/>
          <w:b w:val="false"/>
          <w:i/>
          <w:color w:val="000000"/>
          <w:sz w:val="22"/>
        </w:rPr>
        <w:t xml:space="preserve">Denial. </w:t>
      </w:r>
      <w:r>
        <w:rPr>
          <w:rFonts w:ascii="Times New Roman" w:hAnsi="Times New Roman"/>
          <w:b w:val="false"/>
          <w:i w:val="false"/>
          <w:color w:val="000000"/>
          <w:sz w:val="22"/>
        </w:rPr>
        <w:t>Programs shall receive written notice by certified mail, return receipt requested, setting forth the reason(s) for denial. The denial shall become effective 30 days after receipt by the aggrieved party unless the grievant within that 30-day period gives written notice to the department requesting a hearing in which case the notice shall be deemed to be suspended.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9.13(2)</w:t>
      </w:r>
      <w:r>
        <w:rPr>
          <w:rFonts w:ascii="Times New Roman" w:hAnsi="Times New Roman"/>
          <w:b w:val="false"/>
          <w:i w:val="false"/>
          <w:color w:val="000000"/>
          <w:sz w:val="22"/>
        </w:rPr>
        <w:t> </w:t>
      </w:r>
      <w:r>
        <w:rPr>
          <w:rFonts w:ascii="Times New Roman" w:hAnsi="Times New Roman"/>
          <w:b w:val="false"/>
          <w:i/>
          <w:color w:val="000000"/>
          <w:sz w:val="22"/>
        </w:rPr>
        <w:t xml:space="preserve">Revocation. </w:t>
      </w:r>
      <w:r>
        <w:rPr>
          <w:rFonts w:ascii="Times New Roman" w:hAnsi="Times New Roman"/>
          <w:b w:val="false"/>
          <w:i w:val="false"/>
          <w:color w:val="000000"/>
          <w:sz w:val="22"/>
        </w:rPr>
        <w:t>Programs shall receive written notice by certified mail, return receipt requested, setting forth the reason(s) for revocation. The revocation shall become effective 30 days after receipt by the aggrieved party unless the grievant within that 30-day period gives written notice to the department requesting a hearing in which case the notice shall be deemed to be suspended.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9.13(3)</w:t>
      </w:r>
      <w:r>
        <w:rPr>
          <w:rFonts w:ascii="Times New Roman" w:hAnsi="Times New Roman"/>
          <w:b w:val="false"/>
          <w:i w:val="false"/>
          <w:color w:val="000000"/>
          <w:sz w:val="22"/>
        </w:rPr>
        <w:t> </w:t>
      </w:r>
      <w:r>
        <w:rPr>
          <w:rFonts w:ascii="Times New Roman" w:hAnsi="Times New Roman"/>
          <w:b w:val="false"/>
          <w:i/>
          <w:color w:val="000000"/>
          <w:sz w:val="22"/>
        </w:rPr>
        <w:t xml:space="preserve">Contested case. </w:t>
      </w:r>
      <w:r>
        <w:rPr>
          <w:rFonts w:ascii="Times New Roman" w:hAnsi="Times New Roman"/>
          <w:b w:val="false"/>
          <w:i w:val="false"/>
          <w:color w:val="000000"/>
          <w:sz w:val="22"/>
        </w:rPr>
        <w:t>Upon receipt of an appeal that meets contested case status, the appeal shall be forwarded within five working days to the department of inspections and appeals pursuant to the rule adopted by that agency regarding the transmission of contested cases. The information upon which the adverse action is based and any additional information which may be provided by the aggrieved party shall also be provided to the department of inspections and appeals.</w:t>
      </w:r>
    </w:p>
    <w:p>
      <w:pPr>
        <w:spacing w:before="0" w:after="0"/>
        <w:ind w:left="120"/>
        <w:jc w:val="both"/>
      </w:pPr>
      <w:r>
        <w:rPr>
          <w:rFonts w:ascii="Times New Roman" w:hAnsi="Times New Roman"/>
          <w:b/>
          <w:i w:val="false"/>
          <w:color w:val="000000"/>
          <w:sz w:val="22"/>
        </w:rPr>
        <w:t>641—9.14</w:t>
      </w:r>
      <w:r>
        <w:rPr>
          <w:rFonts w:ascii="Times New Roman" w:hAnsi="Times New Roman"/>
          <w:b/>
          <w:i w:val="false"/>
          <w:color w:val="000000"/>
          <w:sz w:val="22"/>
        </w:rPr>
        <w:t xml:space="preserve">(135) </w:t>
      </w:r>
      <w:r>
        <w:rPr>
          <w:rFonts w:ascii="Times New Roman" w:hAnsi="Times New Roman"/>
          <w:b/>
          <w:i w:val="false"/>
          <w:color w:val="000000"/>
          <w:sz w:val="22"/>
        </w:rPr>
        <w:t xml:space="preserve">Formal contest.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9.14(1)</w:t>
      </w:r>
      <w:r>
        <w:rPr>
          <w:rFonts w:ascii="Times New Roman" w:hAnsi="Times New Roman"/>
          <w:b w:val="false"/>
          <w:i w:val="false"/>
          <w:color w:val="000000"/>
          <w:sz w:val="22"/>
        </w:rPr>
        <w:t> </w:t>
      </w:r>
      <w:r>
        <w:rPr>
          <w:rFonts w:ascii="Times New Roman" w:hAnsi="Times New Roman"/>
          <w:b w:val="false"/>
          <w:i/>
          <w:color w:val="000000"/>
          <w:sz w:val="22"/>
        </w:rPr>
        <w:t xml:space="preserve">Hearing. </w:t>
      </w:r>
      <w:r>
        <w:rPr>
          <w:rFonts w:ascii="Times New Roman" w:hAnsi="Times New Roman"/>
          <w:b w:val="false"/>
          <w:i w:val="false"/>
          <w:color w:val="000000"/>
          <w:sz w:val="22"/>
        </w:rPr>
        <w:t xml:space="preserve">The hearing shall be conducted according to the procedural rules of the department of inspections and appeals found in </w:t>
      </w:r>
      <w:hyperlink r:id="rId22">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9.14(2)</w:t>
      </w:r>
      <w:r>
        <w:rPr>
          <w:rFonts w:ascii="Times New Roman" w:hAnsi="Times New Roman"/>
          <w:b w:val="false"/>
          <w:i w:val="false"/>
          <w:color w:val="000000"/>
          <w:sz w:val="22"/>
        </w:rPr>
        <w:t> </w:t>
      </w:r>
      <w:r>
        <w:rPr>
          <w:rFonts w:ascii="Times New Roman" w:hAnsi="Times New Roman"/>
          <w:b w:val="false"/>
          <w:i/>
          <w:color w:val="000000"/>
          <w:sz w:val="22"/>
        </w:rPr>
        <w:t xml:space="preserve">Decision of administrative law judge. </w:t>
      </w:r>
      <w:r>
        <w:rPr>
          <w:rFonts w:ascii="Times New Roman" w:hAnsi="Times New Roman"/>
          <w:b w:val="false"/>
          <w:i w:val="false"/>
          <w:color w:val="000000"/>
          <w:sz w:val="22"/>
        </w:rPr>
        <w:t xml:space="preserve">When the administrative law judge makes a proposed decision and order, it shall be served by certified mail, return receipt requested, or delivered by personal service. That proposed decision and order then becomes the department’s final agency action without further proceedings ten days after it is received by the aggrieved party unless an appeal to the director is taken as provided in </w:t>
      </w:r>
      <w:hyperlink r:id="rId23">
        <w:r>
          <w:rPr>
            <w:rStyle w:val="Hyperlink"/>
            <w:rFonts w:ascii="Times New Roman" w:hAnsi="Times New Roman"/>
            <w:b w:val="false"/>
            <w:i w:val="false"/>
            <w:color w:val="000000"/>
            <w:sz w:val="22"/>
          </w:rPr>
          <w:t>9.14(3)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9.14(3)</w:t>
      </w:r>
      <w:r>
        <w:rPr>
          <w:rFonts w:ascii="Times New Roman" w:hAnsi="Times New Roman"/>
          <w:b w:val="false"/>
          <w:i w:val="false"/>
          <w:color w:val="000000"/>
          <w:sz w:val="22"/>
        </w:rPr>
        <w:t> </w:t>
      </w:r>
      <w:r>
        <w:rPr>
          <w:rFonts w:ascii="Times New Roman" w:hAnsi="Times New Roman"/>
          <w:b w:val="false"/>
          <w:i/>
          <w:color w:val="000000"/>
          <w:sz w:val="22"/>
        </w:rPr>
        <w:t xml:space="preserve">Appeal to director. </w:t>
      </w:r>
      <w:r>
        <w:rPr>
          <w:rFonts w:ascii="Times New Roman" w:hAnsi="Times New Roman"/>
          <w:b w:val="false"/>
          <w:i w:val="false"/>
          <w:color w:val="000000"/>
          <w:sz w:val="22"/>
        </w:rPr>
        <w:t>Any appeal to the director for review of the proposed decision and order of the administrative law judge shall be filed in writing and mailed to the director by certified mail, return receipt requested, or delivered by personal service within ten days after the receipt of the administrative law judge’s proposed decision and order by the aggrieved party. A copy of the appeal shall also be mailed to the administrative law judge. Any request for an appeal shall state the reason for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9.14(4)</w:t>
      </w:r>
      <w:r>
        <w:rPr>
          <w:rFonts w:ascii="Times New Roman" w:hAnsi="Times New Roman"/>
          <w:b w:val="false"/>
          <w:i w:val="false"/>
          <w:color w:val="000000"/>
          <w:sz w:val="22"/>
        </w:rPr>
        <w:t> </w:t>
      </w:r>
      <w:r>
        <w:rPr>
          <w:rFonts w:ascii="Times New Roman" w:hAnsi="Times New Roman"/>
          <w:b w:val="false"/>
          <w:i/>
          <w:color w:val="000000"/>
          <w:sz w:val="22"/>
        </w:rPr>
        <w:t xml:space="preserve">Record of hearing. </w:t>
      </w:r>
      <w:r>
        <w:rPr>
          <w:rFonts w:ascii="Times New Roman" w:hAnsi="Times New Roman"/>
          <w:b w:val="false"/>
          <w:i w:val="false"/>
          <w:color w:val="000000"/>
          <w:sz w:val="22"/>
        </w:rPr>
        <w:t>Upon receipt of an appeal request, the administrative law judge shall prepare the record of the hearing for submission to the director. The record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pleadings, motions and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evidence received or considered and all other submissions by recording or transcript.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all matters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questions and offers of proof, objections and rulings thereon.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proposed findings and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proposed decision and order of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9.14(5)</w:t>
      </w:r>
      <w:r>
        <w:rPr>
          <w:rFonts w:ascii="Times New Roman" w:hAnsi="Times New Roman"/>
          <w:b w:val="false"/>
          <w:i w:val="false"/>
          <w:color w:val="000000"/>
          <w:sz w:val="22"/>
        </w:rPr>
        <w:t> </w:t>
      </w:r>
      <w:r>
        <w:rPr>
          <w:rFonts w:ascii="Times New Roman" w:hAnsi="Times New Roman"/>
          <w:b w:val="false"/>
          <w:i/>
          <w:color w:val="000000"/>
          <w:sz w:val="22"/>
        </w:rPr>
        <w:t xml:space="preserve">Decision of director. </w:t>
      </w:r>
      <w:r>
        <w:rPr>
          <w:rFonts w:ascii="Times New Roman" w:hAnsi="Times New Roman"/>
          <w:b w:val="false"/>
          <w:i w:val="false"/>
          <w:color w:val="000000"/>
          <w:sz w:val="22"/>
        </w:rPr>
        <w:t>The decision and order of the director becomes the department’s final agency action upon receipt by the aggrieved party and shall be delivered by certified mail, return receipt requested, or by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9.14(6)</w:t>
      </w:r>
      <w:r>
        <w:rPr>
          <w:rFonts w:ascii="Times New Roman" w:hAnsi="Times New Roman"/>
          <w:b w:val="false"/>
          <w:i w:val="false"/>
          <w:color w:val="000000"/>
          <w:sz w:val="22"/>
        </w:rPr>
        <w:t> </w:t>
      </w:r>
      <w:r>
        <w:rPr>
          <w:rFonts w:ascii="Times New Roman" w:hAnsi="Times New Roman"/>
          <w:b w:val="false"/>
          <w:i/>
          <w:color w:val="000000"/>
          <w:sz w:val="22"/>
        </w:rPr>
        <w:t xml:space="preserve">Exhausting administrative remedies. </w:t>
      </w:r>
      <w:r>
        <w:rPr>
          <w:rFonts w:ascii="Times New Roman" w:hAnsi="Times New Roman"/>
          <w:b w:val="false"/>
          <w:i w:val="false"/>
          <w:color w:val="000000"/>
          <w:sz w:val="22"/>
        </w:rPr>
        <w:t xml:space="preserve">It is not necessary to file an application or a rehearing to exhaust administrative remedies when appealing to the director or the district court as provided in Iowa Code section </w:t>
      </w:r>
      <w:hyperlink r:id="rId24">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xml:space="preserve">. The aggrieved party to the final agency action of the department who has exhausted all administrative remedies may petition for judicial review of that action pursuant to Iowa Code chapter </w:t>
      </w:r>
      <w:hyperlink r:id="rId2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9.14(7)</w:t>
      </w:r>
      <w:r>
        <w:rPr>
          <w:rFonts w:ascii="Times New Roman" w:hAnsi="Times New Roman"/>
          <w:b w:val="false"/>
          <w:i w:val="false"/>
          <w:color w:val="000000"/>
          <w:sz w:val="22"/>
        </w:rPr>
        <w:t> </w:t>
      </w:r>
      <w:r>
        <w:rPr>
          <w:rFonts w:ascii="Times New Roman" w:hAnsi="Times New Roman"/>
          <w:b w:val="false"/>
          <w:i/>
          <w:color w:val="000000"/>
          <w:sz w:val="22"/>
        </w:rPr>
        <w:t xml:space="preserve">Petition for judicial review. </w:t>
      </w:r>
      <w:r>
        <w:rPr>
          <w:rFonts w:ascii="Times New Roman" w:hAnsi="Times New Roman"/>
          <w:b w:val="false"/>
          <w:i w:val="false"/>
          <w:color w:val="000000"/>
          <w:sz w:val="22"/>
        </w:rPr>
        <w:t>Any petition for judicial review of a decision and order shall be filed in the district court within 30 days after the decision and order becomes final. A copy of the notice of appeal shall be sent to the director by certified mail, return receipt requested, or by personal service. The address is: Iowa Department of Public Health, Lucas State Office Building, 321 East 12th Street, Des Moines, Iowa 50319-0075.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9249B</w:t>
      </w:r>
      <w:r>
        <w:rPr>
          <w:rFonts w:ascii="Times New Roman" w:hAnsi="Times New Roman"/>
          <w:b w:val="false"/>
          <w:i w:val="false"/>
          <w:color w:val="000000"/>
          <w:sz w:val="16"/>
        </w:rPr>
        <w:t>, IAB 12/1/10, effective 1/5/11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26">
        <w:r>
          <w:rPr>
            <w:rStyle w:val="Hyperlink"/>
            <w:rFonts w:ascii="Times New Roman" w:hAnsi="Times New Roman"/>
            <w:b w:val="false"/>
            <w:i w:val="false"/>
            <w:color w:val="000000"/>
            <w:sz w:val="22"/>
          </w:rPr>
          <w:t>135.11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5/17/85, Notice 11/7/84—published 6/5/85, effective 7/10/85]</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9/19/85—published 10/9/85, effective 9/19/85]</w:t>
      </w:r>
    </w:p>
    <w:p>
      <w:pPr>
        <w:spacing w:before="0" w:after="0"/>
        <w:ind w:left="120"/>
        <w:jc w:val="center"/>
      </w:pPr>
      <w:r>
        <w:rPr>
          <w:rFonts w:ascii="Times New Roman" w:hAnsi="Times New Roman"/>
          <w:b w:val="false"/>
          <w:i w:val="false"/>
          <w:color w:val="000000"/>
          <w:sz w:val="21"/>
        </w:rPr>
        <w:t>[Filed emergency 7/1/86—published 7/16/86, effective 7/1/86]</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7/11/86, Notice 5/7/86—published 7/30/86, effective 9/3/86]</w:t>
      </w:r>
    </w:p>
    <w:p>
      <w:pPr>
        <w:spacing w:before="0" w:after="0"/>
        <w:ind w:left="120"/>
        <w:jc w:val="center"/>
      </w:pPr>
      <w:r>
        <w:rPr>
          <w:rFonts w:ascii="Times New Roman" w:hAnsi="Times New Roman"/>
          <w:b w:val="false"/>
          <w:i w:val="false"/>
          <w:color w:val="000000"/>
          <w:sz w:val="21"/>
        </w:rPr>
        <w:t>[Filed emergency 9/19/86—published 10/8/86, effective 9/19/86]</w:t>
      </w:r>
    </w:p>
    <w:p>
      <w:pPr>
        <w:spacing w:before="0" w:after="0"/>
        <w:ind w:left="120"/>
        <w:jc w:val="center"/>
      </w:pPr>
      <w:r>
        <w:rPr>
          <w:rFonts w:ascii="Times New Roman" w:hAnsi="Times New Roman"/>
          <w:b w:val="false"/>
          <w:i w:val="false"/>
          <w:color w:val="000000"/>
          <w:sz w:val="21"/>
        </w:rPr>
        <w:t>[Filed emergency 7/10/87—published 7/29/87, effective 7/10/87]</w:t>
      </w:r>
    </w:p>
    <w:p>
      <w:pPr>
        <w:spacing w:before="0" w:after="0"/>
        <w:ind w:left="120"/>
        <w:jc w:val="center"/>
      </w:pPr>
      <w:r>
        <w:rPr>
          <w:rFonts w:ascii="Times New Roman" w:hAnsi="Times New Roman"/>
          <w:b w:val="false"/>
          <w:i w:val="false"/>
          <w:color w:val="000000"/>
          <w:sz w:val="21"/>
        </w:rPr>
        <w:t>[Filed 3/15/91, Notice 1/9/91—published 4/3/91, effective 5/8/91]</w:t>
      </w:r>
    </w:p>
    <w:p>
      <w:pPr>
        <w:spacing w:before="0" w:after="0"/>
        <w:ind w:left="120"/>
        <w:jc w:val="center"/>
      </w:pPr>
      <w:r>
        <w:rPr>
          <w:rFonts w:ascii="Times New Roman" w:hAnsi="Times New Roman"/>
          <w:b w:val="false"/>
          <w:i w:val="false"/>
          <w:color w:val="000000"/>
          <w:sz w:val="21"/>
        </w:rPr>
        <w:t>[Filed 9/19/96, Notice 7/17/96—published 10/9/96, effective 11/13/96]</w:t>
      </w:r>
    </w:p>
    <w:p>
      <w:pPr>
        <w:spacing w:before="0" w:after="0"/>
        <w:ind w:left="120"/>
        <w:jc w:val="center"/>
      </w:pPr>
      <w:r>
        <w:rPr>
          <w:rFonts w:ascii="Times New Roman" w:hAnsi="Times New Roman"/>
          <w:b w:val="false"/>
          <w:i w:val="false"/>
          <w:color w:val="000000"/>
          <w:sz w:val="21"/>
        </w:rPr>
        <w:t>[Filed ARC 9249B</w:t>
      </w:r>
      <w:r>
        <w:rPr>
          <w:rFonts w:ascii="Times New Roman" w:hAnsi="Times New Roman"/>
          <w:b w:val="false"/>
          <w:i w:val="false"/>
          <w:color w:val="000000"/>
          <w:sz w:val="21"/>
        </w:rPr>
        <w:t xml:space="preserve"> (Notice ARC 9092B, IAB 9/22/10)</w:t>
      </w:r>
      <w:r>
        <w:rPr>
          <w:rFonts w:ascii="Times New Roman" w:hAnsi="Times New Roman"/>
          <w:b w:val="false"/>
          <w:i w:val="false"/>
          <w:color w:val="000000"/>
          <w:sz w:val="21"/>
        </w:rPr>
        <w:t>, IAB 12/1/10, effective 1/5/11]</w:t>
      </w:r>
    </w:p>
    <w:p>
      <w:pPr>
        <w:spacing w:before="0" w:after="0"/>
        <w:ind w:left="120"/>
        <w:jc w:val="center"/>
      </w:pPr>
      <w:r>
        <w:rPr>
          <w:rFonts w:ascii="Times New Roman" w:hAnsi="Times New Roman"/>
          <w:b w:val="false"/>
          <w:i w:val="false"/>
          <w:color w:val="000000"/>
          <w:sz w:val="21"/>
        </w:rPr>
        <w:t>[Filed ARC 4074C</w:t>
      </w:r>
      <w:r>
        <w:rPr>
          <w:rFonts w:ascii="Times New Roman" w:hAnsi="Times New Roman"/>
          <w:b w:val="false"/>
          <w:i w:val="false"/>
          <w:color w:val="000000"/>
          <w:sz w:val="21"/>
        </w:rPr>
        <w:t xml:space="preserve"> (Notice ARC 3898C, IAB 7/18/18)</w:t>
      </w:r>
      <w:r>
        <w:rPr>
          <w:rFonts w:ascii="Times New Roman" w:hAnsi="Times New Roman"/>
          <w:b w:val="false"/>
          <w:i w:val="false"/>
          <w:color w:val="000000"/>
          <w:sz w:val="21"/>
        </w:rPr>
        <w:t>, IAB 10/10/18, effective 11/14/18]</w:t>
      </w:r>
    </w:p>
    <w:p>
      <w:pPr>
        <w:spacing w:before="0" w:after="0"/>
        <w:ind w:left="120"/>
        <w:jc w:val="center"/>
      </w:pPr>
      <w:r>
        <w:rPr>
          <w:rFonts w:ascii="Times New Roman" w:hAnsi="Times New Roman"/>
          <w:b w:val="false"/>
          <w:i w:val="false"/>
          <w:color w:val="000000"/>
          <w:sz w:val="21"/>
        </w:rPr>
        <w:t>[Filed ARC 6268C</w:t>
      </w:r>
      <w:r>
        <w:rPr>
          <w:rFonts w:ascii="Times New Roman" w:hAnsi="Times New Roman"/>
          <w:b w:val="false"/>
          <w:i w:val="false"/>
          <w:color w:val="000000"/>
          <w:sz w:val="21"/>
        </w:rPr>
        <w:t xml:space="preserve"> (Notice ARC 6156C, IAB 1/26/22)</w:t>
      </w:r>
      <w:r>
        <w:rPr>
          <w:rFonts w:ascii="Times New Roman" w:hAnsi="Times New Roman"/>
          <w:b w:val="false"/>
          <w:i w:val="false"/>
          <w:color w:val="000000"/>
          <w:sz w:val="21"/>
        </w:rPr>
        <w:t>, IAB 4/6/22, effective 5/11/22]</w:t>
      </w:r>
    </w:p>
    <w:p>
      <w:pPr>
        <w:spacing w:before="0" w:after="0"/>
        <w:ind w:left="120"/>
        <w:jc w:val="center"/>
      </w:pPr>
      <w:r>
        <w:rPr>
          <w:rFonts w:ascii="Times New Roman" w:hAnsi="Times New Roman"/>
          <w:b w:val="false"/>
          <w:i w:val="false"/>
          <w:color w:val="000000"/>
          <w:sz w:val="21"/>
        </w:rPr>
        <w:t>[Filed ARC 6847C</w:t>
      </w:r>
      <w:r>
        <w:rPr>
          <w:rFonts w:ascii="Times New Roman" w:hAnsi="Times New Roman"/>
          <w:b w:val="false"/>
          <w:i w:val="false"/>
          <w:color w:val="000000"/>
          <w:sz w:val="21"/>
        </w:rPr>
        <w:t xml:space="preserve"> (Notice ARC 6645C, IAB 11/16/22)</w:t>
      </w:r>
      <w:r>
        <w:rPr>
          <w:rFonts w:ascii="Times New Roman" w:hAnsi="Times New Roman"/>
          <w:b w:val="false"/>
          <w:i w:val="false"/>
          <w:color w:val="000000"/>
          <w:sz w:val="21"/>
        </w:rPr>
        <w:t>, IAB 2/8/23, effective 3/15/23]</w:t>
      </w:r>
    </w:p>
    <w:p>
      <w:pPr>
        <w:pBdr>
          <w:bottom w:space="2"/>
        </w:pBdr>
        <w:spacing w:before="0" w:after="0"/>
        <w:ind w:left="120"/>
        <w:jc w:val="both"/>
      </w:pPr>
      <w:r>
        <w:rPr>
          <w:rFonts w:ascii="Times New Roman" w:hAnsi="Times New Roman"/>
          <w:b w:val="false"/>
          <w:i w:val="false"/>
          <w:color w:val="000000"/>
          <w:sz w:val="22"/>
        </w:rPr>
        <w:t>Objection to 9.6(2) filed 7/11/85, IAB 7/31/85.</w:t>
      </w:r>
    </w:p>
    <w:p>
      <w:pPr>
        <w:pBdr>
          <w:bottom w:space="2"/>
        </w:pBdr>
        <w:spacing w:before="0" w:after="0"/>
        <w:ind w:left="120"/>
        <w:jc w:val="both"/>
      </w:pPr>
      <w:r>
        <w:rPr>
          <w:rFonts w:ascii="Times New Roman" w:hAnsi="Times New Roman"/>
          <w:b w:val="false"/>
          <w:i w:val="false"/>
          <w:color w:val="000000"/>
          <w:sz w:val="22"/>
        </w:rPr>
        <w:t>See IAB, Inspections and Appeals Department.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2A.pdf" Type="http://schemas.openxmlformats.org/officeDocument/2006/relationships/hyperlink" Id="rId5"/>
    <Relationship TargetMode="External" Target="https://www.legis.iowa.gov/docs/ico/chapter/155A.pdf" Type="http://schemas.openxmlformats.org/officeDocument/2006/relationships/hyperlink" Id="rId6"/>
    <Relationship TargetMode="External" Target="https://www.legis.iowa.gov/docs/ico/chapter/148.pdf" Type="http://schemas.openxmlformats.org/officeDocument/2006/relationships/hyperlink" Id="rId7"/>
    <Relationship TargetMode="External" Target="https://www.legis.iowa.gov/docs/ico/chapter/148C.pdf" Type="http://schemas.openxmlformats.org/officeDocument/2006/relationships/hyperlink" Id="rId8"/>
    <Relationship TargetMode="External" Target="https://www.legis.iowa.gov/docs/ico/chapter/152.pdf" Type="http://schemas.openxmlformats.org/officeDocument/2006/relationships/hyperlink" Id="rId9"/>
    <Relationship TargetMode="External" Target="https://www.legis.iowa.gov/docs/iac/rule/641.9.4.pdf" Type="http://schemas.openxmlformats.org/officeDocument/2006/relationships/hyperlink" Id="rId10"/>
    <Relationship TargetMode="External" Target="https://www.legis.iowa.gov/docs/iac/rule/641.9.8.pdf" Type="http://schemas.openxmlformats.org/officeDocument/2006/relationships/hyperlink" Id="rId11"/>
    <Relationship TargetMode="External" Target="https://www.legis.iowa.gov/docs/iac/rule/641.9.8.pdf" Type="http://schemas.openxmlformats.org/officeDocument/2006/relationships/hyperlink" Id="rId12"/>
    <Relationship TargetMode="External" Target="https://www.legis.iowa.gov/docs/iac/rule/641.9.8.pdf" Type="http://schemas.openxmlformats.org/officeDocument/2006/relationships/hyperlink" Id="rId13"/>
    <Relationship TargetMode="External" Target="https://www.legis.iowa.gov/docs/iac/rule/641.9.5.pdf" Type="http://schemas.openxmlformats.org/officeDocument/2006/relationships/hyperlink" Id="rId14"/>
    <Relationship TargetMode="External" Target="https://www.legis.iowa.gov/docs/iac/rule/641.9.9.pdf" Type="http://schemas.openxmlformats.org/officeDocument/2006/relationships/hyperlink" Id="rId15"/>
    <Relationship TargetMode="External" Target="https://www.legis.iowa.gov/docs/iac/rule/641.9.8.pdf" Type="http://schemas.openxmlformats.org/officeDocument/2006/relationships/hyperlink" Id="rId16"/>
    <Relationship TargetMode="External" Target="https://www.legis.iowa.gov/docs/iac/rule/641.9.8.pdf" Type="http://schemas.openxmlformats.org/officeDocument/2006/relationships/hyperlink" Id="rId17"/>
    <Relationship TargetMode="External" Target="https://www.legis.iowa.gov/docs/iac/rule/641.9.8.pdf" Type="http://schemas.openxmlformats.org/officeDocument/2006/relationships/hyperlink" Id="rId18"/>
    <Relationship TargetMode="External" Target="https://www.legis.iowa.gov/docs/iac/rule/641.9.8.pdf" Type="http://schemas.openxmlformats.org/officeDocument/2006/relationships/hyperlink" Id="rId19"/>
    <Relationship TargetMode="External" Target="https://www.legis.iowa.gov/docs/iac/rule/641.9.8.pdf" Type="http://schemas.openxmlformats.org/officeDocument/2006/relationships/hyperlink" Id="rId20"/>
    <Relationship TargetMode="External" Target="https://www.legis.iowa.gov/docs/iac/rule/641.9.8.pdf" Type="http://schemas.openxmlformats.org/officeDocument/2006/relationships/hyperlink" Id="rId21"/>
    <Relationship TargetMode="External" Target="https://www.legis.iowa.gov/docs/iac/chapter/481.10.pdf" Type="http://schemas.openxmlformats.org/officeDocument/2006/relationships/hyperlink" Id="rId22"/>
    <Relationship TargetMode="External" Target="https://www.legis.iowa.gov/docs/iac/rule/641.9.14.pdf" Type="http://schemas.openxmlformats.org/officeDocument/2006/relationships/hyperlink" Id="rId23"/>
    <Relationship TargetMode="External" Target="https://www.legis.iowa.gov/docs/ico/chapter/17A.19.pdf" Type="http://schemas.openxmlformats.org/officeDocument/2006/relationships/hyperlink" Id="rId24"/>
    <Relationship TargetMode="External" Target="https://www.legis.iowa.gov/docs/ico/chapter/17A.pdf" Type="http://schemas.openxmlformats.org/officeDocument/2006/relationships/hyperlink" Id="rId25"/>
    <Relationship TargetMode="External" Target="https://www.legis.iowa.gov/docs/ico/chapter/135.11.pdf" Type="http://schemas.openxmlformats.org/officeDocument/2006/relationships/hyperlink" Id="rId2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