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w:t>
      </w:r>
    </w:p>
    <w:p>
      <w:pPr>
        <w:spacing w:before="0" w:after="0"/>
        <w:ind w:left="120"/>
        <w:jc w:val="center"/>
      </w:pPr>
      <w:r>
        <w:rPr>
          <w:rFonts w:ascii="Times New Roman" w:hAnsi="Times New Roman"/>
          <w:b w:val="false"/>
          <w:i w:val="false"/>
          <w:color w:val="000000"/>
          <w:sz w:val="21"/>
        </w:rPr>
        <w:t>LOCAL PUBLIC HEALTH SERVICES</w:t>
      </w:r>
    </w:p>
    <w:p>
      <w:pPr>
        <w:spacing w:before="0" w:after="0"/>
        <w:ind w:left="120"/>
        <w:jc w:val="center"/>
      </w:pPr>
      <w:r>
        <w:rPr>
          <w:rFonts w:ascii="Times New Roman" w:hAnsi="Times New Roman"/>
          <w:b w:val="false"/>
          <w:i w:val="false"/>
          <w:color w:val="000000"/>
          <w:sz w:val="14"/>
        </w:rPr>
        <w:t>[Prior to 8/3/94, “Homemaker-Home Health Aide Services”]</w:t>
      </w:r>
    </w:p>
    <w:p>
      <w:pPr>
        <w:spacing w:before="0" w:after="0"/>
        <w:ind w:left="120"/>
        <w:jc w:val="center"/>
      </w:pPr>
      <w:r>
        <w:rPr>
          <w:rFonts w:ascii="Times New Roman" w:hAnsi="Times New Roman"/>
          <w:b w:val="false"/>
          <w:i w:val="false"/>
          <w:color w:val="000000"/>
          <w:sz w:val="14"/>
        </w:rPr>
        <w:t>[Prior to 4/11/07, see also 641—Ch 79]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641—80.1</w:t>
      </w:r>
      <w:r>
        <w:rPr>
          <w:rFonts w:ascii="Times New Roman" w:hAnsi="Times New Roman"/>
          <w:b/>
          <w:i w:val="false"/>
          <w:color w:val="000000"/>
          <w:sz w:val="22"/>
        </w:rPr>
        <w:t xml:space="preserve">(135)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local public health services (LPHS) contract is to assure core public health functions are met, to assure essential public health services are delivered, and to increase the capacity of local boards of health to meet the unique needs of the population while promoting healthy people in healthy communities throughout their life spans.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6270C</w:t>
      </w:r>
      <w:r>
        <w:rPr>
          <w:rFonts w:ascii="Times New Roman" w:hAnsi="Times New Roman"/>
          <w:b w:val="false"/>
          <w:i w:val="false"/>
          <w:color w:val="000000"/>
          <w:sz w:val="16"/>
        </w:rPr>
        <w:t>, IAB 4/6/22,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641—80.2</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“Allocation” </w:t>
      </w:r>
      <w:r>
        <w:rPr>
          <w:rFonts w:ascii="Times New Roman" w:hAnsi="Times New Roman"/>
          <w:b w:val="false"/>
          <w:i w:val="false"/>
          <w:color w:val="000000"/>
          <w:sz w:val="22"/>
        </w:rPr>
        <w:t>means the process to distribute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“Appropriation” </w:t>
      </w:r>
      <w:r>
        <w:rPr>
          <w:rFonts w:ascii="Times New Roman" w:hAnsi="Times New Roman"/>
          <w:b w:val="false"/>
          <w:i w:val="false"/>
          <w:color w:val="000000"/>
          <w:sz w:val="22"/>
        </w:rPr>
        <w:t>means the funding amount approved in the state budget.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w:t>
      </w:r>
      <w:r>
        <w:rPr>
          <w:rFonts w:ascii="Times New Roman" w:hAnsi="Times New Roman"/>
          <w:b w:val="false"/>
          <w:i w:val="false"/>
          <w:color w:val="000000"/>
          <w:sz w:val="22"/>
        </w:rPr>
        <w:t>means the aggregate of persons with common characteristics such as race, ethnicity, age, occupation, or other similarities such as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means a local board of health (LBOH).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“Core public health functions” </w:t>
      </w:r>
      <w:r>
        <w:rPr>
          <w:rFonts w:ascii="Times New Roman" w:hAnsi="Times New Roman"/>
          <w:b w:val="false"/>
          <w:i w:val="false"/>
          <w:color w:val="000000"/>
          <w:sz w:val="22"/>
        </w:rPr>
        <w:t>means the functions of assessment, policy development, and assurance: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Assessment means regular collection, analysis, interpretation, and communication of information about health conditions, risks, and assets in a community.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Policy development means formulation, implementation, and evaluation of plans and policies, for public health in general and priority health needs in particular, in a manner that incorporates scientific information and community values in accordance with state public health policy.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Assurance means that programs and interventions, which maintain and improve health, are carried out by encouragement, regulation, or direct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“Elderly” </w:t>
      </w:r>
      <w:r>
        <w:rPr>
          <w:rFonts w:ascii="Times New Roman" w:hAnsi="Times New Roman"/>
          <w:b w:val="false"/>
          <w:i w:val="false"/>
          <w:color w:val="000000"/>
          <w:sz w:val="22"/>
        </w:rPr>
        <w:t>means an individual aged 60 years and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“Essential public health services” </w:t>
      </w:r>
      <w:r>
        <w:rPr>
          <w:rFonts w:ascii="Times New Roman" w:hAnsi="Times New Roman"/>
          <w:b w:val="false"/>
          <w:i w:val="false"/>
          <w:color w:val="000000"/>
          <w:sz w:val="22"/>
        </w:rPr>
        <w:t>means a framework for public health to promote and protect the health of all people in all communities.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“Formula” </w:t>
      </w:r>
      <w:r>
        <w:rPr>
          <w:rFonts w:ascii="Times New Roman" w:hAnsi="Times New Roman"/>
          <w:b w:val="false"/>
          <w:i w:val="false"/>
          <w:color w:val="000000"/>
          <w:sz w:val="22"/>
        </w:rPr>
        <w:t xml:space="preserve">means the mathematical calculation applied to the state appropriation and granted to each local board of health pursuant to Iowa Code section </w:t>
      </w:r>
      <w:hyperlink r:id="rId5">
        <w:r>
          <w:rPr>
            <w:rStyle w:val="Hyperlink"/>
            <w:rFonts w:ascii="Times New Roman" w:hAnsi="Times New Roman"/>
            <w:b w:val="false"/>
            <w:i w:val="false"/>
            <w:color w:val="000000"/>
            <w:sz w:val="22"/>
          </w:rPr>
          <w:t>135.11(13)</w:t>
        </w:r>
      </w:hyperlink>
      <w:r>
        <w:rPr>
          <w:rFonts w:ascii="Times New Roman" w:hAnsi="Times New Roman"/>
          <w:b w:val="false"/>
          <w:i w:val="false"/>
          <w:color w:val="000000"/>
          <w:sz w:val="22"/>
        </w:rPr>
        <w:t xml:space="preserve"> to determine the amount of available funds to be distributed to each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board of health”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“LBOH” </w:t>
      </w:r>
      <w:r>
        <w:rPr>
          <w:rFonts w:ascii="Times New Roman" w:hAnsi="Times New Roman"/>
          <w:b w:val="false"/>
          <w:i w:val="false"/>
          <w:color w:val="000000"/>
          <w:sz w:val="22"/>
        </w:rPr>
        <w:t xml:space="preserve">means a county or district board of health as defined in Iowa Code chapter </w:t>
      </w:r>
      <w:hyperlink r:id="rId6">
        <w:r>
          <w:rPr>
            <w:rStyle w:val="Hyperlink"/>
            <w:rFonts w:ascii="Times New Roman" w:hAnsi="Times New Roman"/>
            <w:b w:val="false"/>
            <w:i w:val="false"/>
            <w:color w:val="000000"/>
            <w:sz w:val="22"/>
          </w:rPr>
          <w:t>137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“Low income” </w:t>
      </w:r>
      <w:r>
        <w:rPr>
          <w:rFonts w:ascii="Times New Roman" w:hAnsi="Times New Roman"/>
          <w:b w:val="false"/>
          <w:i w:val="false"/>
          <w:color w:val="000000"/>
          <w:sz w:val="22"/>
        </w:rPr>
        <w:t>means the U.S. Census Bureau’s small area income and poverty estimates (SAIPE) used to determine low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“LPHS” </w:t>
      </w:r>
      <w:r>
        <w:rPr>
          <w:rFonts w:ascii="Times New Roman" w:hAnsi="Times New Roman"/>
          <w:b w:val="false"/>
          <w:i w:val="false"/>
          <w:color w:val="000000"/>
          <w:sz w:val="22"/>
        </w:rPr>
        <w:t>means local public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health intervention” </w:t>
      </w:r>
      <w:r>
        <w:rPr>
          <w:rFonts w:ascii="Times New Roman" w:hAnsi="Times New Roman"/>
          <w:b w:val="false"/>
          <w:i w:val="false"/>
          <w:color w:val="000000"/>
          <w:sz w:val="22"/>
        </w:rPr>
        <w:t>means an organized effort to promote behaviors and habits that can improve physical, mental, and emotional health for specific groups of people.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 plan” </w:t>
      </w:r>
      <w:r>
        <w:rPr>
          <w:rFonts w:ascii="Times New Roman" w:hAnsi="Times New Roman"/>
          <w:b w:val="false"/>
          <w:i w:val="false"/>
          <w:color w:val="000000"/>
          <w:sz w:val="22"/>
        </w:rPr>
        <w:t>means the plan established by the contractor to identify the details for implementing core functions and essential public health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6270C</w:t>
      </w:r>
      <w:r>
        <w:rPr>
          <w:rFonts w:ascii="Times New Roman" w:hAnsi="Times New Roman"/>
          <w:b w:val="false"/>
          <w:i w:val="false"/>
          <w:color w:val="000000"/>
          <w:sz w:val="16"/>
        </w:rPr>
        <w:t>, IAB 4/6/22,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641—80.3</w:t>
      </w:r>
      <w:r>
        <w:rPr>
          <w:rFonts w:ascii="Times New Roman" w:hAnsi="Times New Roman"/>
          <w:b/>
          <w:i w:val="false"/>
          <w:color w:val="000000"/>
          <w:sz w:val="22"/>
        </w:rPr>
        <w:t xml:space="preserve">(135) </w:t>
      </w:r>
      <w:r>
        <w:rPr>
          <w:rFonts w:ascii="Times New Roman" w:hAnsi="Times New Roman"/>
          <w:b/>
          <w:i w:val="false"/>
          <w:color w:val="000000"/>
          <w:sz w:val="22"/>
        </w:rPr>
        <w:t xml:space="preserve">Contractor assurances.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80.3(1)</w:t>
      </w:r>
      <w:r>
        <w:rPr>
          <w:rFonts w:ascii="Times New Roman" w:hAnsi="Times New Roman"/>
          <w:b w:val="false"/>
          <w:i w:val="false"/>
          <w:color w:val="000000"/>
          <w:sz w:val="22"/>
        </w:rPr>
        <w:t> </w:t>
      </w:r>
      <w:r>
        <w:rPr>
          <w:rFonts w:ascii="Times New Roman" w:hAnsi="Times New Roman"/>
          <w:b w:val="false"/>
          <w:i w:val="false"/>
          <w:color w:val="000000"/>
          <w:sz w:val="22"/>
        </w:rPr>
        <w:t>The contractor may directly provide or subcontract all or part of the delivery of essential public health services and public health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80.3(2)</w:t>
      </w:r>
      <w:r>
        <w:rPr>
          <w:rFonts w:ascii="Times New Roman" w:hAnsi="Times New Roman"/>
          <w:b w:val="false"/>
          <w:i w:val="false"/>
          <w:color w:val="000000"/>
          <w:sz w:val="22"/>
        </w:rPr>
        <w:t> </w:t>
      </w:r>
      <w:r>
        <w:rPr>
          <w:rFonts w:ascii="Times New Roman" w:hAnsi="Times New Roman"/>
          <w:b w:val="false"/>
          <w:i w:val="false"/>
          <w:color w:val="000000"/>
          <w:sz w:val="22"/>
        </w:rPr>
        <w:t>The contractor shall make certain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work plan is submitted annually through an application process that identifies the intended public health interventions and essential public health services for the designated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 are available to meet the core public health functions, deliver essential public health services, and implement the public health interventions outlined in the work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 applicable, contractors will assure that policies and procedures are available for public health interventions and essential public health services identified in the work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Fiscal accountability of funds is monitored;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Contract-required documentation, including performance metrics, is submitted by the established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local appeal process is available for public health interventions identified in the work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applicable local, state, and federal requirements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6270C</w:t>
      </w:r>
      <w:r>
        <w:rPr>
          <w:rFonts w:ascii="Times New Roman" w:hAnsi="Times New Roman"/>
          <w:b w:val="false"/>
          <w:i w:val="false"/>
          <w:color w:val="000000"/>
          <w:sz w:val="16"/>
        </w:rPr>
        <w:t>, IAB 4/6/22,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641—80.4</w:t>
      </w:r>
      <w:r>
        <w:rPr>
          <w:rFonts w:ascii="Times New Roman" w:hAnsi="Times New Roman"/>
          <w:b/>
          <w:i w:val="false"/>
          <w:color w:val="000000"/>
          <w:sz w:val="22"/>
        </w:rPr>
        <w:t xml:space="preserve">(135) </w:t>
      </w:r>
      <w:r>
        <w:rPr>
          <w:rFonts w:ascii="Times New Roman" w:hAnsi="Times New Roman"/>
          <w:b/>
          <w:i w:val="false"/>
          <w:color w:val="000000"/>
          <w:sz w:val="22"/>
        </w:rPr>
        <w:t xml:space="preserve">Utilization of LPHS contract funding. </w:t>
      </w:r>
      <w:r>
        <w:rPr>
          <w:rFonts w:ascii="Times New Roman" w:hAnsi="Times New Roman"/>
          <w:b w:val="false"/>
          <w:i w:val="false"/>
          <w:color w:val="000000"/>
          <w:sz w:val="22"/>
        </w:rPr>
        <w:t>The contractor may bill the department for staff time, salaries and benefits, and other necessary costs to implement the approved work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80.4(1)</w:t>
      </w:r>
      <w:r>
        <w:rPr>
          <w:rFonts w:ascii="Times New Roman" w:hAnsi="Times New Roman"/>
          <w:b w:val="false"/>
          <w:i w:val="false"/>
          <w:color w:val="000000"/>
          <w:sz w:val="22"/>
        </w:rPr>
        <w:t> </w:t>
      </w:r>
      <w:r>
        <w:rPr>
          <w:rFonts w:ascii="Times New Roman" w:hAnsi="Times New Roman"/>
          <w:b w:val="false"/>
          <w:i/>
          <w:color w:val="000000"/>
          <w:sz w:val="22"/>
        </w:rPr>
        <w:t xml:space="preserve">Planning process. </w:t>
      </w:r>
      <w:r>
        <w:rPr>
          <w:rFonts w:ascii="Times New Roman" w:hAnsi="Times New Roman"/>
          <w:b w:val="false"/>
          <w:i w:val="false"/>
          <w:color w:val="000000"/>
          <w:sz w:val="22"/>
        </w:rPr>
        <w:t>Annually, the contractor shall conduct a planning process to identify the utilization of LPHS contract funding that considers the unique and changing needs of the communities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80.4(2)</w:t>
      </w:r>
      <w:r>
        <w:rPr>
          <w:rFonts w:ascii="Times New Roman" w:hAnsi="Times New Roman"/>
          <w:b w:val="false"/>
          <w:i w:val="false"/>
          <w:color w:val="000000"/>
          <w:sz w:val="22"/>
        </w:rPr>
        <w:t> </w:t>
      </w:r>
      <w:r>
        <w:rPr>
          <w:rFonts w:ascii="Times New Roman" w:hAnsi="Times New Roman"/>
          <w:b w:val="false"/>
          <w:i/>
          <w:color w:val="000000"/>
          <w:sz w:val="22"/>
        </w:rPr>
        <w:t xml:space="preserve">Reallocation. </w:t>
      </w:r>
      <w:r>
        <w:rPr>
          <w:rFonts w:ascii="Times New Roman" w:hAnsi="Times New Roman"/>
          <w:b w:val="false"/>
          <w:i w:val="false"/>
          <w:color w:val="000000"/>
          <w:sz w:val="22"/>
        </w:rPr>
        <w:t>The department will annually determine the potential for unused funds from contracts. Reallocation of the funds shall be at the discretion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6270C</w:t>
      </w:r>
      <w:r>
        <w:rPr>
          <w:rFonts w:ascii="Times New Roman" w:hAnsi="Times New Roman"/>
          <w:b w:val="false"/>
          <w:i w:val="false"/>
          <w:color w:val="000000"/>
          <w:sz w:val="16"/>
        </w:rPr>
        <w:t>, IAB 4/6/22, effective 7/1/22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641—80.5</w:t>
      </w:r>
      <w:r>
        <w:rPr>
          <w:rFonts w:ascii="Times New Roman" w:hAnsi="Times New Roman"/>
          <w:b/>
          <w:i w:val="false"/>
          <w:color w:val="000000"/>
          <w:sz w:val="22"/>
        </w:rPr>
        <w:t xml:space="preserve">(135) </w:t>
      </w:r>
      <w:r>
        <w:rPr>
          <w:rFonts w:ascii="Times New Roman" w:hAnsi="Times New Roman"/>
          <w:b/>
          <w:i w:val="false"/>
          <w:color w:val="000000"/>
          <w:sz w:val="22"/>
        </w:rPr>
        <w:t xml:space="preserve">LPHS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80.5(1)</w:t>
      </w:r>
      <w:r>
        <w:rPr>
          <w:rFonts w:ascii="Times New Roman" w:hAnsi="Times New Roman"/>
          <w:b w:val="false"/>
          <w:i w:val="false"/>
          <w:color w:val="000000"/>
          <w:sz w:val="22"/>
        </w:rPr>
        <w:t> </w:t>
      </w:r>
      <w:r>
        <w:rPr>
          <w:rFonts w:ascii="Times New Roman" w:hAnsi="Times New Roman"/>
          <w:b w:val="false"/>
          <w:i/>
          <w:color w:val="000000"/>
          <w:sz w:val="22"/>
        </w:rPr>
        <w:t xml:space="preserve">Allocation for LPHS funds. </w:t>
      </w:r>
      <w:r>
        <w:rPr>
          <w:rFonts w:ascii="Times New Roman" w:hAnsi="Times New Roman"/>
          <w:b w:val="false"/>
          <w:i w:val="false"/>
          <w:color w:val="000000"/>
          <w:sz w:val="22"/>
        </w:rPr>
        <w:t>Allocation for LPHS funds to each contractor is determined by the following formula: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Eighteen percent of the total LPHS funds shall be divided so that an equal amount is available for use in each county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Eight percent of the total LPHS funds shall be allocated to each county according to the county’s population based upon the published data of the U.S. Census Bureau, which is the most recent data available three months prior to the release of the LPHS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Forty-four percent of the total LPHS funds shall be allocated according to the proportion of state residents who are elderly persons living in a county based upon the bridged-race population estimates produced by the U.S. Census Bureau in collaboration with the National Center for Health Statistics (NCHS).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Thirty percent of the total LPHS funds shall be allocated according to the proportion of state residents who are low-income persons living in a county based upon the U.S. Census Bureau’s small area income and poverty estimates (SAIPE).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80.5(2)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6270C</w:t>
      </w:r>
      <w:r>
        <w:rPr>
          <w:rFonts w:ascii="Times New Roman" w:hAnsi="Times New Roman"/>
          <w:b w:val="false"/>
          <w:i w:val="false"/>
          <w:color w:val="000000"/>
          <w:sz w:val="16"/>
        </w:rPr>
        <w:t>, IAB 4/6/22, effective 7/1/22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135.11(13)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7/1/82—published 7/21/82, effective 7/1/82]</w:t>
      </w:r>
    </w:p>
    <w:p>
      <w:pPr>
        <w:spacing w:before="0" w:after="0"/>
        <w:ind w:left="120"/>
        <w:jc w:val="center"/>
      </w:pPr>
      <w:r>
        <w:rPr>
          <w:rFonts w:ascii="Times New Roman" w:hAnsi="Times New Roman"/>
          <w:b w:val="false"/>
          <w:i w:val="false"/>
          <w:color w:val="000000"/>
          <w:sz w:val="21"/>
        </w:rPr>
        <w:t>[Filed 1/14/83, Notice 12/8/82—published 2/2/83, effective 3/10/83]</w:t>
      </w:r>
    </w:p>
    <w:p>
      <w:pPr>
        <w:spacing w:before="0" w:after="0"/>
        <w:ind w:left="120"/>
        <w:jc w:val="center"/>
      </w:pPr>
      <w:r>
        <w:rPr>
          <w:rFonts w:ascii="Times New Roman" w:hAnsi="Times New Roman"/>
          <w:b w:val="false"/>
          <w:i w:val="false"/>
          <w:color w:val="000000"/>
          <w:sz w:val="21"/>
        </w:rPr>
        <w:t>[Filed emergency 3/7/83—published 3/30/83, effective 3/10/83]</w:t>
      </w:r>
    </w:p>
    <w:p>
      <w:pPr>
        <w:spacing w:before="0" w:after="0"/>
        <w:ind w:left="120"/>
        <w:jc w:val="center"/>
      </w:pPr>
      <w:r>
        <w:rPr>
          <w:rFonts w:ascii="Times New Roman" w:hAnsi="Times New Roman"/>
          <w:b w:val="false"/>
          <w:i w:val="false"/>
          <w:color w:val="000000"/>
          <w:sz w:val="21"/>
        </w:rPr>
        <w:t>[Filed emergency 9/11/85—published 10/9/85, effective 9/11/85]</w:t>
      </w:r>
    </w:p>
    <w:p>
      <w:pPr>
        <w:spacing w:before="0" w:after="0"/>
        <w:ind w:left="120"/>
        <w:jc w:val="center"/>
      </w:pPr>
      <w:r>
        <w:rPr>
          <w:rFonts w:ascii="Times New Roman" w:hAnsi="Times New Roman"/>
          <w:b w:val="false"/>
          <w:i w:val="false"/>
          <w:color w:val="000000"/>
          <w:sz w:val="21"/>
        </w:rPr>
        <w:t>[Filed 11/27/85, Notice 8/14/85—published 12/18/85, effective 1/22/86]</w:t>
      </w:r>
    </w:p>
    <w:p>
      <w:pPr>
        <w:spacing w:before="0" w:after="0"/>
        <w:ind w:left="120"/>
        <w:jc w:val="center"/>
      </w:pPr>
      <w:r>
        <w:rPr>
          <w:rFonts w:ascii="Times New Roman" w:hAnsi="Times New Roman"/>
          <w:b w:val="false"/>
          <w:i w:val="false"/>
          <w:color w:val="000000"/>
          <w:sz w:val="21"/>
        </w:rPr>
        <w:t>[Filed emergency 7/1/86—published 7/16/86, effective 7/1/86]</w:t>
      </w:r>
    </w:p>
    <w:p>
      <w:pPr>
        <w:spacing w:before="0" w:after="0"/>
        <w:ind w:left="120"/>
        <w:jc w:val="center"/>
      </w:pPr>
      <w:r>
        <w:rPr>
          <w:rFonts w:ascii="Times New Roman" w:hAnsi="Times New Roman"/>
          <w:b w:val="false"/>
          <w:i w:val="false"/>
          <w:color w:val="000000"/>
          <w:sz w:val="21"/>
        </w:rPr>
        <w:t>[Filed emergency 9/19/86—published 10/8/86, effective 9/19/86]</w:t>
      </w:r>
    </w:p>
    <w:p>
      <w:pPr>
        <w:spacing w:before="0" w:after="0"/>
        <w:ind w:left="120"/>
        <w:jc w:val="center"/>
      </w:pPr>
      <w:r>
        <w:rPr>
          <w:rFonts w:ascii="Times New Roman" w:hAnsi="Times New Roman"/>
          <w:b w:val="false"/>
          <w:i w:val="false"/>
          <w:color w:val="000000"/>
          <w:sz w:val="21"/>
        </w:rPr>
        <w:t>[Filed emergency 7/10/87—published 7/29/87, effective 7/10/87]</w:t>
      </w:r>
    </w:p>
    <w:p>
      <w:pPr>
        <w:spacing w:before="0" w:after="0"/>
        <w:ind w:left="120"/>
        <w:jc w:val="center"/>
      </w:pPr>
      <w:r>
        <w:rPr>
          <w:rFonts w:ascii="Times New Roman" w:hAnsi="Times New Roman"/>
          <w:b w:val="false"/>
          <w:i w:val="false"/>
          <w:color w:val="000000"/>
          <w:sz w:val="21"/>
        </w:rPr>
        <w:t>[Filed emergency 6/25/91—published 7/10/91, effective 7/1/91]</w:t>
      </w:r>
    </w:p>
    <w:p>
      <w:pPr>
        <w:spacing w:before="0" w:after="0"/>
        <w:ind w:left="120"/>
        <w:jc w:val="center"/>
      </w:pPr>
      <w:r>
        <w:rPr>
          <w:rFonts w:ascii="Times New Roman" w:hAnsi="Times New Roman"/>
          <w:b w:val="false"/>
          <w:i w:val="false"/>
          <w:color w:val="000000"/>
          <w:sz w:val="21"/>
        </w:rPr>
        <w:t>[Filed 7/14/94, Notice 4/27/94—published 8/3/94, effective 9/7/94]</w:t>
      </w:r>
    </w:p>
    <w:p>
      <w:pPr>
        <w:spacing w:before="0" w:after="0"/>
        <w:ind w:left="120"/>
        <w:jc w:val="center"/>
      </w:pPr>
      <w:r>
        <w:rPr>
          <w:rFonts w:ascii="Times New Roman" w:hAnsi="Times New Roman"/>
          <w:b w:val="false"/>
          <w:i w:val="false"/>
          <w:color w:val="000000"/>
          <w:sz w:val="21"/>
        </w:rPr>
        <w:t>[Filed 9/18/98, Notice 7/15/98—published 10/7/98, effective 11/11/98]</w:t>
      </w:r>
    </w:p>
    <w:p>
      <w:pPr>
        <w:spacing w:before="0" w:after="0"/>
        <w:ind w:left="120"/>
        <w:jc w:val="center"/>
      </w:pPr>
      <w:r>
        <w:rPr>
          <w:rFonts w:ascii="Times New Roman" w:hAnsi="Times New Roman"/>
          <w:b w:val="false"/>
          <w:i w:val="false"/>
          <w:color w:val="000000"/>
          <w:sz w:val="21"/>
        </w:rPr>
        <w:t>[Filed 3/16/07, Notice 1/31/07—published 4/11/07, effective 7/1/07]</w:t>
      </w:r>
    </w:p>
    <w:p>
      <w:pPr>
        <w:spacing w:before="0" w:after="0"/>
        <w:ind w:left="120"/>
        <w:jc w:val="center"/>
      </w:pPr>
      <w:r>
        <w:rPr>
          <w:rFonts w:ascii="Times New Roman" w:hAnsi="Times New Roman"/>
          <w:b w:val="false"/>
          <w:i w:val="false"/>
          <w:color w:val="000000"/>
          <w:sz w:val="21"/>
        </w:rPr>
        <w:t>[Filed ARC 1925C</w:t>
      </w:r>
      <w:r>
        <w:rPr>
          <w:rFonts w:ascii="Times New Roman" w:hAnsi="Times New Roman"/>
          <w:b w:val="false"/>
          <w:i w:val="false"/>
          <w:color w:val="000000"/>
          <w:sz w:val="21"/>
        </w:rPr>
        <w:t xml:space="preserve"> (Notice ARC 1839C, IAB 1/21/15)</w:t>
      </w:r>
      <w:r>
        <w:rPr>
          <w:rFonts w:ascii="Times New Roman" w:hAnsi="Times New Roman"/>
          <w:b w:val="false"/>
          <w:i w:val="false"/>
          <w:color w:val="000000"/>
          <w:sz w:val="21"/>
        </w:rPr>
        <w:t>, IAB 4/1/15, effective 7/1/15]</w:t>
      </w:r>
    </w:p>
    <w:p>
      <w:pPr>
        <w:spacing w:before="0" w:after="0"/>
        <w:ind w:left="120"/>
        <w:jc w:val="center"/>
      </w:pPr>
      <w:r>
        <w:rPr>
          <w:rFonts w:ascii="Times New Roman" w:hAnsi="Times New Roman"/>
          <w:b w:val="false"/>
          <w:i w:val="false"/>
          <w:color w:val="000000"/>
          <w:sz w:val="21"/>
        </w:rPr>
        <w:t>[Filed ARC 3747C</w:t>
      </w:r>
      <w:r>
        <w:rPr>
          <w:rFonts w:ascii="Times New Roman" w:hAnsi="Times New Roman"/>
          <w:b w:val="false"/>
          <w:i w:val="false"/>
          <w:color w:val="000000"/>
          <w:sz w:val="21"/>
        </w:rPr>
        <w:t xml:space="preserve"> (Notice ARC 3577C, IAB 1/17/18)</w:t>
      </w:r>
      <w:r>
        <w:rPr>
          <w:rFonts w:ascii="Times New Roman" w:hAnsi="Times New Roman"/>
          <w:b w:val="false"/>
          <w:i w:val="false"/>
          <w:color w:val="000000"/>
          <w:sz w:val="21"/>
        </w:rPr>
        <w:t>, IAB 4/11/18, effective 5/16/18]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4488C</w:t>
      </w:r>
      <w:r>
        <w:rPr>
          <w:rFonts w:ascii="Times New Roman" w:hAnsi="Times New Roman"/>
          <w:b w:val="false"/>
          <w:i w:val="false"/>
          <w:color w:val="000000"/>
          <w:sz w:val="21"/>
        </w:rPr>
        <w:t xml:space="preserve"> (Notice ARC 4362C, IAB 3/27/19)</w:t>
      </w:r>
      <w:r>
        <w:rPr>
          <w:rFonts w:ascii="Times New Roman" w:hAnsi="Times New Roman"/>
          <w:b w:val="false"/>
          <w:i w:val="false"/>
          <w:color w:val="000000"/>
          <w:sz w:val="21"/>
        </w:rPr>
        <w:t>, IAB 6/5/19, effective 7/10/19]</w:t>
      </w:r>
    </w:p>
    <w:p>
      <w:pPr>
        <w:spacing w:before="0" w:after="0"/>
        <w:ind w:left="120"/>
        <w:jc w:val="center"/>
      </w:pPr>
      <w:r>
        <w:rPr>
          <w:rFonts w:ascii="Times New Roman" w:hAnsi="Times New Roman"/>
          <w:b w:val="false"/>
          <w:i w:val="false"/>
          <w:color w:val="000000"/>
          <w:sz w:val="21"/>
        </w:rPr>
        <w:t>[Filed ARC 6270C</w:t>
      </w:r>
      <w:r>
        <w:rPr>
          <w:rFonts w:ascii="Times New Roman" w:hAnsi="Times New Roman"/>
          <w:b w:val="false"/>
          <w:i w:val="false"/>
          <w:color w:val="000000"/>
          <w:sz w:val="21"/>
        </w:rPr>
        <w:t xml:space="preserve"> (Notice ARC 6158C, IAB 1/26/22)</w:t>
      </w:r>
      <w:r>
        <w:rPr>
          <w:rFonts w:ascii="Times New Roman" w:hAnsi="Times New Roman"/>
          <w:b w:val="false"/>
          <w:i w:val="false"/>
          <w:color w:val="000000"/>
          <w:sz w:val="21"/>
        </w:rPr>
        <w:t>, IAB 4/6/22, effective 7/1/22]</w:t>
      </w:r>
    </w:p>
    <w:p>
      <w:pPr>
        <w:pBdr>
          <w:bottom w:space="2"/>
        </w:pBdr>
        <w:spacing w:before="0" w:after="0"/>
        <w:ind w:left="120"/>
        <w:jc w:val="both"/>
      </w:pPr>
      <w:r>
        <w:rPr>
          <w:rFonts w:ascii="Times New Roman" w:hAnsi="Times New Roman"/>
          <w:b w:val="false"/>
          <w:i w:val="false"/>
          <w:color w:val="000000"/>
          <w:sz w:val="22"/>
        </w:rPr>
        <w:t>May 16, 2018, effective date of ARC 3747C [80.2, 80.3, 80.4(4)</w:t>
      </w:r>
      <w:r>
        <w:rPr>
          <w:rFonts w:ascii="Times New Roman" w:hAnsi="Times New Roman"/>
          <w:b w:val="false"/>
          <w:i/>
          <w:color w:val="000000"/>
          <w:sz w:val="22"/>
        </w:rPr>
        <w:t>“f”</w:t>
      </w:r>
      <w:r>
        <w:rPr>
          <w:rFonts w:ascii="Times New Roman" w:hAnsi="Times New Roman"/>
          <w:b w:val="false"/>
          <w:i w:val="false"/>
          <w:color w:val="000000"/>
          <w:sz w:val="22"/>
        </w:rPr>
        <w:t>(6), 80.5(2)</w:t>
      </w:r>
      <w:r>
        <w:rPr>
          <w:rFonts w:ascii="Times New Roman" w:hAnsi="Times New Roman"/>
          <w:b w:val="false"/>
          <w:i/>
          <w:color w:val="000000"/>
          <w:sz w:val="22"/>
        </w:rPr>
        <w:t>“a”</w:t>
      </w:r>
      <w:r>
        <w:rPr>
          <w:rFonts w:ascii="Times New Roman" w:hAnsi="Times New Roman"/>
          <w:b w:val="false"/>
          <w:i w:val="false"/>
          <w:color w:val="000000"/>
          <w:sz w:val="22"/>
        </w:rPr>
        <w:t>(4), 80.6] delayed until the adjournment of the 2019 General Assembly by the Administrative Rules Review Committee at its meeting held May 8, 2018.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11.pdf" Type="http://schemas.openxmlformats.org/officeDocument/2006/relationships/hyperlink" Id="rId5"/>
    <Relationship TargetMode="External" Target="https://www.legis.iowa.gov/docs/ico/chapter/137.pdf" Type="http://schemas.openxmlformats.org/officeDocument/2006/relationships/hyperlink" Id="rId6"/>
    <Relationship TargetMode="External" Target="https://www.legis.iowa.gov/docs/ico/chapter/135.11.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