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77</w:t>
      </w:r>
    </w:p>
    <w:p>
      <w:pPr>
        <w:spacing w:before="0" w:after="0"/>
        <w:ind w:left="120"/>
        <w:jc w:val="center"/>
      </w:pPr>
      <w:r>
        <w:rPr>
          <w:rFonts w:ascii="Times New Roman" w:hAnsi="Times New Roman"/>
          <w:b w:val="false"/>
          <w:i w:val="false"/>
          <w:color w:val="000000"/>
          <w:sz w:val="21"/>
        </w:rPr>
        <w:t>LOCAL BOARDS OF HEALTH</w:t>
      </w:r>
    </w:p>
    <w:p>
      <w:pPr>
        <w:spacing w:before="0" w:after="0"/>
        <w:ind w:left="120"/>
        <w:jc w:val="center"/>
      </w:pPr>
      <w:r>
        <w:rPr>
          <w:rFonts w:ascii="Times New Roman" w:hAnsi="Times New Roman"/>
          <w:b w:val="false"/>
          <w:i w:val="false"/>
          <w:color w:val="000000"/>
          <w:sz w:val="14"/>
        </w:rPr>
        <w:t>[Prior to 7/29/87, Health Department[470] Ch 77]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641—77.1</w:t>
      </w:r>
      <w:r>
        <w:rPr>
          <w:rFonts w:ascii="Times New Roman" w:hAnsi="Times New Roman"/>
          <w:b/>
          <w:i w:val="false"/>
          <w:color w:val="000000"/>
          <w:sz w:val="22"/>
        </w:rPr>
        <w:t xml:space="preserve">(137)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local board of health shall have jurisdiction over public health matters within its designated geographic area in accordance with Iowa Code chapter </w:t>
      </w:r>
      <w:hyperlink r:id="rId5">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The local board of health shall promote and protect the health of the residents and shall carry out the powers of local boards as specified in Iowa Code sections </w:t>
      </w:r>
      <w:hyperlink r:id="rId6">
        <w:r>
          <w:rPr>
            <w:rStyle w:val="Hyperlink"/>
            <w:rFonts w:ascii="Times New Roman" w:hAnsi="Times New Roman"/>
            <w:b w:val="false"/>
            <w:i w:val="false"/>
            <w:color w:val="000000"/>
            <w:sz w:val="22"/>
          </w:rPr>
          <w:t>137.103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137.104</w:t>
        </w:r>
      </w:hyperlink>
      <w:r>
        <w:rPr>
          <w:rFonts w:ascii="Times New Roman" w:hAnsi="Times New Roman"/>
          <w:b w:val="false"/>
          <w:i w:val="false"/>
          <w:color w:val="000000"/>
          <w:sz w:val="22"/>
        </w:rPr>
        <w:t xml:space="preserve"> and all applicable Iowa Code chapters.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641—77.2</w:t>
      </w:r>
      <w:r>
        <w:rPr>
          <w:rFonts w:ascii="Times New Roman" w:hAnsi="Times New Roman"/>
          <w:b/>
          <w:i w:val="false"/>
          <w:color w:val="000000"/>
          <w:sz w:val="22"/>
        </w:rPr>
        <w:t xml:space="preserve">(137)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public health functions” </w:t>
      </w:r>
      <w:r>
        <w:rPr>
          <w:rFonts w:ascii="Times New Roman" w:hAnsi="Times New Roman"/>
          <w:b w:val="false"/>
          <w:i w:val="false"/>
          <w:color w:val="000000"/>
          <w:sz w:val="22"/>
        </w:rPr>
        <w:t>means the functions of assessment, policy development, and assurance.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Regular collection, analysis, interpretation, and communication of information about health conditions, risks, and assets in a community.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Policy development: Development, implementation, and evaluation of plans and policies, for public health in general and priority health needs in particular, in a manner that incorporates scientific information and community values and in accordance with state public health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Assurance: Ensuring by encouragement, regulation, or direct action that programs and interventions that maintain and improve health are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health department” </w:t>
      </w:r>
      <w:r>
        <w:rPr>
          <w:rFonts w:ascii="Times New Roman" w:hAnsi="Times New Roman"/>
          <w:b w:val="false"/>
          <w:i w:val="false"/>
          <w:color w:val="000000"/>
          <w:sz w:val="22"/>
        </w:rPr>
        <w:t>refers to the personnel and property under the jurisdiction of a county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means any two or more geographically contiguous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board” </w:t>
      </w:r>
      <w:r>
        <w:rPr>
          <w:rFonts w:ascii="Times New Roman" w:hAnsi="Times New Roman"/>
          <w:b w:val="false"/>
          <w:i w:val="false"/>
          <w:color w:val="000000"/>
          <w:sz w:val="22"/>
        </w:rPr>
        <w:t xml:space="preserve">means a board of health representing at least two geographically contiguous counties formed with the approval of the department in accordance with Iowa Code chapter </w:t>
      </w:r>
      <w:hyperlink r:id="rId8">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or any district board of health in existence prior to July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health department” </w:t>
      </w:r>
      <w:r>
        <w:rPr>
          <w:rFonts w:ascii="Times New Roman" w:hAnsi="Times New Roman"/>
          <w:b w:val="false"/>
          <w:i w:val="false"/>
          <w:color w:val="000000"/>
          <w:sz w:val="22"/>
        </w:rPr>
        <w:t>refers to the personnel and property under the jurisdiction of a district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health services” </w:t>
      </w:r>
      <w:r>
        <w:rPr>
          <w:rFonts w:ascii="Times New Roman" w:hAnsi="Times New Roman"/>
          <w:b w:val="false"/>
          <w:i w:val="false"/>
          <w:color w:val="000000"/>
          <w:sz w:val="22"/>
        </w:rPr>
        <w:t>means services focused on the environment to support population-based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public health services” </w:t>
      </w:r>
      <w:r>
        <w:rPr>
          <w:rFonts w:ascii="Times New Roman" w:hAnsi="Times New Roman"/>
          <w:b w:val="false"/>
          <w:i w:val="false"/>
          <w:color w:val="000000"/>
          <w:sz w:val="22"/>
        </w:rPr>
        <w:t xml:space="preserve">means those activities carried out by public health that fulfill the core functions.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of health” </w:t>
      </w:r>
      <w:r>
        <w:rPr>
          <w:rFonts w:ascii="Times New Roman" w:hAnsi="Times New Roman"/>
          <w:b w:val="false"/>
          <w:i w:val="false"/>
          <w:color w:val="000000"/>
          <w:sz w:val="22"/>
        </w:rPr>
        <w:t>means a city, county, or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 health services” </w:t>
      </w:r>
      <w:r>
        <w:rPr>
          <w:rFonts w:ascii="Times New Roman" w:hAnsi="Times New Roman"/>
          <w:b w:val="false"/>
          <w:i w:val="false"/>
          <w:color w:val="000000"/>
          <w:sz w:val="22"/>
        </w:rPr>
        <w:t>means services focused on the care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“Population-based health services” </w:t>
      </w:r>
      <w:r>
        <w:rPr>
          <w:rFonts w:ascii="Times New Roman" w:hAnsi="Times New Roman"/>
          <w:b w:val="false"/>
          <w:i w:val="false"/>
          <w:color w:val="000000"/>
          <w:sz w:val="22"/>
        </w:rPr>
        <w:t>means services focused on the health status of population groups and their environments.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641—77.3</w:t>
      </w:r>
      <w:r>
        <w:rPr>
          <w:rFonts w:ascii="Times New Roman" w:hAnsi="Times New Roman"/>
          <w:b/>
          <w:i w:val="false"/>
          <w:color w:val="000000"/>
          <w:sz w:val="22"/>
        </w:rPr>
        <w:t xml:space="preserve">(137) </w:t>
      </w:r>
      <w:r>
        <w:rPr>
          <w:rFonts w:ascii="Times New Roman" w:hAnsi="Times New Roman"/>
          <w:b/>
          <w:i w:val="false"/>
          <w:color w:val="000000"/>
          <w:sz w:val="22"/>
        </w:rPr>
        <w:t xml:space="preserve">Local boards of health—roles and responsibilities. </w:t>
      </w:r>
      <w:r>
        <w:rPr>
          <w:rFonts w:ascii="Times New Roman" w:hAnsi="Times New Roman"/>
          <w:b w:val="false"/>
          <w:i w:val="false"/>
          <w:color w:val="000000"/>
          <w:sz w:val="22"/>
        </w:rPr>
        <w:t>Public health is responsible for safeguarding the community’s health. This goal is pursued through three core functions: assessment, policy development and assurance.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77.3(1)</w:t>
      </w:r>
      <w:r>
        <w:rPr>
          <w:rFonts w:ascii="Times New Roman" w:hAnsi="Times New Roman"/>
          <w:b w:val="false"/>
          <w:i w:val="false"/>
          <w:color w:val="000000"/>
          <w:sz w:val="22"/>
        </w:rPr>
        <w:t> </w:t>
      </w:r>
      <w:r>
        <w:rPr>
          <w:rFonts w:ascii="Times New Roman" w:hAnsi="Times New Roman"/>
          <w:b w:val="false"/>
          <w:i w:val="false"/>
          <w:color w:val="000000"/>
          <w:sz w:val="22"/>
        </w:rPr>
        <w:t>Assessment: Regularly and systematically collect, assemble, analyze, and make available information on the health of the community, including statistics on health status, community health needs, personal health services, and epidemiologic and other studies of health problems. A local board of health may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health status to identify community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Diagnose and investigate health problems and health hazards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Evaluate effectiveness, accessibility, and quality of personal, population-based, and environmental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77.3(2)</w:t>
      </w:r>
      <w:r>
        <w:rPr>
          <w:rFonts w:ascii="Times New Roman" w:hAnsi="Times New Roman"/>
          <w:b w:val="false"/>
          <w:i w:val="false"/>
          <w:color w:val="000000"/>
          <w:sz w:val="22"/>
        </w:rPr>
        <w:t> </w:t>
      </w:r>
      <w:r>
        <w:rPr>
          <w:rFonts w:ascii="Times New Roman" w:hAnsi="Times New Roman"/>
          <w:b w:val="false"/>
          <w:i w:val="false"/>
          <w:color w:val="000000"/>
          <w:sz w:val="22"/>
        </w:rPr>
        <w:t>Policy development: Exercise responsibility to serve the public interest in the development of comprehensive public health policies. This core function can be accomplished by promoting use of a scientific knowledge base in decision making about public health and by taking the lead in public health policy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local board of health may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policies and plans that support individual and community health efforts;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 new insights and innovative solutions to health problems and health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board of health shall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Enforce laws and regulations that protect public health and enforce lawful orders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and enforce reasonable rules and regulations not inconsistent with the law or the rules of the state board as may be necessary for the protection and improvement of the public health;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 persons as necessary for the efficient discharge of the board’s duties. Employment practices shall meet the requirements of Iowa Code chapter </w:t>
      </w:r>
      <w:hyperlink r:id="rId9">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subchapter IV, or any civil service provision adopted under Iowa Code chapter </w:t>
      </w:r>
      <w:hyperlink r:id="rId10">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w:t>
      </w:r>
      <w:r>
        <w:rPr>
          <w:rFonts w:ascii="Times New Roman" w:hAnsi="Times New Roman"/>
          <w:b w:val="false"/>
          <w:i w:val="false"/>
          <w:color w:val="000000"/>
          <w:sz w:val="22"/>
        </w:rPr>
        <w:t> </w:t>
      </w:r>
      <w:r>
        <w:rPr>
          <w:rFonts w:ascii="Times New Roman" w:hAnsi="Times New Roman"/>
          <w:b w:val="false"/>
          <w:i w:val="false"/>
          <w:color w:val="000000"/>
          <w:sz w:val="22"/>
        </w:rPr>
        <w:t>Assurance: Assure constituents that services necessary to achieve agreed-upon goals are provided either by encouraging action by other entities (private or public sector), by requiring such action through regulation, or by providing services directly. Each local board of health must involve key policymakers and the general public in determining a set of high-priority personal and population-based health services. A local board of health may perform the following essential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Link people to needed personal health services; provide such personal, population-based and environmental health services as deemed necessary for the promotion and protection of the health of the public; and charge reasonable fees for personal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competence of the public health, environmental health, and personal health care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 educate, and empower people about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Mobilize community partnerships to identify and solve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licenses and permits and charge reasonable fees in relation to the construction or operation of nonpublic water supplies or private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Engage in joint operations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Contracting with colleges and universities, the department, other public, private, and nonprofit agencies, and individuals;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Forming a district health department to provide personal and population-based health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Enforce, by written agreement with the council of any city within its jurisdiction, appropriate ordinances of the city relating to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641—77.4</w:t>
      </w:r>
      <w:r>
        <w:rPr>
          <w:rFonts w:ascii="Times New Roman" w:hAnsi="Times New Roman"/>
          <w:b/>
          <w:i w:val="false"/>
          <w:color w:val="000000"/>
          <w:sz w:val="22"/>
        </w:rPr>
        <w:t xml:space="preserve">(137) </w:t>
      </w:r>
      <w:r>
        <w:rPr>
          <w:rFonts w:ascii="Times New Roman" w:hAnsi="Times New Roman"/>
          <w:b/>
          <w:i w:val="false"/>
          <w:color w:val="000000"/>
          <w:sz w:val="22"/>
        </w:rPr>
        <w:t xml:space="preserve">Organization of local boards of 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Members of a local board of health should have experience or education related to the core public health functions, essential public health services, public health, environmental health services, personal health services, population-based services, or community-based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77.4(2)</w:t>
      </w:r>
      <w:r>
        <w:rPr>
          <w:rFonts w:ascii="Times New Roman" w:hAnsi="Times New Roman"/>
          <w:b w:val="false"/>
          <w:i w:val="false"/>
          <w:color w:val="000000"/>
          <w:sz w:val="22"/>
        </w:rPr>
        <w:t> </w:t>
      </w:r>
      <w:r>
        <w:rPr>
          <w:rFonts w:ascii="Times New Roman" w:hAnsi="Times New Roman"/>
          <w:b w:val="false"/>
          <w:i/>
          <w:color w:val="000000"/>
          <w:sz w:val="22"/>
        </w:rPr>
        <w:t xml:space="preserve">Officers of local boards of health. </w:t>
      </w:r>
      <w:r>
        <w:rPr>
          <w:rFonts w:ascii="Times New Roman" w:hAnsi="Times New Roman"/>
          <w:b w:val="false"/>
          <w:i w:val="false"/>
          <w:color w:val="000000"/>
          <w:sz w:val="22"/>
        </w:rPr>
        <w:t>Each local board of health shall, at its first meeting during any calendar year, elect one of its members to serve as chairperson until the first meeting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board of health may elect a vice-chairperson, secretary, or other such officers as it may deem advisable.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 of a vacancy of the office of chairperson, a successor, who shall serve the remainder of the term, shall be elected at the next meeting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77.4(3)</w:t>
      </w:r>
      <w:r>
        <w:rPr>
          <w:rFonts w:ascii="Times New Roman" w:hAnsi="Times New Roman"/>
          <w:b w:val="false"/>
          <w:i w:val="false"/>
          <w:color w:val="000000"/>
          <w:sz w:val="22"/>
        </w:rPr>
        <w:t> </w:t>
      </w:r>
      <w:r>
        <w:rPr>
          <w:rFonts w:ascii="Times New Roman" w:hAnsi="Times New Roman"/>
          <w:b w:val="false"/>
          <w:i/>
          <w:color w:val="000000"/>
          <w:sz w:val="22"/>
        </w:rPr>
        <w:t xml:space="preserve">Meetings of local boards of health. </w:t>
      </w:r>
      <w:r>
        <w:rPr>
          <w:rFonts w:ascii="Times New Roman" w:hAnsi="Times New Roman"/>
          <w:b w:val="false"/>
          <w:i w:val="false"/>
          <w:color w:val="000000"/>
          <w:sz w:val="22"/>
        </w:rPr>
        <w:t xml:space="preserve">The place, date and time of regular meetings of the local board of health shall be determined by vote of the board, and such meetings shall comply with the provisions of the open meetings law which is found in Iowa Code chapter </w:t>
      </w:r>
      <w:hyperlink r:id="rId1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local board of health shall meet at least six times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meetings of a local board of health may be called, as needed, by the chairperson or by any three board members. The local board of health shall provide at least 24 hours’ notice of special meetings, except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a local board of health shall be considered a quorum, and an affirmative vote of the majority of the members present is necessary for action taken by a local board of health. The majority shall not include any member who has a conflict of interest, and a statement by the member that a conflict of interest exists shall be conclusive for this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641—77.5</w:t>
      </w:r>
      <w:r>
        <w:rPr>
          <w:rFonts w:ascii="Times New Roman" w:hAnsi="Times New Roman"/>
          <w:b/>
          <w:i w:val="false"/>
          <w:color w:val="000000"/>
          <w:sz w:val="22"/>
        </w:rPr>
        <w:t xml:space="preserve">(137) </w:t>
      </w:r>
      <w:r>
        <w:rPr>
          <w:rFonts w:ascii="Times New Roman" w:hAnsi="Times New Roman"/>
          <w:b/>
          <w:i w:val="false"/>
          <w:color w:val="000000"/>
          <w:sz w:val="22"/>
        </w:rPr>
        <w:t xml:space="preserve">Operation of local boards of health. </w:t>
      </w:r>
      <w:r>
        <w:rPr>
          <w:rFonts w:ascii="Times New Roman" w:hAnsi="Times New Roman"/>
          <w:b w:val="false"/>
          <w:i w:val="false"/>
          <w:color w:val="000000"/>
          <w:sz w:val="22"/>
        </w:rPr>
        <w:t>Local boards of health shall submit to the department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77.5(1)</w:t>
      </w:r>
      <w:r>
        <w:rPr>
          <w:rFonts w:ascii="Times New Roman" w:hAnsi="Times New Roman"/>
          <w:b w:val="false"/>
          <w:i w:val="false"/>
          <w:color w:val="000000"/>
          <w:sz w:val="22"/>
        </w:rPr>
        <w:t> </w:t>
      </w:r>
      <w:r>
        <w:rPr>
          <w:rFonts w:ascii="Times New Roman" w:hAnsi="Times New Roman"/>
          <w:b w:val="false"/>
          <w:i w:val="false"/>
          <w:color w:val="000000"/>
          <w:sz w:val="22"/>
        </w:rPr>
        <w:t>Names, addresses, E-mail addresses and telephone numbers of members of the local board of health, within one month after their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77.5(2)</w:t>
      </w:r>
      <w:r>
        <w:rPr>
          <w:rFonts w:ascii="Times New Roman" w:hAnsi="Times New Roman"/>
          <w:b w:val="false"/>
          <w:i w:val="false"/>
          <w:color w:val="000000"/>
          <w:sz w:val="22"/>
        </w:rPr>
        <w:t> </w:t>
      </w:r>
      <w:r>
        <w:rPr>
          <w:rFonts w:ascii="Times New Roman" w:hAnsi="Times New Roman"/>
          <w:b w:val="false"/>
          <w:i w:val="false"/>
          <w:color w:val="000000"/>
          <w:sz w:val="22"/>
        </w:rPr>
        <w:t>Names of the chairperson and any other officers elected by the local board of health, within one month after their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77.5(3)</w:t>
      </w:r>
      <w:r>
        <w:rPr>
          <w:rFonts w:ascii="Times New Roman" w:hAnsi="Times New Roman"/>
          <w:b w:val="false"/>
          <w:i w:val="false"/>
          <w:color w:val="000000"/>
          <w:sz w:val="22"/>
        </w:rPr>
        <w:t> </w:t>
      </w:r>
      <w:r>
        <w:rPr>
          <w:rFonts w:ascii="Times New Roman" w:hAnsi="Times New Roman"/>
          <w:b w:val="false"/>
          <w:i w:val="false"/>
          <w:color w:val="000000"/>
          <w:sz w:val="22"/>
        </w:rPr>
        <w:t>A copy of the minutes of each regular and special meeting of the local board of health, within two weeks of their being approved. The minutes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members present;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report of any official board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641—77.6</w:t>
      </w:r>
      <w:r>
        <w:rPr>
          <w:rFonts w:ascii="Times New Roman" w:hAnsi="Times New Roman"/>
          <w:b/>
          <w:i w:val="false"/>
          <w:color w:val="000000"/>
          <w:sz w:val="22"/>
        </w:rPr>
        <w:t xml:space="preserve">(137) </w:t>
      </w:r>
      <w:r>
        <w:rPr>
          <w:rFonts w:ascii="Times New Roman" w:hAnsi="Times New Roman"/>
          <w:b/>
          <w:i w:val="false"/>
          <w:color w:val="000000"/>
          <w:sz w:val="22"/>
        </w:rPr>
        <w:t xml:space="preserve">Expenses of local board of health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77.6(1)</w:t>
      </w:r>
      <w:r>
        <w:rPr>
          <w:rFonts w:ascii="Times New Roman" w:hAnsi="Times New Roman"/>
          <w:b w:val="false"/>
          <w:i w:val="false"/>
          <w:color w:val="000000"/>
          <w:sz w:val="22"/>
        </w:rPr>
        <w:t> </w:t>
      </w:r>
      <w:r>
        <w:rPr>
          <w:rFonts w:ascii="Times New Roman" w:hAnsi="Times New Roman"/>
          <w:b w:val="false"/>
          <w:i w:val="false"/>
          <w:color w:val="000000"/>
          <w:sz w:val="22"/>
        </w:rPr>
        <w:t>The following may be considered necessary expenses of local board of health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Travel in private car on local board of health business at the same rate as provided for a public officer or employee in Iowa Code section </w:t>
      </w:r>
      <w:hyperlink r:id="rId12">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Lodging and meal expenses including sales tax on lodging and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 of public transportation when traveling on local board of health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Miscellaneous expenses related to performance of duties as approved by the local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77.6(2)</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as requiring the payment of reimbursement to any person or as prohibiting local boards of health from imposing additional restrictions or administrative requirements on expenses of their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641—77.7</w:t>
      </w:r>
      <w:r>
        <w:rPr>
          <w:rFonts w:ascii="Times New Roman" w:hAnsi="Times New Roman"/>
          <w:b/>
          <w:i w:val="false"/>
          <w:color w:val="000000"/>
          <w:sz w:val="22"/>
        </w:rPr>
        <w:t xml:space="preserve">(137) </w:t>
      </w:r>
      <w:r>
        <w:rPr>
          <w:rFonts w:ascii="Times New Roman" w:hAnsi="Times New Roman"/>
          <w:b/>
          <w:i w:val="false"/>
          <w:color w:val="000000"/>
          <w:sz w:val="22"/>
        </w:rPr>
        <w:t xml:space="preserve">Dissolution of city boards. </w:t>
      </w:r>
      <w:r>
        <w:rPr>
          <w:rFonts w:ascii="Times New Roman" w:hAnsi="Times New Roman"/>
          <w:b w:val="false"/>
          <w:i w:val="false"/>
          <w:color w:val="000000"/>
          <w:sz w:val="22"/>
        </w:rPr>
        <w:t>A city board of health may voluntarily dissolve by submitting notice to the department. The notice shall set an effective date for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641—77.8</w:t>
      </w:r>
      <w:r>
        <w:rPr>
          <w:rFonts w:ascii="Times New Roman" w:hAnsi="Times New Roman"/>
          <w:b/>
          <w:i w:val="false"/>
          <w:color w:val="000000"/>
          <w:sz w:val="22"/>
        </w:rPr>
        <w:t xml:space="preserve">(137) </w:t>
      </w:r>
      <w:r>
        <w:rPr>
          <w:rFonts w:ascii="Times New Roman" w:hAnsi="Times New Roman"/>
          <w:b/>
          <w:i w:val="false"/>
          <w:color w:val="000000"/>
          <w:sz w:val="22"/>
        </w:rPr>
        <w:t xml:space="preserve">Request to form district board of health. </w:t>
      </w:r>
      <w:r>
        <w:rPr>
          <w:rFonts w:ascii="Times New Roman" w:hAnsi="Times New Roman"/>
          <w:b w:val="false"/>
          <w:i w:val="false"/>
          <w:color w:val="000000"/>
          <w:sz w:val="22"/>
        </w:rPr>
        <w:t>The county boards of health of any two or more geographically contiguous counties may at any time submit to the department a written request to form a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77.8(1)</w:t>
      </w:r>
      <w:r>
        <w:rPr>
          <w:rFonts w:ascii="Times New Roman" w:hAnsi="Times New Roman"/>
          <w:b w:val="false"/>
          <w:i w:val="false"/>
          <w:color w:val="000000"/>
          <w:sz w:val="22"/>
        </w:rPr>
        <w:t> </w:t>
      </w:r>
      <w:r>
        <w:rPr>
          <w:rFonts w:ascii="Times New Roman" w:hAnsi="Times New Roman"/>
          <w:b w:val="false"/>
          <w:i w:val="false"/>
          <w:color w:val="000000"/>
          <w:sz w:val="22"/>
        </w:rPr>
        <w:t>A request to form a district board of health shall be executed by the county board of supervisors and the county board of health for each county comprising the proposed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77.8(2)</w:t>
      </w:r>
      <w:r>
        <w:rPr>
          <w:rFonts w:ascii="Times New Roman" w:hAnsi="Times New Roman"/>
          <w:b w:val="false"/>
          <w:i w:val="false"/>
          <w:color w:val="000000"/>
          <w:sz w:val="22"/>
        </w:rPr>
        <w:t> </w:t>
      </w:r>
      <w:r>
        <w:rPr>
          <w:rFonts w:ascii="Times New Roman" w:hAnsi="Times New Roman"/>
          <w:b w:val="false"/>
          <w:i w:val="false"/>
          <w:color w:val="000000"/>
          <w:sz w:val="22"/>
        </w:rPr>
        <w:t>A request to form a district board of health shall be submitted to the department and shall be completed on the department’s application form. The application form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narrative that explains how the formation of a district board of health will attain the capability to provide population-based and personal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composition of the district board of health, including the number of members each county shall appoint pursuant to Iowa Code section </w:t>
      </w:r>
      <w:hyperlink r:id="rId13">
        <w:r>
          <w:rPr>
            <w:rStyle w:val="Hyperlink"/>
            <w:rFonts w:ascii="Times New Roman" w:hAnsi="Times New Roman"/>
            <w:b w:val="false"/>
            <w:i w:val="false"/>
            <w:color w:val="000000"/>
            <w:sz w:val="22"/>
          </w:rPr>
          <w:t/>
        </w:r>
      </w:hyperlink>
      <w:hyperlink r:id="rId14">
        <w:r>
          <w:rPr>
            <w:rStyle w:val="Hyperlink"/>
            <w:rFonts w:ascii="Times New Roman" w:hAnsi="Times New Roman"/>
            <w:b w:val="false"/>
            <w:i w:val="false"/>
            <w:color w:val="000000"/>
            <w:sz w:val="22"/>
          </w:rPr>
          <w:t>137.105</w:t>
        </w:r>
      </w:hyperlink>
      <w:r>
        <w:rPr>
          <w:rFonts w:ascii="Times New Roman" w:hAnsi="Times New Roman"/>
          <w:b w:val="false"/>
          <w:i w:val="false"/>
          <w:color w:val="000000"/>
          <w:sz w:val="22"/>
        </w:rPr>
        <w:t xml:space="preserve"> and the total number of members on the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approval by all county boards of supervisors and county boards of health involved in the request to form a district and of the elements included in the formation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delivery plan. The service delivery plan shall detail how population-based and environmental health services will be delivered throughout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budget and fiscal plan for the proposed district health department. The budget plan shall include an estimate of the proposed expenditures and revenues and an allocation of the revenue responsibilities of each of the counties participating in the proposed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table of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personnel system description, including identification of the district health department treasurer and district health department auditor and a section which addresses the employment issues contained in Iowa Code section </w:t>
      </w:r>
      <w:hyperlink r:id="rId15">
        <w:r>
          <w:rPr>
            <w:rStyle w:val="Hyperlink"/>
            <w:rFonts w:ascii="Times New Roman" w:hAnsi="Times New Roman"/>
            <w:b w:val="false"/>
            <w:i w:val="false"/>
            <w:color w:val="000000"/>
            <w:sz w:val="22"/>
          </w:rPr>
          <w:t>137.110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location of the district health department offices and workforce throughout the jurisdiction. The request shall include a map showing district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inventory of the property and equipment in the custody of each county health department and a description as to whether such property and equipment shall remain in the custody of the county health department or shall be transferred to the district health department to become property of the district health department. Property and equipment include any item which costs more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information technology (IT)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proposed date upon which the district board of health shall be formed and established and a timeline for the adoption of district board of health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641—77.9</w:t>
      </w:r>
      <w:r>
        <w:rPr>
          <w:rFonts w:ascii="Times New Roman" w:hAnsi="Times New Roman"/>
          <w:b/>
          <w:i w:val="false"/>
          <w:color w:val="000000"/>
          <w:sz w:val="22"/>
        </w:rPr>
        <w:t xml:space="preserve">(137) </w:t>
      </w:r>
      <w:r>
        <w:rPr>
          <w:rFonts w:ascii="Times New Roman" w:hAnsi="Times New Roman"/>
          <w:b/>
          <w:i w:val="false"/>
          <w:color w:val="000000"/>
          <w:sz w:val="22"/>
        </w:rPr>
        <w:t xml:space="preserve">Review, approval or denial of district board of health 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application form and all information contained in rule </w:t>
      </w:r>
      <w:hyperlink r:id="rId16">
        <w:r>
          <w:rPr>
            <w:rStyle w:val="Hyperlink"/>
            <w:rFonts w:ascii="Times New Roman" w:hAnsi="Times New Roman"/>
            <w:b w:val="false"/>
            <w:i w:val="false"/>
            <w:color w:val="000000"/>
            <w:sz w:val="22"/>
          </w:rPr>
          <w:t>641—77.8</w:t>
        </w:r>
      </w:hyperlink>
      <w:r>
        <w:rPr>
          <w:rFonts w:ascii="Times New Roman" w:hAnsi="Times New Roman"/>
          <w:b w:val="false"/>
          <w:i w:val="false"/>
          <w:color w:val="000000"/>
          <w:sz w:val="22"/>
        </w:rPr>
        <w:t>(137), the department shall review such information and shall determine, within 30 days, whether the required elements have been presented by the proposed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77.9(2)</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present its findings to the state board of health at the board’s next regularly scheduled meeting, at which time the state board of health may approve formation of the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state board of health shall immediately provide notice of approval of district board of health formation, including effective dates, to the county board of health of each county in the district and to the board of supervisors of each county 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notice of approval of district board of health formation, each appointing authority shall, prior to the effective date of district board of health formation, appoint district board of health members as specified in Iowa Code section </w:t>
      </w:r>
      <w:hyperlink r:id="rId17">
        <w:r>
          <w:rPr>
            <w:rStyle w:val="Hyperlink"/>
            <w:rFonts w:ascii="Times New Roman" w:hAnsi="Times New Roman"/>
            <w:b w:val="false"/>
            <w:i w:val="false"/>
            <w:color w:val="000000"/>
            <w:sz w:val="22"/>
          </w:rPr>
          <w:t>137.105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of health has the authority to deny formation of a district board of health if the application fails to conform with Iowa Code chapter </w:t>
      </w:r>
      <w:hyperlink r:id="rId18">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2159</w:t>
      </w:r>
      <w:r>
        <w:rPr>
          <w:rFonts w:ascii="Times New Roman" w:hAnsi="Times New Roman"/>
          <w:b w:val="false"/>
          <w:i w:val="false"/>
          <w:color w:val="000000"/>
          <w:sz w:val="22"/>
        </w:rPr>
        <w:t>,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in writing, all local boards of health in the proposed district of the reason and rationale for the denial of the district board of health formation within 30 days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77.9(7)</w:t>
      </w:r>
      <w:r>
        <w:rPr>
          <w:rFonts w:ascii="Times New Roman" w:hAnsi="Times New Roman"/>
          <w:b w:val="false"/>
          <w:i w:val="false"/>
          <w:color w:val="000000"/>
          <w:sz w:val="22"/>
        </w:rPr>
        <w:t> </w:t>
      </w:r>
      <w:r>
        <w:rPr>
          <w:rFonts w:ascii="Times New Roman" w:hAnsi="Times New Roman"/>
          <w:b w:val="false"/>
          <w:i w:val="false"/>
          <w:color w:val="000000"/>
          <w:sz w:val="22"/>
        </w:rPr>
        <w:t>The local boards of health in the proposed district shall have the right to request reconsideration of the decision by submitting the request to the department within 30 days of receiving notice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of health shall reconsider the request by the local boards of health at its next regularly scheduled meeting. The reconsideration shall not constitute a contested case hearing. The state board of health’s final decision following reconsideration shall constitute final agency action pursuant to Iowa Code section </w:t>
      </w:r>
      <w:hyperlink r:id="rId1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and judicial review of any such decision shall be treated as other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641—77.10</w:t>
      </w:r>
      <w:r>
        <w:rPr>
          <w:rFonts w:ascii="Times New Roman" w:hAnsi="Times New Roman"/>
          <w:b/>
          <w:i w:val="false"/>
          <w:color w:val="000000"/>
          <w:sz w:val="22"/>
        </w:rPr>
        <w:t xml:space="preserve">(137) </w:t>
      </w:r>
      <w:r>
        <w:rPr>
          <w:rFonts w:ascii="Times New Roman" w:hAnsi="Times New Roman"/>
          <w:b/>
          <w:i w:val="false"/>
          <w:color w:val="000000"/>
          <w:sz w:val="22"/>
        </w:rPr>
        <w:t xml:space="preserve">Adding to a district board of health. </w:t>
      </w:r>
      <w:r>
        <w:rPr>
          <w:rFonts w:ascii="Times New Roman" w:hAnsi="Times New Roman"/>
          <w:b w:val="false"/>
          <w:i w:val="false"/>
          <w:color w:val="000000"/>
          <w:sz w:val="22"/>
        </w:rPr>
        <w:t xml:space="preserve">A county may be added to an existing district board of health by submission and approval of a request, as specified in Iowa Code sections </w:t>
      </w:r>
      <w:hyperlink r:id="rId20">
        <w:r>
          <w:rPr>
            <w:rStyle w:val="Hyperlink"/>
            <w:rFonts w:ascii="Times New Roman" w:hAnsi="Times New Roman"/>
            <w:b w:val="false"/>
            <w:i w:val="false"/>
            <w:color w:val="000000"/>
            <w:sz w:val="22"/>
          </w:rPr>
          <w:t>137.106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641—77.11</w:t>
      </w:r>
      <w:r>
        <w:rPr>
          <w:rFonts w:ascii="Times New Roman" w:hAnsi="Times New Roman"/>
          <w:b/>
          <w:i w:val="false"/>
          <w:color w:val="000000"/>
          <w:sz w:val="22"/>
        </w:rPr>
        <w:t xml:space="preserve">(137) </w:t>
      </w:r>
      <w:r>
        <w:rPr>
          <w:rFonts w:ascii="Times New Roman" w:hAnsi="Times New Roman"/>
          <w:b/>
          <w:i w:val="false"/>
          <w:color w:val="000000"/>
          <w:sz w:val="22"/>
        </w:rPr>
        <w:t xml:space="preserve">Withdrawal from a district board of health. </w:t>
      </w:r>
      <w:r>
        <w:rPr>
          <w:rFonts w:ascii="Times New Roman" w:hAnsi="Times New Roman"/>
          <w:b w:val="false"/>
          <w:i w:val="false"/>
          <w:color w:val="000000"/>
          <w:sz w:val="22"/>
        </w:rPr>
        <w:t>A county may voluntarily withdraw from a district board of health by submitting a request for withdrawal to the department for approval. The request shall include a time line and plan to reestablish a county board of health or to join a different district board of health to provide the core public health functions and essential public health services to the county’s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77.11(1)</w:t>
      </w:r>
      <w:r>
        <w:rPr>
          <w:rFonts w:ascii="Times New Roman" w:hAnsi="Times New Roman"/>
          <w:b w:val="false"/>
          <w:i w:val="false"/>
          <w:color w:val="000000"/>
          <w:sz w:val="22"/>
        </w:rPr>
        <w:t> </w:t>
      </w:r>
      <w:r>
        <w:rPr>
          <w:rFonts w:ascii="Times New Roman" w:hAnsi="Times New Roman"/>
          <w:b w:val="false"/>
          <w:i w:val="false"/>
          <w:color w:val="000000"/>
          <w:sz w:val="22"/>
        </w:rPr>
        <w:t>If the request for withdrawal of the applicant county from the district board of health is approved by the state board of health, an effective date shall be set for the action, and notification shall be sent to the district board of health and the board of supervisors of the applicant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77.11(2)</w:t>
      </w:r>
      <w:r>
        <w:rPr>
          <w:rFonts w:ascii="Times New Roman" w:hAnsi="Times New Roman"/>
          <w:b w:val="false"/>
          <w:i w:val="false"/>
          <w:color w:val="000000"/>
          <w:sz w:val="22"/>
        </w:rPr>
        <w:t> </w:t>
      </w:r>
      <w:r>
        <w:rPr>
          <w:rFonts w:ascii="Times New Roman" w:hAnsi="Times New Roman"/>
          <w:b w:val="false"/>
          <w:i w:val="false"/>
          <w:color w:val="000000"/>
          <w:sz w:val="22"/>
        </w:rPr>
        <w:t>The ownership of property and equipment shall follow the guidelines submitted in the original request to form the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remaining counties in the district shall submit an application including the information specified in rule </w:t>
      </w:r>
      <w:hyperlink r:id="rId22">
        <w:r>
          <w:rPr>
            <w:rStyle w:val="Hyperlink"/>
            <w:rFonts w:ascii="Times New Roman" w:hAnsi="Times New Roman"/>
            <w:b w:val="false"/>
            <w:i w:val="false"/>
            <w:color w:val="000000"/>
            <w:sz w:val="22"/>
          </w:rPr>
          <w:t>641—77.8</w:t>
        </w:r>
      </w:hyperlink>
      <w:r>
        <w:rPr>
          <w:rFonts w:ascii="Times New Roman" w:hAnsi="Times New Roman"/>
          <w:b w:val="false"/>
          <w:i w:val="false"/>
          <w:color w:val="000000"/>
          <w:sz w:val="22"/>
        </w:rPr>
        <w:t xml:space="preserve">(137) to the department for review as provided in Iowa Code section </w:t>
      </w:r>
      <w:hyperlink r:id="rId23">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9773B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2840C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4">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10/10/67; amended 1/22/68]</w:t>
      </w:r>
    </w:p>
    <w:p>
      <w:pPr>
        <w:spacing w:before="0" w:after="0"/>
        <w:ind w:left="120"/>
        <w:jc w:val="center"/>
      </w:pPr>
      <w:r>
        <w:rPr>
          <w:rFonts w:ascii="Times New Roman" w:hAnsi="Times New Roman"/>
          <w:b w:val="false"/>
          <w:i w:val="false"/>
          <w:color w:val="000000"/>
          <w:sz w:val="21"/>
        </w:rPr>
        <w:t>[Filed 3/18/76, Notice 2/9/76—published 4/5/76, effective 5/10/76]</w:t>
      </w:r>
    </w:p>
    <w:p>
      <w:pPr>
        <w:spacing w:before="0" w:after="0"/>
        <w:ind w:left="120"/>
        <w:jc w:val="center"/>
      </w:pPr>
      <w:r>
        <w:rPr>
          <w:rFonts w:ascii="Times New Roman" w:hAnsi="Times New Roman"/>
          <w:b w:val="false"/>
          <w:i w:val="false"/>
          <w:color w:val="000000"/>
          <w:sz w:val="21"/>
        </w:rPr>
        <w:t>[Filed 11/29/79, Notice 10/17/79—published 12/26/79, effective 1/31/80]</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3/18/98, Notice 1/14/98—published 4/8/98, effective 5/13/98]</w:t>
      </w:r>
    </w:p>
    <w:p>
      <w:pPr>
        <w:spacing w:before="0" w:after="0"/>
        <w:ind w:left="120"/>
        <w:jc w:val="center"/>
      </w:pPr>
      <w:r>
        <w:rPr>
          <w:rFonts w:ascii="Times New Roman" w:hAnsi="Times New Roman"/>
          <w:b w:val="false"/>
          <w:i w:val="false"/>
          <w:color w:val="000000"/>
          <w:sz w:val="21"/>
        </w:rPr>
        <w:t>[Filed ARC 9773B</w:t>
      </w:r>
      <w:r>
        <w:rPr>
          <w:rFonts w:ascii="Times New Roman" w:hAnsi="Times New Roman"/>
          <w:b w:val="false"/>
          <w:i w:val="false"/>
          <w:color w:val="000000"/>
          <w:sz w:val="21"/>
        </w:rPr>
        <w:t xml:space="preserve"> (Notice ARC 9632B,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2840C</w:t>
      </w:r>
      <w:r>
        <w:rPr>
          <w:rFonts w:ascii="Times New Roman" w:hAnsi="Times New Roman"/>
          <w:b w:val="false"/>
          <w:i w:val="false"/>
          <w:color w:val="000000"/>
          <w:sz w:val="21"/>
        </w:rPr>
        <w:t xml:space="preserve"> (Notice ARC 2725C, IAB 9/28/16)</w:t>
      </w:r>
      <w:r>
        <w:rPr>
          <w:rFonts w:ascii="Times New Roman" w:hAnsi="Times New Roman"/>
          <w:b w:val="false"/>
          <w:i w:val="false"/>
          <w:color w:val="000000"/>
          <w:sz w:val="21"/>
        </w:rPr>
        <w:t>, IAB 12/7/16,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7.pdf" Type="http://schemas.openxmlformats.org/officeDocument/2006/relationships/hyperlink" Id="rId5"/>
    <Relationship TargetMode="External" Target="https://www.legis.iowa.gov/docs/ico/chapter/137.103.pdf" Type="http://schemas.openxmlformats.org/officeDocument/2006/relationships/hyperlink" Id="rId6"/>
    <Relationship TargetMode="External" Target="https://www.legis.iowa.gov/docs/ico/chapter/137.104.pdf" Type="http://schemas.openxmlformats.org/officeDocument/2006/relationships/hyperlink" Id="rId7"/>
    <Relationship TargetMode="External" Target="https://www.legis.iowa.gov/docs/ico/chapter/137.pdf" Type="http://schemas.openxmlformats.org/officeDocument/2006/relationships/hyperlink" Id="rId8"/>
    <Relationship TargetMode="External" Target="https://www.legis.iowa.gov/docs/ico/chapter/8A.pdf" Type="http://schemas.openxmlformats.org/officeDocument/2006/relationships/hyperlink" Id="rId9"/>
    <Relationship TargetMode="External" Target="https://www.legis.iowa.gov/docs/ico/chapter/400.pdf" Type="http://schemas.openxmlformats.org/officeDocument/2006/relationships/hyperlink" Id="rId10"/>
    <Relationship TargetMode="External" Target="https://www.legis.iowa.gov/docs/ico/chapter/21.pdf" Type="http://schemas.openxmlformats.org/officeDocument/2006/relationships/hyperlink" Id="rId11"/>
    <Relationship TargetMode="External" Target="https://www.legis.iowa.gov/docs/ico/chapter/70A.9.pdf" Type="http://schemas.openxmlformats.org/officeDocument/2006/relationships/hyperlink" Id="rId12"/>
    <Relationship TargetMode="External" Target="https://www.legis.iowa.gov/docs/ico/chapter/135.105.pdf" Type="http://schemas.openxmlformats.org/officeDocument/2006/relationships/hyperlink" Id="rId13"/>
    <Relationship TargetMode="External" Target="https://www.legis.iowa.gov/docs/ico/chapter/137.105.pdf" Type="http://schemas.openxmlformats.org/officeDocument/2006/relationships/hyperlink" Id="rId14"/>
    <Relationship TargetMode="External" Target="https://www.legis.iowa.gov/docs/ico/chapter/137.110.pdf" Type="http://schemas.openxmlformats.org/officeDocument/2006/relationships/hyperlink" Id="rId15"/>
    <Relationship TargetMode="External" Target="https://www.legis.iowa.gov/docs/iac/rule/641.77.8.pdf" Type="http://schemas.openxmlformats.org/officeDocument/2006/relationships/hyperlink" Id="rId16"/>
    <Relationship TargetMode="External" Target="https://www.legis.iowa.gov/docs/ico/chapter/137.105.pdf" Type="http://schemas.openxmlformats.org/officeDocument/2006/relationships/hyperlink" Id="rId17"/>
    <Relationship TargetMode="External" Target="https://www.legis.iowa.gov/docs/ico/chapter/137.pdf" Type="http://schemas.openxmlformats.org/officeDocument/2006/relationships/hyperlink" Id="rId18"/>
    <Relationship TargetMode="External" Target="https://www.legis.iowa.gov/docs/ico/chapter/17A.19.pdf" Type="http://schemas.openxmlformats.org/officeDocument/2006/relationships/hyperlink" Id="rId19"/>
    <Relationship TargetMode="External" Target="https://www.legis.iowa.gov/docs/ico/chapter/137.106.pdf" Type="http://schemas.openxmlformats.org/officeDocument/2006/relationships/hyperlink" Id="rId20"/>
    <Relationship TargetMode="External" Target="https://www.legis.iowa.gov/docs/ico/chapter/137.107.pdf" Type="http://schemas.openxmlformats.org/officeDocument/2006/relationships/hyperlink" Id="rId21"/>
    <Relationship TargetMode="External" Target="https://www.legis.iowa.gov/docs/iac/rule/641.77.8.pdf" Type="http://schemas.openxmlformats.org/officeDocument/2006/relationships/hyperlink" Id="rId22"/>
    <Relationship TargetMode="External" Target="https://www.legis.iowa.gov/docs/ico/chapter/137.107.pdf" Type="http://schemas.openxmlformats.org/officeDocument/2006/relationships/hyperlink" Id="rId23"/>
    <Relationship TargetMode="External" Target="https://www.legis.iowa.gov/docs/ico/chapter/137.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