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MINIMUM REQUIREMENTS FOR RADON MITIGATION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641—44.1</w:t>
      </w:r>
      <w:r>
        <w:rPr>
          <w:rFonts w:ascii="Times New Roman" w:hAnsi="Times New Roman"/>
          <w:b/>
          <w:i w:val="false"/>
          <w:color w:val="000000"/>
          <w:sz w:val="22"/>
        </w:rPr>
        <w:t xml:space="preserve">(136B)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This chapter establishes requirements for the credentialing of radon mitigation specialists. All persons performing abatement for radon or radon progeny in buildings, other than buildings which the persons occupy or are constructing for their own occupancy, must be credentialed in accordance with the provisions of this chapter. Credentialed mitigation specialists are responsible for ensuring that all radon mitigation systems for which they are responsible are installed following guidelines that are provided in this chapter.</w:t>
      </w:r>
    </w:p>
    <w:p>
      <w:pPr>
        <w:spacing w:before="0" w:after="0"/>
        <w:ind w:left="120"/>
        <w:jc w:val="both"/>
      </w:pPr>
      <w:r>
        <w:rPr>
          <w:rFonts w:ascii="Times New Roman" w:hAnsi="Times New Roman"/>
          <w:b/>
          <w:i w:val="false"/>
          <w:color w:val="000000"/>
          <w:sz w:val="22"/>
        </w:rPr>
        <w:t>641—44.2</w:t>
      </w:r>
      <w:r>
        <w:rPr>
          <w:rFonts w:ascii="Times New Roman" w:hAnsi="Times New Roman"/>
          <w:b/>
          <w:i w:val="false"/>
          <w:color w:val="000000"/>
          <w:sz w:val="22"/>
        </w:rPr>
        <w:t xml:space="preserve">(136B)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words and terms when used in this chapter shall have the following meanings, unless the context clearly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mitigation system” </w:t>
      </w:r>
      <w:r>
        <w:rPr>
          <w:rFonts w:ascii="Times New Roman" w:hAnsi="Times New Roman"/>
          <w:b w:val="false"/>
          <w:i w:val="false"/>
          <w:color w:val="000000"/>
          <w:sz w:val="22"/>
        </w:rPr>
        <w:t>means any system or materials installed as an active part of a ventilation system used for the purpose of reducing radon or radon progeny concentrations by means of an in-line fan.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“ASTMI E2121” </w:t>
      </w:r>
      <w:r>
        <w:rPr>
          <w:rFonts w:ascii="Times New Roman" w:hAnsi="Times New Roman"/>
          <w:b w:val="false"/>
          <w:i w:val="false"/>
          <w:color w:val="000000"/>
          <w:sz w:val="22"/>
        </w:rPr>
        <w:t>means the American Society for Testing Materials International E2121, Standard Practice for Radon Mitigation Systems in Existing Low-Rise Residential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“Credentialed radon mitigation specialist (mitigation specialist)” </w:t>
      </w:r>
      <w:r>
        <w:rPr>
          <w:rFonts w:ascii="Times New Roman" w:hAnsi="Times New Roman"/>
          <w:b w:val="false"/>
          <w:i w:val="false"/>
          <w:color w:val="000000"/>
          <w:sz w:val="22"/>
        </w:rPr>
        <w:t>means an individual who evaluates diagnostic tests to determine appropriate radon or radon progeny mitigation strategies for a building, designs mitigation systems, installs or supervises the installation of radon or radon progeny mitigation techniques on buildings, and meets the requirements for credentialing provided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“Diagnostic tests” </w:t>
      </w:r>
      <w:r>
        <w:rPr>
          <w:rFonts w:ascii="Times New Roman" w:hAnsi="Times New Roman"/>
          <w:b w:val="false"/>
          <w:i w:val="false"/>
          <w:color w:val="000000"/>
          <w:sz w:val="22"/>
        </w:rPr>
        <w:t>means tests performed or procedures used to determine appropriate mitigation methods for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“EPA” </w:t>
      </w:r>
      <w:r>
        <w:rPr>
          <w:rFonts w:ascii="Times New Roman" w:hAnsi="Times New Roman"/>
          <w:b w:val="false"/>
          <w:i w:val="false"/>
          <w:color w:val="000000"/>
          <w:sz w:val="22"/>
        </w:rPr>
        <w:t>means the United States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“Mitigator” </w:t>
      </w:r>
      <w:r>
        <w:rPr>
          <w:rFonts w:ascii="Times New Roman" w:hAnsi="Times New Roman"/>
          <w:b w:val="false"/>
          <w:i w:val="false"/>
          <w:color w:val="000000"/>
          <w:sz w:val="22"/>
        </w:rPr>
        <w:t>means a person who installs mitigation systems for the purpose of abating radon levels within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“Passive mitigation system” </w:t>
      </w:r>
      <w:r>
        <w:rPr>
          <w:rFonts w:ascii="Times New Roman" w:hAnsi="Times New Roman"/>
          <w:b w:val="false"/>
          <w:i w:val="false"/>
          <w:color w:val="000000"/>
          <w:sz w:val="22"/>
        </w:rPr>
        <w:t>means any system or materials installed for the purpose of reducing radon or radon progeny concentrations without the use of an in-line fan.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“pCi/L” </w:t>
      </w:r>
      <w:r>
        <w:rPr>
          <w:rFonts w:ascii="Times New Roman" w:hAnsi="Times New Roman"/>
          <w:b w:val="false"/>
          <w:i w:val="false"/>
          <w:color w:val="000000"/>
          <w:sz w:val="22"/>
        </w:rPr>
        <w:t>means a measurement of radon in picocuries per 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“Radon” </w:t>
      </w:r>
      <w:r>
        <w:rPr>
          <w:rFonts w:ascii="Times New Roman" w:hAnsi="Times New Roman"/>
          <w:b w:val="false"/>
          <w:i w:val="false"/>
          <w:color w:val="000000"/>
          <w:sz w:val="22"/>
        </w:rPr>
        <w:t>means the radioactive noble gas radon-222.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“Radon progeny” </w:t>
      </w:r>
      <w:r>
        <w:rPr>
          <w:rFonts w:ascii="Times New Roman" w:hAnsi="Times New Roman"/>
          <w:b w:val="false"/>
          <w:i w:val="false"/>
          <w:color w:val="000000"/>
          <w:sz w:val="22"/>
        </w:rPr>
        <w:t>means the short-lived radionuclides formed as a result of the decay of radon-222.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“RMS” </w:t>
      </w:r>
      <w:r>
        <w:rPr>
          <w:rFonts w:ascii="Times New Roman" w:hAnsi="Times New Roman"/>
          <w:b w:val="false"/>
          <w:i w:val="false"/>
          <w:color w:val="000000"/>
          <w:sz w:val="22"/>
        </w:rPr>
        <w:t>means EPA Radon Mitigation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level month (WLM)” </w:t>
      </w:r>
      <w:r>
        <w:rPr>
          <w:rFonts w:ascii="Times New Roman" w:hAnsi="Times New Roman"/>
          <w:b w:val="false"/>
          <w:i w:val="false"/>
          <w:color w:val="000000"/>
          <w:sz w:val="22"/>
        </w:rPr>
        <w:t>means a cumulative exposure to radon decay products calculated by multiplying the radon daughter concentration in units of working levels by the number of hours exposed and dividing by 170.</w:t>
      </w:r>
    </w:p>
    <w:p>
      <w:pPr>
        <w:spacing w:before="0" w:after="0"/>
        <w:ind w:left="120"/>
        <w:jc w:val="both"/>
      </w:pPr>
      <w:r>
        <w:rPr>
          <w:rFonts w:ascii="Times New Roman" w:hAnsi="Times New Roman"/>
          <w:b/>
          <w:i w:val="false"/>
          <w:color w:val="000000"/>
          <w:sz w:val="22"/>
        </w:rPr>
        <w:t>641—44.3</w:t>
      </w:r>
      <w:r>
        <w:rPr>
          <w:rFonts w:ascii="Times New Roman" w:hAnsi="Times New Roman"/>
          <w:b/>
          <w:i w:val="false"/>
          <w:color w:val="000000"/>
          <w:sz w:val="22"/>
        </w:rPr>
        <w:t xml:space="preserve">(136B)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this chapter, no person may mitigate for radon or radon progeny in Iowa for a fee or other remuneration unless such a person has been credentialed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w:t>
      </w:r>
      <w:r>
        <w:rPr>
          <w:rFonts w:ascii="Times New Roman" w:hAnsi="Times New Roman"/>
          <w:b w:val="false"/>
          <w:i w:val="false"/>
          <w:color w:val="000000"/>
          <w:sz w:val="22"/>
        </w:rPr>
        <w:t> </w:t>
      </w:r>
      <w:r>
        <w:rPr>
          <w:rFonts w:ascii="Times New Roman" w:hAnsi="Times New Roman"/>
          <w:b w:val="false"/>
          <w:i w:val="false"/>
          <w:color w:val="000000"/>
          <w:sz w:val="22"/>
        </w:rPr>
        <w:t>Individual qualifications for radon mitigation specialist. No individual may be credentialed as a radon mitigation specialist unless all of the following conditions are met. The individuals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Possess three years of relevant professional work experience. Relevant postsecondary education may be substituted on a year-for-year basis for two of the three years of relevant professional work experience. Relevant postsecondary education includes a college curriculum in architecture, engineering, building construction, or the physical sciences. Relevant professional work experience includes the design or construction of buildings, or associated heating, ventilation, and air-conditioning systems, or closely related activities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a combined radon measurement/mitigation course approved by the department and a radon mitigation examination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applicants for credentialing must comply with Iowa Code chapter </w:t>
      </w:r>
      <w:hyperlink r:id="rId5">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xml:space="preserve"> and submit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acceptable mitigation worker protection plan to follow when performing mitigation installations which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to follow to keep radiation exposure to workers as low as is reasonably achievable.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Methods to follow to reduce or minimize the radon concentration in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Criteria for wearing properly fitted respirators anytime the radon decay product level is above one working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acceptable quality assurance plan to follow when performing mitigation installations which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all diagnostic tests performed to determine the mitigation strategy, names of the individuals performing the diagnostic tests, and any other related services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all instruments are properly calibrated according to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all mitigation materials and systems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 and accurate application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w:t>
      </w:r>
      <w:r>
        <w:rPr>
          <w:rFonts w:ascii="Times New Roman" w:hAnsi="Times New Roman"/>
          <w:b w:val="false"/>
          <w:i w:val="false"/>
          <w:color w:val="000000"/>
          <w:sz w:val="22"/>
        </w:rPr>
        <w:t> </w:t>
      </w:r>
      <w:r>
        <w:rPr>
          <w:rFonts w:ascii="Times New Roman" w:hAnsi="Times New Roman"/>
          <w:b w:val="false"/>
          <w:i w:val="false"/>
          <w:color w:val="000000"/>
          <w:sz w:val="22"/>
        </w:rPr>
        <w:t>Requirements for continued credentialing shall include, at a minimum,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Iowa credentialed person shall allow the department, its agents, employees, and contractors, upon presentation of appropriate credentials and with just cause, to have access during regular business hours without undue delay to their facilities, offices and files for inspection and examination of records and equipment. Credentialed persons shall also allow the department, its agents, employees, and contractors to accompany them while performing any radon abatement measures, for the purpose of inspection of those activities, with the approval of the property owner or resident on whose property the activities are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credentialed person shall remain in compliance with the Iowa Radon Testing and Abatement Act and this chapter. Any material changes in the information provided in the original application, including changes in credentialed personnel, shall be reported in writing to the department within ten working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credentialed person shall comply with department standards and all the requirements as stated in EPA’s Radon Mitigation Standards (RMS) EPA 402-R-93-078, October 1993 (Revised April 1994) and ASTMI E2121. All “shoulds” in the above document shall be “shalls” according to department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w:t>
      </w:r>
      <w:r>
        <w:rPr>
          <w:rFonts w:ascii="Times New Roman" w:hAnsi="Times New Roman"/>
          <w:b w:val="false"/>
          <w:i w:val="false"/>
          <w:color w:val="000000"/>
          <w:sz w:val="22"/>
        </w:rPr>
        <w:t> </w:t>
      </w:r>
      <w:r>
        <w:rPr>
          <w:rFonts w:ascii="Times New Roman" w:hAnsi="Times New Roman"/>
          <w:b w:val="false"/>
          <w:i w:val="false"/>
          <w:color w:val="000000"/>
          <w:sz w:val="22"/>
        </w:rPr>
        <w:t>A credentialed 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Fully cooperate with the department or its agents when field evaluations are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present during scheduled visits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disclose to any other person, except to the department or its agents, the addressee or owner of a nonpublic building, the radon levels present in the building or abatement measures needed or performed, unless the building owner waives this right of confidentiality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each building is tested for radon levels before and after mitigation work is performed. Such tests shall be of sufficient type, duration and consistency and shall be performed at such times and under such ventilation conditions as to allow for comparison of before and after mitigation radon levels. Premitigation and postmitigation radon tests shall be performed independently by a measurement specialist or technician who is not employed by the same firm as the mitigation specialist performing the mitigation. Postmitigation radon tests shall be started no sooner than one day after mitigation is completed. This requirement is not binding if the building owner waives the procedure, on a form prescribed by the department, before the mitigation process has started.</w:t>
      </w:r>
    </w:p>
    <w:p>
      <w:pPr>
        <w:spacing w:before="0" w:after="0"/>
        <w:ind w:left="120"/>
        <w:jc w:val="both"/>
      </w:pPr>
      <w:r>
        <w:rPr>
          <w:rFonts w:ascii="Times New Roman" w:hAnsi="Times New Roman"/>
          <w:b/>
          <w:i w:val="false"/>
          <w:color w:val="000000"/>
          <w:sz w:val="22"/>
        </w:rPr>
        <w:t>641—44.4</w:t>
      </w:r>
      <w:r>
        <w:rPr>
          <w:rFonts w:ascii="Times New Roman" w:hAnsi="Times New Roman"/>
          <w:b/>
          <w:i w:val="false"/>
          <w:color w:val="000000"/>
          <w:sz w:val="22"/>
        </w:rPr>
        <w:t xml:space="preserve">(136B) </w:t>
      </w:r>
      <w:r>
        <w:rPr>
          <w:rFonts w:ascii="Times New Roman" w:hAnsi="Times New Roman"/>
          <w:b/>
          <w:i w:val="false"/>
          <w:color w:val="000000"/>
          <w:sz w:val="22"/>
        </w:rPr>
        <w:t xml:space="preserve">Application for credentialing.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credentialing or renewal of credentials as a radon mitigation specialist shall be filed on a form prescribed by the department, shall contain complete and accurate information and shall be accompanied by the appropriate fees as outlined in </w:t>
      </w:r>
      <w:hyperlink r:id="rId6">
        <w:r>
          <w:rPr>
            <w:rStyle w:val="Hyperlink"/>
            <w:rFonts w:ascii="Times New Roman" w:hAnsi="Times New Roman"/>
            <w:b w:val="false"/>
            <w:i w:val="false"/>
            <w:color w:val="000000"/>
            <w:sz w:val="22"/>
          </w:rPr>
          <w:t>subrule 44.4(6)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44.4(2)</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the applicant to submit supplementary statements containing additional information to enable the department to determine whether an application should be approved or denied, or whether a previously issued credential should be amended,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44.4(3)</w:t>
      </w:r>
      <w:r>
        <w:rPr>
          <w:rFonts w:ascii="Times New Roman" w:hAnsi="Times New Roman"/>
          <w:b w:val="false"/>
          <w:i w:val="false"/>
          <w:color w:val="000000"/>
          <w:sz w:val="22"/>
        </w:rPr>
        <w:t> </w:t>
      </w:r>
      <w:r>
        <w:rPr>
          <w:rFonts w:ascii="Times New Roman" w:hAnsi="Times New Roman"/>
          <w:b w:val="false"/>
          <w:i w:val="false"/>
          <w:color w:val="000000"/>
          <w:sz w:val="22"/>
        </w:rPr>
        <w:t>Each application or supplementary statement shall be signed by either the applicant personally, or a person authorized in writing by the applicant to do so on the applicant’s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44.4(4)</w:t>
      </w:r>
      <w:r>
        <w:rPr>
          <w:rFonts w:ascii="Times New Roman" w:hAnsi="Times New Roman"/>
          <w:b w:val="false"/>
          <w:i w:val="false"/>
          <w:color w:val="000000"/>
          <w:sz w:val="22"/>
        </w:rPr>
        <w:t> </w:t>
      </w:r>
      <w:r>
        <w:rPr>
          <w:rFonts w:ascii="Times New Roman" w:hAnsi="Times New Roman"/>
          <w:b w:val="false"/>
          <w:i w:val="false"/>
          <w:color w:val="000000"/>
          <w:sz w:val="22"/>
        </w:rPr>
        <w:t>A credential will be valid for one year following the date of issuance. No radon abatement covered by this chapter can be commenced after the expiration of the term of credentialing unless an application for renewal has been received by the department within 30 days of the notice of expiration and the renewal application is deemed complete and acceptable by the department. All radon mitigation work commenced prior to expiration of credentialing must be completed within 30 days of the expiration date if renewal is not accomplished. If the application is rejected, no radon abatement may be conducted by that applicant in the state of Iowa if a financial arrangement is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to renew credentials must be on a form approved by the department and must include the number of mitigation systems installed for the renewal period and any changes in the initial credentialing application, along with the fee specified in </w:t>
      </w:r>
      <w:hyperlink r:id="rId7">
        <w:r>
          <w:rPr>
            <w:rStyle w:val="Hyperlink"/>
            <w:rFonts w:ascii="Times New Roman" w:hAnsi="Times New Roman"/>
            <w:b w:val="false"/>
            <w:i w:val="false"/>
            <w:color w:val="000000"/>
            <w:sz w:val="22"/>
          </w:rPr>
          <w:t>subrule 44.4(6)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44.4(6)</w:t>
      </w:r>
      <w:r>
        <w:rPr>
          <w:rFonts w:ascii="Times New Roman" w:hAnsi="Times New Roman"/>
          <w:b w:val="false"/>
          <w:i w:val="false"/>
          <w:color w:val="000000"/>
          <w:sz w:val="22"/>
        </w:rPr>
        <w:t> </w:t>
      </w:r>
      <w:r>
        <w:rPr>
          <w:rFonts w:ascii="Times New Roman" w:hAnsi="Times New Roman"/>
          <w:b w:val="false"/>
          <w:i w:val="false"/>
          <w:color w:val="000000"/>
          <w:sz w:val="22"/>
        </w:rPr>
        <w:t>Radon mitigation credentialing. Any person wishing to become credentialed as a radon mitigation specialist shall be required to pay fees sufficient to defray the cost of administering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with Iowa residency wishing certification under the provisions of </w:t>
      </w:r>
      <w:hyperlink r:id="rId8">
        <w:r>
          <w:rPr>
            <w:rStyle w:val="Hyperlink"/>
            <w:rFonts w:ascii="Times New Roman" w:hAnsi="Times New Roman"/>
            <w:b w:val="false"/>
            <w:i w:val="false"/>
            <w:color w:val="000000"/>
            <w:sz w:val="22"/>
          </w:rPr>
          <w:t>641—Chapter 44</w:t>
        </w:r>
      </w:hyperlink>
      <w:r>
        <w:rPr>
          <w:rFonts w:ascii="Times New Roman" w:hAnsi="Times New Roman"/>
          <w:b w:val="false"/>
          <w:i w:val="false"/>
          <w:color w:val="000000"/>
          <w:sz w:val="22"/>
        </w:rPr>
        <w:t xml:space="preserve"> shall pay a nonrefundable $25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without Iowa residency wishing certification under </w:t>
      </w:r>
      <w:hyperlink r:id="rId9">
        <w:r>
          <w:rPr>
            <w:rStyle w:val="Hyperlink"/>
            <w:rFonts w:ascii="Times New Roman" w:hAnsi="Times New Roman"/>
            <w:b w:val="false"/>
            <w:i w:val="false"/>
            <w:color w:val="000000"/>
            <w:sz w:val="22"/>
          </w:rPr>
          <w:t>641—Chapter 44</w:t>
        </w:r>
      </w:hyperlink>
      <w:r>
        <w:rPr>
          <w:rFonts w:ascii="Times New Roman" w:hAnsi="Times New Roman"/>
          <w:b w:val="false"/>
          <w:i w:val="false"/>
          <w:color w:val="000000"/>
          <w:sz w:val="22"/>
        </w:rPr>
        <w:t xml:space="preserve"> shall pay a nonrefundable $100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credentialing fee. Each individual requesting credentialing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 an initial fee of $150 which is refundable if credentialing is not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 annually a renewal fee of $150 or a mitigation system installation surcharge fee of $40 per mitigation system installed (as defined in </w:t>
      </w:r>
      <w:hyperlink r:id="rId10">
        <w:r>
          <w:rPr>
            <w:rStyle w:val="Hyperlink"/>
            <w:rFonts w:ascii="Times New Roman" w:hAnsi="Times New Roman"/>
            <w:b w:val="false"/>
            <w:i w:val="false"/>
            <w:color w:val="000000"/>
            <w:sz w:val="22"/>
          </w:rPr>
          <w:t>641—44.2(136B)</w:t>
        </w:r>
      </w:hyperlink>
      <w:r>
        <w:rPr>
          <w:rFonts w:ascii="Times New Roman" w:hAnsi="Times New Roman"/>
          <w:b w:val="false"/>
          <w:i w:val="false"/>
          <w:color w:val="000000"/>
          <w:sz w:val="22"/>
        </w:rPr>
        <w:t>) costing more than $200, whichever is greater. With each renewal, a credentialed person must submit legal documentation of the number of mitigation systems installed the previous credentialing year. If an individual decides not to renew credentials the following year, all surcharge fees are to be paid in full within 30 days of the date of expiration of the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Returned check and late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who fail to pay required fees to the department are subject to the following penalty(ies):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$15 for each insufficient funds check submitted for payment of radon mitigation fees.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$25 per month for failure to pay annual radon mitigation credentialing fees starting after the annual renewal date or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payment is not received and the certification has been expired 30 days, certification will be revoked immediately. In order to regain certification, the individual must reapply and pay the appropriate fees as outlined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Applications for initial and renewal credentialing must be submitted along with the appropriate fees specified in this subrule to the Division of Environmental Health, Iowa Department of Public Health, Lucas State Office Building, Des Moines, Iowa 50319-0075. The fee must be in the form of a check or money order made payable to the Iowa Department of Public Health and must include on the check or money order an indication of the purpose of the fee (i.e., radon mitigation credentialing).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person wishing to receive reciprocal recognition of credentialing from another jurisdiction must pay the appropriate fees as outlined in this subrule.</w:t>
      </w:r>
    </w:p>
    <w:p>
      <w:pPr>
        <w:spacing w:before="0" w:after="0"/>
        <w:ind w:left="120"/>
        <w:jc w:val="both"/>
      </w:pPr>
      <w:r>
        <w:rPr>
          <w:rFonts w:ascii="Times New Roman" w:hAnsi="Times New Roman"/>
          <w:b/>
          <w:i w:val="false"/>
          <w:color w:val="000000"/>
          <w:sz w:val="22"/>
        </w:rPr>
        <w:t>641—44.5</w:t>
      </w:r>
      <w:r>
        <w:rPr>
          <w:rFonts w:ascii="Times New Roman" w:hAnsi="Times New Roman"/>
          <w:b/>
          <w:i w:val="false"/>
          <w:color w:val="000000"/>
          <w:sz w:val="22"/>
        </w:rPr>
        <w:t xml:space="preserve">(136B) </w:t>
      </w:r>
      <w:r>
        <w:rPr>
          <w:rFonts w:ascii="Times New Roman" w:hAnsi="Times New Roman"/>
          <w:b/>
          <w:i w:val="false"/>
          <w:color w:val="000000"/>
          <w:sz w:val="22"/>
        </w:rPr>
        <w:t xml:space="preserve">Revocation of credentialing. </w:t>
      </w:r>
      <w:r>
        <w:rPr>
          <w:rFonts w:ascii="Times New Roman" w:hAnsi="Times New Roman"/>
          <w:b w:val="false"/>
          <w:i w:val="false"/>
          <w:color w:val="000000"/>
          <w:sz w:val="22"/>
        </w:rPr>
        <w:t xml:space="preserve">The department will follow the procedures set forth in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when revoking or suspending any credentials, in whole or in part. The department may deny, suspend, revoke, or modify the credentials of a person, or may impose a civil penalty or may refer the case to the office of the county attorney for possible criminal penalties pursuant to Iowa Code chapter </w:t>
      </w:r>
      <w:hyperlink r:id="rId12">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xml:space="preserve"> when it finds that a credentialed person or a person who is not credentialed has committed any of the following acts: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material misstatement in the application or in any supplementary statement.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material misstatement in the renewal application or supplementary statement received upon renewal.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condition revealed by an inspection of the applicant, the application, supplementary statement, report, record, or other evidence, which would warrant refusal by the department’s agents or employees to grant a credentialing on an original application.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Falsifying approval records, qualifications, or other information or documentation related to licensing approval.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violation or failure to observe any of the applicable terms or provisions of credentialing, the public health law, or any other applicable rule, radon testing rule, ordinance, regulation, code or order.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Not completing the installation of a radon mitigation system within 30 days of the start date or date contracted to start.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Failing to submit a complete and accurate renewal application form before the end of the renewal period which includes the fee specified in </w:t>
      </w:r>
      <w:hyperlink r:id="rId13">
        <w:r>
          <w:rPr>
            <w:rStyle w:val="Hyperlink"/>
            <w:rFonts w:ascii="Times New Roman" w:hAnsi="Times New Roman"/>
            <w:b w:val="false"/>
            <w:i w:val="false"/>
            <w:color w:val="000000"/>
            <w:sz w:val="22"/>
          </w:rPr>
          <w:t>subrule 44.4(6)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Failing to correct any violation of EPA, ASTM, or department rules that was found during a previous inspection or any violation found on an initial inspection which, as determined by the department, jeopardizes the safety of the building or other occupants.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Accepting compensation for installing ineffective radon remedies or for not dropping radon levels below 4 pCi/L in the area or level of the building where a radon mitigation system was installed.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Accepting compensation for installing active or nonactive radon mitigation systems that are not acceptable to the department or that do not comply with the requirements of this chapter.</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Failing to fully cooperate with the department or its agents when field evaluations are conducted.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Failing to attend a scheduled meeting or inspection set up by the department or its agents, when the person holding the credentials was previously notified and agreed to the time and location of the inspection.</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Failing to submit required information or notifications in a timely manner.</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 xml:space="preserve">Failing to maintain the required records in </w:t>
      </w:r>
      <w:hyperlink r:id="rId14">
        <w:r>
          <w:rPr>
            <w:rStyle w:val="Hyperlink"/>
            <w:rFonts w:ascii="Times New Roman" w:hAnsi="Times New Roman"/>
            <w:b w:val="false"/>
            <w:i w:val="false"/>
            <w:color w:val="000000"/>
            <w:sz w:val="22"/>
          </w:rPr>
          <w:t>641—44.6(136B)</w:t>
        </w:r>
      </w:hyperlink>
      <w:r>
        <w:rPr>
          <w:rFonts w:ascii="Times New Roman" w:hAnsi="Times New Roman"/>
          <w:b w:val="false"/>
          <w:i w:val="false"/>
          <w:color w:val="000000"/>
          <w:sz w:val="22"/>
        </w:rPr>
        <w:t>, and in EPA’s Radon Mitigation Standards (RMS) EPA 402-R-93-078, October 1993 (Revised April 1994), and ASTMI E2121 (</w:t>
      </w:r>
      <w:r>
        <w:rPr>
          <w:rFonts w:ascii="Times New Roman" w:hAnsi="Times New Roman"/>
          <w:b w:val="false"/>
          <w:i w:val="false"/>
          <w:color w:val="000000"/>
          <w:sz w:val="22"/>
        </w:rPr>
        <w:t>NOTE:</w:t>
      </w:r>
      <w:r>
        <w:rPr>
          <w:rFonts w:ascii="Times New Roman" w:hAnsi="Times New Roman"/>
          <w:b w:val="false"/>
          <w:i w:val="false"/>
          <w:color w:val="000000"/>
          <w:sz w:val="22"/>
        </w:rPr>
        <w:t xml:space="preserve"> EPA has incorporated E2121 by reference and retained EPA’s Radon Mitigation Standards (RMS) in effect until at least 2007).</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 xml:space="preserve">Failing to comply with the training standards and requirements in </w:t>
      </w:r>
      <w:hyperlink r:id="rId15">
        <w:r>
          <w:rPr>
            <w:rStyle w:val="Hyperlink"/>
            <w:rFonts w:ascii="Times New Roman" w:hAnsi="Times New Roman"/>
            <w:b w:val="false"/>
            <w:i w:val="false"/>
            <w:color w:val="000000"/>
            <w:sz w:val="22"/>
          </w:rPr>
          <w:t>641—44.7(136B)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Failing to comply with federal, state, or local statutes and regulations, including the requirements of this chapter.</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Knowingly making misleading, deceptive, untrue, or fraudulent representations involving radon,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Using untruthful or improbable statements in advertisements. Use of these statements includes, but is not limited to, the presentation of information to the public by training programs that is false, deceptive, or misleading or that is promoted through fraud or misrepresentation.</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Falsifying reports and records required by this chapter.</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Accepting any fee by fraud or misrepresentation.</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shall not negate this requirement; however, if such disciplinary action is overturned or reversed by a court of last resort, the report shall be expunged from the record.</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Failing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Representation by a firm or individual that the firm or individual is credentialed when the credential has been suspended or revoked or has not been renewed.</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Failing to respond within 30 days of receipt of communication from the department or an agent of the department that was sent by registered or certified mail.</w:t>
      </w:r>
    </w:p>
    <w:p>
      <w:pPr>
        <w:spacing w:before="0" w:after="0"/>
        <w:ind w:left="120"/>
        <w:jc w:val="both"/>
      </w:pPr>
      <w:r>
        <w:rPr>
          <w:rFonts w:ascii="Times New Roman" w:hAnsi="Times New Roman"/>
          <w:b w:val="false"/>
          <w:i w:val="false"/>
          <w:color w:val="000000"/>
          <w:sz w:val="22"/>
        </w:rPr>
        <w:t>     25.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26.   </w:t>
      </w:r>
      <w:r>
        <w:rPr>
          <w:rFonts w:ascii="Times New Roman" w:hAnsi="Times New Roman"/>
          <w:b w:val="false"/>
          <w:i w:val="false"/>
          <w:color w:val="000000"/>
          <w:sz w:val="22"/>
        </w:rPr>
        <w:t>Failing to comply with a subpoena issued by the department or failure to cooperate with a department investigation.</w:t>
      </w:r>
    </w:p>
    <w:p>
      <w:pPr>
        <w:spacing w:before="0" w:after="0"/>
        <w:ind w:left="120"/>
        <w:jc w:val="both"/>
      </w:pPr>
      <w:r>
        <w:rPr>
          <w:rFonts w:ascii="Times New Roman" w:hAnsi="Times New Roman"/>
          <w:b w:val="false"/>
          <w:i w:val="false"/>
          <w:color w:val="000000"/>
          <w:sz w:val="22"/>
        </w:rPr>
        <w:t>     27.   </w:t>
      </w:r>
      <w:r>
        <w:rPr>
          <w:rFonts w:ascii="Times New Roman" w:hAnsi="Times New Roman"/>
          <w:b w:val="false"/>
          <w:i w:val="false"/>
          <w:color w:val="000000"/>
          <w:sz w:val="22"/>
        </w:rPr>
        <w:t>Failing to pay costs assessed in any disciplinary action.</w:t>
      </w:r>
    </w:p>
    <w:p>
      <w:pPr>
        <w:spacing w:before="0" w:after="0"/>
        <w:ind w:left="120"/>
        <w:jc w:val="both"/>
      </w:pPr>
      <w:r>
        <w:rPr>
          <w:rFonts w:ascii="Times New Roman" w:hAnsi="Times New Roman"/>
          <w:b/>
          <w:i w:val="false"/>
          <w:color w:val="000000"/>
          <w:sz w:val="22"/>
        </w:rPr>
        <w:t>641—44.6</w:t>
      </w:r>
      <w:r>
        <w:rPr>
          <w:rFonts w:ascii="Times New Roman" w:hAnsi="Times New Roman"/>
          <w:b/>
          <w:i w:val="false"/>
          <w:color w:val="000000"/>
          <w:sz w:val="22"/>
        </w:rPr>
        <w:t xml:space="preserve">(136B) </w:t>
      </w:r>
      <w:r>
        <w:rPr>
          <w:rFonts w:ascii="Times New Roman" w:hAnsi="Times New Roman"/>
          <w:b/>
          <w:i w:val="false"/>
          <w:color w:val="000000"/>
          <w:sz w:val="22"/>
        </w:rPr>
        <w:t xml:space="preserve">Additional record-keeping requirements. </w:t>
      </w:r>
      <w:r>
        <w:rPr>
          <w:rFonts w:ascii="Times New Roman" w:hAnsi="Times New Roman"/>
          <w:b w:val="false"/>
          <w:i w:val="false"/>
          <w:color w:val="000000"/>
          <w:sz w:val="22"/>
        </w:rPr>
        <w:t>A credentialed radon mitigation specialist shall maintain, for five years, a report of each mitigation activity which includes, but is not necessarily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address or location of the building.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and phone number of the owner(s) of the building where the radon mitigation is conducted.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written description of each mitigation system and materials installed, diagnostic test results and cost of each system.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name of the certified radon measurement specialist or technician used to perform radon or radon progeny testing before and after radon mitigation of a building. This requirement does not apply if the building owner has waived the testing requirement set forth in </w:t>
      </w:r>
      <w:hyperlink r:id="rId16">
        <w:r>
          <w:rPr>
            <w:rStyle w:val="Hyperlink"/>
            <w:rFonts w:ascii="Times New Roman" w:hAnsi="Times New Roman"/>
            <w:b w:val="false"/>
            <w:i w:val="false"/>
            <w:color w:val="000000"/>
            <w:sz w:val="22"/>
          </w:rPr>
          <w:t>641—subrule 44.3(5)</w:t>
        </w:r>
      </w:hyperlink>
      <w:r>
        <w:rPr>
          <w:rFonts w:ascii="Times New Roman" w:hAnsi="Times New Roman"/>
          <w:b w:val="false"/>
          <w:i w:val="false"/>
          <w:color w:val="000000"/>
          <w:sz w:val="22"/>
        </w:rPr>
        <w:t xml:space="preserve"> and the mitigation specialist maintains a copy of the signed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results of any initial or follow-up radon or radon progeny measurements performed and the measurement methods utilized. This requirement does not apply if the building owner has waived the testing requirement set forth in </w:t>
      </w:r>
      <w:hyperlink r:id="rId17">
        <w:r>
          <w:rPr>
            <w:rStyle w:val="Hyperlink"/>
            <w:rFonts w:ascii="Times New Roman" w:hAnsi="Times New Roman"/>
            <w:b w:val="false"/>
            <w:i w:val="false"/>
            <w:color w:val="000000"/>
            <w:sz w:val="22"/>
          </w:rPr>
          <w:t>641—subrule 44.3(5)</w:t>
        </w:r>
      </w:hyperlink>
      <w:r>
        <w:rPr>
          <w:rFonts w:ascii="Times New Roman" w:hAnsi="Times New Roman"/>
          <w:b w:val="false"/>
          <w:i w:val="false"/>
          <w:color w:val="000000"/>
          <w:sz w:val="22"/>
        </w:rPr>
        <w:t xml:space="preserve"> and the mitigation specialist maintains a copy of the signed waiver.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results of the postmitigation radon measurements performed, including method of measurement and all pertinent dates. This requirement does not apply if the building owner has waived the testing requirement set forth in </w:t>
      </w:r>
      <w:hyperlink r:id="rId18">
        <w:r>
          <w:rPr>
            <w:rStyle w:val="Hyperlink"/>
            <w:rFonts w:ascii="Times New Roman" w:hAnsi="Times New Roman"/>
            <w:b w:val="false"/>
            <w:i w:val="false"/>
            <w:color w:val="000000"/>
            <w:sz w:val="22"/>
          </w:rPr>
          <w:t>641—subrule 44.3(5)</w:t>
        </w:r>
      </w:hyperlink>
      <w:r>
        <w:rPr>
          <w:rFonts w:ascii="Times New Roman" w:hAnsi="Times New Roman"/>
          <w:b w:val="false"/>
          <w:i w:val="false"/>
          <w:color w:val="000000"/>
          <w:sz w:val="22"/>
        </w:rPr>
        <w:t xml:space="preserve"> and the mitigation specialist maintains a copy of the signed waiver.</w:t>
      </w:r>
    </w:p>
    <w:p>
      <w:pPr>
        <w:spacing w:before="210" w:after="0"/>
        <w:ind w:left="120"/>
        <w:jc w:val="both"/>
      </w:pPr>
      <w:r>
        <w:rPr>
          <w:rFonts w:ascii="Times New Roman" w:hAnsi="Times New Roman"/>
          <w:b/>
          <w:i w:val="false"/>
          <w:color w:val="000000"/>
          <w:sz w:val="22"/>
        </w:rPr>
        <w:t>641—44.7</w:t>
      </w:r>
      <w:r>
        <w:rPr>
          <w:rFonts w:ascii="Times New Roman" w:hAnsi="Times New Roman"/>
          <w:b/>
          <w:i w:val="false"/>
          <w:color w:val="000000"/>
          <w:sz w:val="22"/>
        </w:rPr>
        <w:t xml:space="preserve">(136B) </w:t>
      </w:r>
      <w:r>
        <w:rPr>
          <w:rFonts w:ascii="Times New Roman" w:hAnsi="Times New Roman"/>
          <w:b/>
          <w:i w:val="false"/>
          <w:color w:val="000000"/>
          <w:sz w:val="22"/>
        </w:rPr>
        <w:t xml:space="preserve">Continuing education. </w:t>
      </w:r>
      <w:r>
        <w:rPr>
          <w:rFonts w:ascii="Times New Roman" w:hAnsi="Times New Roman"/>
          <w:b w:val="false"/>
          <w:i w:val="false"/>
          <w:color w:val="000000"/>
          <w:sz w:val="22"/>
        </w:rPr>
        <w:t>All credentialed individuals must participate in a continuing education program every other year that consists of a minimum of eight hours of department-approved courses or seminars on radon mitigation or measurement.</w:t>
      </w:r>
    </w:p>
    <w:p>
      <w:pPr>
        <w:spacing w:before="0" w:after="0"/>
        <w:ind w:left="120"/>
        <w:jc w:val="both"/>
      </w:pPr>
      <w:r>
        <w:rPr>
          <w:rFonts w:ascii="Times New Roman" w:hAnsi="Times New Roman"/>
          <w:b/>
          <w:i w:val="false"/>
          <w:color w:val="000000"/>
          <w:sz w:val="22"/>
        </w:rPr>
        <w:t>641—44.8</w:t>
      </w:r>
      <w:r>
        <w:rPr>
          <w:rFonts w:ascii="Times New Roman" w:hAnsi="Times New Roman"/>
          <w:b/>
          <w:i w:val="false"/>
          <w:color w:val="000000"/>
          <w:sz w:val="22"/>
        </w:rPr>
        <w:t xml:space="preserve">(136B) </w:t>
      </w:r>
      <w:r>
        <w:rPr>
          <w:rFonts w:ascii="Times New Roman" w:hAnsi="Times New Roman"/>
          <w:b/>
          <w:i w:val="false"/>
          <w:color w:val="000000"/>
          <w:sz w:val="22"/>
        </w:rPr>
        <w:t xml:space="preserve">Exemptions. </w:t>
      </w:r>
      <w:r>
        <w:rPr>
          <w:rFonts w:ascii="Times New Roman" w:hAnsi="Times New Roman"/>
          <w:b w:val="false"/>
          <w:i w:val="false"/>
          <w:color w:val="000000"/>
          <w:sz w:val="22"/>
        </w:rPr>
        <w:t>Credentialing requirements shall not apply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Those persons who mitigate radon/radon decay products in buildings that they occupy for their own use.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Those persons mitigating radon/radon decay products as part of scientific research approved by the department.</w:t>
      </w:r>
    </w:p>
    <w:p>
      <w:pPr>
        <w:spacing w:before="210" w:after="0"/>
        <w:ind w:left="120"/>
        <w:jc w:val="both"/>
      </w:pPr>
      <w:r>
        <w:rPr>
          <w:rFonts w:ascii="Times New Roman" w:hAnsi="Times New Roman"/>
          <w:b/>
          <w:i w:val="false"/>
          <w:color w:val="000000"/>
          <w:sz w:val="22"/>
        </w:rPr>
        <w:t>641—44.9</w:t>
      </w:r>
      <w:r>
        <w:rPr>
          <w:rFonts w:ascii="Times New Roman" w:hAnsi="Times New Roman"/>
          <w:b/>
          <w:i w:val="false"/>
          <w:color w:val="000000"/>
          <w:sz w:val="22"/>
        </w:rPr>
        <w:t xml:space="preserve">(136B)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A credentialed individual who mitigates for radon or radon progeny in the state of Iowa must meet the requirements of Chapter </w:t>
      </w:r>
      <w:hyperlink r:id="rId19">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641—44.10</w:t>
      </w:r>
      <w:r>
        <w:rPr>
          <w:rFonts w:ascii="Times New Roman" w:hAnsi="Times New Roman"/>
          <w:b/>
          <w:i w:val="false"/>
          <w:color w:val="000000"/>
          <w:sz w:val="22"/>
        </w:rPr>
        <w:t xml:space="preserve">(136B)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It is unlawful for an individual to function as a radon mitigation specialist in violation of the provisions of the Iowa radon testing and abatement Act. Persons convicted of violating the provisions of the Iowa radon testing and abatement Act or </w:t>
      </w:r>
      <w:hyperlink r:id="rId20">
        <w:r>
          <w:rPr>
            <w:rStyle w:val="Hyperlink"/>
            <w:rFonts w:ascii="Times New Roman" w:hAnsi="Times New Roman"/>
            <w:b w:val="false"/>
            <w:i w:val="false"/>
            <w:color w:val="000000"/>
            <w:sz w:val="22"/>
          </w:rPr>
          <w:t>641—Chapter 44</w:t>
        </w:r>
      </w:hyperlink>
      <w:r>
        <w:rPr>
          <w:rFonts w:ascii="Times New Roman" w:hAnsi="Times New Roman"/>
          <w:b w:val="false"/>
          <w:i w:val="false"/>
          <w:color w:val="000000"/>
          <w:sz w:val="22"/>
        </w:rPr>
        <w:t xml:space="preserve"> shall be guilty of a serious misdemeanor.</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11/9/89 after Notice 10/4/89—published 11/29/89, effective 11/9/89]</w:t>
      </w:r>
    </w:p>
    <w:p>
      <w:pPr>
        <w:spacing w:before="0" w:after="0"/>
        <w:ind w:left="120"/>
        <w:jc w:val="center"/>
      </w:pPr>
      <w:r>
        <w:rPr>
          <w:rFonts w:ascii="Times New Roman" w:hAnsi="Times New Roman"/>
          <w:b w:val="false"/>
          <w:i w:val="false"/>
          <w:color w:val="000000"/>
          <w:sz w:val="21"/>
        </w:rPr>
        <w:t>[Filed 9/14/92, Notice 8/5/92—published 9/30/92, effective 11/4/92]</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9/18/06, Notice 8/2/06—published 10/11/06, effective 11/15/06]</w:t>
      </w:r>
    </w:p>
    <w:p>
      <w:pPr>
        <w:spacing w:before="0" w:after="0"/>
        <w:ind w:left="120"/>
        <w:jc w:val="center"/>
      </w:pPr>
      <w:r>
        <w:rPr>
          <w:rFonts w:ascii="Times New Roman" w:hAnsi="Times New Roman"/>
          <w:b w:val="false"/>
          <w:i w:val="false"/>
          <w:color w:val="000000"/>
          <w:sz w:val="21"/>
        </w:rPr>
        <w:t>[Filed 3/16/07, Notice 1/31/07—published 4/11/07, effective 5/16/07]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6B.pdf" Type="http://schemas.openxmlformats.org/officeDocument/2006/relationships/hyperlink" Id="rId5"/>
    <Relationship TargetMode="External" Target="https://www.legis.iowa.gov/docs/iac/rule/641.44.4.pdf" Type="http://schemas.openxmlformats.org/officeDocument/2006/relationships/hyperlink" Id="rId6"/>
    <Relationship TargetMode="External" Target="https://www.legis.iowa.gov/docs/iac/rule/641.44.4.pdf" Type="http://schemas.openxmlformats.org/officeDocument/2006/relationships/hyperlink" Id="rId7"/>
    <Relationship TargetMode="External" Target="https://www.legis.iowa.gov/docs/iac/chapter/641.44.pdf" Type="http://schemas.openxmlformats.org/officeDocument/2006/relationships/hyperlink" Id="rId8"/>
    <Relationship TargetMode="External" Target="https://www.legis.iowa.gov/docs/iac/chapter/641.44.pdf" Type="http://schemas.openxmlformats.org/officeDocument/2006/relationships/hyperlink" Id="rId9"/>
    <Relationship TargetMode="External" Target="https://www.legis.iowa.gov/docs/iac/rule/641.44.2.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36B.pdf" Type="http://schemas.openxmlformats.org/officeDocument/2006/relationships/hyperlink" Id="rId12"/>
    <Relationship TargetMode="External" Target="https://www.legis.iowa.gov/docs/iac/rule/641.44.4.pdf" Type="http://schemas.openxmlformats.org/officeDocument/2006/relationships/hyperlink" Id="rId13"/>
    <Relationship TargetMode="External" Target="https://www.legis.iowa.gov/docs/iac/rule/641.44.6.pdf" Type="http://schemas.openxmlformats.org/officeDocument/2006/relationships/hyperlink" Id="rId14"/>
    <Relationship TargetMode="External" Target="https://www.legis.iowa.gov/docs/iac/rule/641.44.7.pdf" Type="http://schemas.openxmlformats.org/officeDocument/2006/relationships/hyperlink" Id="rId15"/>
    <Relationship TargetMode="External" Target="https://www.legis.iowa.gov/docs/iac/rule/641.44.3.pdf" Type="http://schemas.openxmlformats.org/officeDocument/2006/relationships/hyperlink" Id="rId16"/>
    <Relationship TargetMode="External" Target="https://www.legis.iowa.gov/docs/iac/rule/641.44.3.pdf" Type="http://schemas.openxmlformats.org/officeDocument/2006/relationships/hyperlink" Id="rId17"/>
    <Relationship TargetMode="External" Target="https://www.legis.iowa.gov/docs/iac/rule/641.44.3.pdf" Type="http://schemas.openxmlformats.org/officeDocument/2006/relationships/hyperlink" Id="rId18"/>
    <Relationship TargetMode="External" Target="https://www.legis.iowa.gov/docs/iac/chapter/641.44.pdf" Type="http://schemas.openxmlformats.org/officeDocument/2006/relationships/hyperlink" Id="rId19"/>
    <Relationship TargetMode="External" Target="https://www.legis.iowa.gov/docs/iac/chapter/641.44.pdf" Type="http://schemas.openxmlformats.org/officeDocument/2006/relationships/hyperlink" Id="rId20"/>
    <Relationship TargetMode="External" Target="https://www.legis.iowa.gov/docs/ico/chapter/136B.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