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 xml:space="preserve">SAFETY REQUIREMENTS FOR THE USE OF </w:t>
      </w:r>
      <w:r>
        <w:br/>
      </w:r>
      <w:r>
        <w:rPr>
          <w:rFonts w:ascii="Times New Roman" w:hAnsi="Times New Roman"/>
          <w:b w:val="false"/>
          <w:i w:val="false"/>
          <w:color w:val="000000"/>
          <w:sz w:val="21"/>
        </w:rPr>
        <w:t xml:space="preserve">RADIATION MACHINES AND CERTAIN USES </w:t>
      </w:r>
      <w:r>
        <w:br/>
      </w:r>
      <w:r>
        <w:rPr>
          <w:rFonts w:ascii="Times New Roman" w:hAnsi="Times New Roman"/>
          <w:b w:val="false"/>
          <w:i w:val="false"/>
          <w:color w:val="000000"/>
          <w:sz w:val="21"/>
        </w:rPr>
        <w:t>OF RADIOACTIVE MATERIALS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641—41.1</w:t>
      </w:r>
      <w:r>
        <w:rPr>
          <w:rFonts w:ascii="Times New Roman" w:hAnsi="Times New Roman"/>
          <w:b/>
          <w:i w:val="false"/>
          <w:color w:val="000000"/>
          <w:sz w:val="22"/>
        </w:rPr>
        <w:t xml:space="preserve">(136C) </w:t>
      </w:r>
      <w:r>
        <w:rPr>
          <w:rFonts w:ascii="Times New Roman" w:hAnsi="Times New Roman"/>
          <w:b/>
          <w:i w:val="false"/>
          <w:color w:val="000000"/>
          <w:sz w:val="22"/>
        </w:rPr>
        <w:t xml:space="preserve">X-rays in the healing 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establishes requirements, for which a registrant is responsible, for use of X-ray equipment and imaging systems by or under the supervision of an individual authorized by and licensed in accordance with state statutes to engage in the healing arts or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5">
        <w:r>
          <w:rPr>
            <w:rStyle w:val="Hyperlink"/>
            <w:rFonts w:ascii="Times New Roman" w:hAnsi="Times New Roman"/>
            <w:b w:val="false"/>
            <w:i w:val="false"/>
            <w:color w:val="000000"/>
            <w:sz w:val="22"/>
          </w:rPr>
          <w:t>Chapter 41</w:t>
        </w:r>
      </w:hyperlink>
      <w:r>
        <w:rPr>
          <w:rFonts w:ascii="Times New Roman" w:hAnsi="Times New Roman"/>
          <w:b w:val="false"/>
          <w:i w:val="false"/>
          <w:color w:val="000000"/>
          <w:sz w:val="22"/>
        </w:rPr>
        <w:t xml:space="preserve"> are in addition to, and not in substitution for, any other applicable portions of </w:t>
      </w:r>
      <w:hyperlink r:id="rId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May 16,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chapter, the definitions of </w:t>
      </w:r>
      <w:hyperlink r:id="rId8">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may also apply. The following are specific to </w:t>
      </w:r>
      <w:hyperlink r:id="rId10">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“Accessible surface” </w:t>
      </w:r>
      <w:r>
        <w:rPr>
          <w:rFonts w:ascii="Times New Roman" w:hAnsi="Times New Roman"/>
          <w:b w:val="false"/>
          <w:i w:val="false"/>
          <w:color w:val="000000"/>
          <w:sz w:val="22"/>
        </w:rPr>
        <w:t>means the external surface of the enclosure or housing of the radiation producing machine as provided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“Added filtration” </w:t>
      </w:r>
      <w:r>
        <w:rPr>
          <w:rFonts w:ascii="Times New Roman" w:hAnsi="Times New Roman"/>
          <w:b w:val="false"/>
          <w:i w:val="false"/>
          <w:color w:val="000000"/>
          <w:sz w:val="22"/>
        </w:rPr>
        <w:t>means any filtration which is in addition to the inherent filtration.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“Aluminum equivalent” </w:t>
      </w:r>
      <w:r>
        <w:rPr>
          <w:rFonts w:ascii="Times New Roman" w:hAnsi="Times New Roman"/>
          <w:b w:val="false"/>
          <w:i w:val="false"/>
          <w:color w:val="000000"/>
          <w:sz w:val="22"/>
        </w:rPr>
        <w:t>means the thickness of type 1100 aluminum alloy affording the same attenuation, under specified conditions, as the material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“Attenuation block” </w:t>
      </w:r>
      <w:r>
        <w:rPr>
          <w:rFonts w:ascii="Times New Roman" w:hAnsi="Times New Roman"/>
          <w:b w:val="false"/>
          <w:i w:val="false"/>
          <w:color w:val="000000"/>
          <w:sz w:val="22"/>
        </w:rPr>
        <w:t>means a block or stack, having dimensions 20 centimeters by 20 centimeters by 3.8 centimeters, of type 1100 aluminum alloy or other materials having equivalent attenuation.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w:t>
      </w:r>
      <w:r>
        <w:rPr>
          <w:rFonts w:ascii="Times New Roman" w:hAnsi="Times New Roman"/>
          <w:b w:val="false"/>
          <w:i/>
          <w:color w:val="000000"/>
          <w:sz w:val="22"/>
          <w:u w:val="single"/>
        </w:rPr>
        <w:t>exposure</w:t>
      </w:r>
      <w:r>
        <w:rPr>
          <w:rFonts w:ascii="Times New Roman" w:hAnsi="Times New Roman"/>
          <w:b w:val="false"/>
          <w:i/>
          <w:color w:val="000000"/>
          <w:sz w:val="22"/>
        </w:rPr>
        <w:t xml:space="preserve"> control (AEC)” </w:t>
      </w:r>
      <w:r>
        <w:rPr>
          <w:rFonts w:ascii="Times New Roman" w:hAnsi="Times New Roman"/>
          <w:b w:val="false"/>
          <w:i w:val="false"/>
          <w:color w:val="000000"/>
          <w:sz w:val="22"/>
        </w:rPr>
        <w:t>means a device which automatically controls one or more technique factors in order to obtain at a preselected location(s) a required quantity of radiation (see also “Phototimer”). (Includes devices such as phototimers and ion chambers.)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density” </w:t>
      </w:r>
      <w:r>
        <w:rPr>
          <w:rFonts w:ascii="Times New Roman" w:hAnsi="Times New Roman"/>
          <w:b w:val="false"/>
          <w:i w:val="false"/>
          <w:color w:val="000000"/>
          <w:sz w:val="22"/>
        </w:rPr>
        <w:t>means the optical density due to the supporting base of the film alone. The base density of a film is the optical density that would result if an unexposed film were processed through the fixer, wash, and dryer, without first passing through the developer.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plus fog density” </w:t>
      </w:r>
      <w:r>
        <w:rPr>
          <w:rFonts w:ascii="Times New Roman" w:hAnsi="Times New Roman"/>
          <w:b w:val="false"/>
          <w:i w:val="false"/>
          <w:color w:val="000000"/>
          <w:sz w:val="22"/>
        </w:rPr>
        <w:t>means the optical density of a film due to its base density plus any action of the developer on the unexposed silver halide crystals. The base plus fog density can be measured by processing an unexposed film through the entire processing cycle and measuring the resultant optical density.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 monitoring system” </w:t>
      </w:r>
      <w:r>
        <w:rPr>
          <w:rFonts w:ascii="Times New Roman" w:hAnsi="Times New Roman"/>
          <w:b w:val="false"/>
          <w:i w:val="false"/>
          <w:color w:val="000000"/>
          <w:sz w:val="22"/>
        </w:rPr>
        <w:t>means a system designed to detect and measure the radiation present in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“C-arm X-ray system” </w:t>
      </w:r>
      <w:r>
        <w:rPr>
          <w:rFonts w:ascii="Times New Roman" w:hAnsi="Times New Roman"/>
          <w:b w:val="false"/>
          <w:i w:val="false"/>
          <w:color w:val="000000"/>
          <w:sz w:val="22"/>
        </w:rPr>
        <w:t>means an X-ray system in which the image receptor and X-ray tube housing assembly are connected by a common mechanical support system in order to maintain a desired spatial relationship. This system is designed to allow a change in the projection of the beam through the patient without a change in the position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“Cassette” </w:t>
      </w:r>
      <w:r>
        <w:rPr>
          <w:rFonts w:ascii="Times New Roman" w:hAnsi="Times New Roman"/>
          <w:b w:val="false"/>
          <w:i w:val="false"/>
          <w:color w:val="000000"/>
          <w:sz w:val="22"/>
        </w:rPr>
        <w:t>means a light-tight case, usually made of thin, low X-ray absorption plastic, for holding X-ray film. One or two intensifying screens for the conversion of X-rays to visible light photons are mounted inside the cassette so that they are in close contact to the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“Cephalometric device” </w:t>
      </w:r>
      <w:r>
        <w:rPr>
          <w:rFonts w:ascii="Times New Roman" w:hAnsi="Times New Roman"/>
          <w:b w:val="false"/>
          <w:i w:val="false"/>
          <w:color w:val="000000"/>
          <w:sz w:val="22"/>
        </w:rPr>
        <w:t>means a device intended for the radiographic visualization and measurement of the dimensions of the human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components” </w:t>
      </w:r>
      <w:r>
        <w:rPr>
          <w:rFonts w:ascii="Times New Roman" w:hAnsi="Times New Roman"/>
          <w:b w:val="false"/>
          <w:i w:val="false"/>
          <w:color w:val="000000"/>
          <w:sz w:val="22"/>
        </w:rPr>
        <w:t>means components of X-ray systems which are subject to regulations promulgated under Public Law 90-602, the “Radiation Control for Health and Safety Act of 1968,” the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system” </w:t>
      </w:r>
      <w:r>
        <w:rPr>
          <w:rFonts w:ascii="Times New Roman" w:hAnsi="Times New Roman"/>
          <w:b w:val="false"/>
          <w:i w:val="false"/>
          <w:color w:val="000000"/>
          <w:sz w:val="22"/>
        </w:rPr>
        <w:t>means any X-ray system which has one or more certified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“Coefficient of variation”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 </w:t>
      </w:r>
      <w:r>
        <w:rPr>
          <w:rFonts w:ascii="Times New Roman" w:hAnsi="Times New Roman"/>
          <w:b w:val="false"/>
          <w:i w:val="false"/>
          <w:color w:val="000000"/>
          <w:sz w:val="22"/>
        </w:rPr>
        <w:t>means the ratio of the standard deviation to the mean value of a population of observations. It is estimated using the following equation:</w:t>
      </w:r>
    </w:p>
    <w:tbl>
      <w:tblPr>
        <w:tblW w:w="5000" w:type="pct"/>
        <w:tblCellSpacing w:w="0" w:type="auto"/>
        <w:tblBorders>
          <w:top w:val="none"/>
          <w:left w:val="none"/>
          <w:bottom w:val="none"/>
          <w:right w:val="none"/>
          <w:insideH w:val="none"/>
          <w:insideV w:val="none"/>
        </w:tblBorders>
        <w:tblLayout w:type="fixed"/>
      </w:tblPr>
      <w:tblGrid>
        <w:gridCol w:w="666"/>
        <w:gridCol w:w="347"/>
        <w:gridCol w:w="288"/>
        <w:gridCol w:w="320"/>
        <w:gridCol w:w="154"/>
        <w:gridCol w:w="154"/>
        <w:gridCol w:w="647"/>
        <w:gridCol w:w="154"/>
        <w:gridCol w:w="499"/>
        <w:gridCol w:w="499"/>
        <w:gridCol w:w="154"/>
        <w:gridCol w:w="384"/>
        <w:gridCol w:w="480"/>
        <w:gridCol w:w="5203"/>
        <w:gridCol w:w="310"/>
        <w:gridCol w:w="310"/>
        <w:gridCol w:w="310"/>
        <w:gridCol w:w="311"/>
      </w:tblGrid>
      <w:tr>
        <w:trPr>
          <w:trHeight w:val="225" w:hRule="atLeast"/>
        </w:trPr>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2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7" w:type="dxa"/>
            <w:vMerge w:val="restart"/>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w:t>
            </w:r>
          </w:p>
          <w:p>
            <w:pPr>
              <w:spacing w:before="0" w:after="0"/>
              <w:ind w:left="160"/>
              <w:jc w:val="center"/>
            </w:pPr>
            <w:r>
              <w:rPr>
                <w:rFonts w:ascii="Times New Roman" w:hAnsi="Times New Roman"/>
                <w:b w:val="false"/>
                <w:i w:val="false"/>
                <w:color w:val="000000"/>
                <w:sz w:val="24"/>
              </w:rPr>
              <w:t>Σ</w:t>
            </w:r>
          </w:p>
          <w:p>
            <w:pPr>
              <w:spacing w:before="0" w:after="0"/>
              <w:ind w:left="160"/>
              <w:jc w:val="center"/>
            </w:pPr>
            <w:r>
              <w:rPr>
                <w:rFonts w:ascii="Times New Roman" w:hAnsi="Times New Roman"/>
                <w:b w:val="false"/>
                <w:i w:val="false"/>
                <w:color w:val="000000"/>
                <w:sz w:val="16"/>
              </w:rPr>
              <w:t>i = 1</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½</w:t>
            </w:r>
          </w:p>
        </w:tc>
        <w:tc>
          <w:tcPr>
            <w:tcW w:w="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20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where:</w:t>
            </w:r>
          </w:p>
          <w:p>
            <w:pPr>
              <w:spacing w:before="0" w:after="0"/>
              <w:ind w:left="160"/>
              <w:jc w:val="left"/>
            </w:pPr>
            <w:r>
              <w:rPr>
                <w:rFonts w:ascii="Times New Roman" w:hAnsi="Times New Roman"/>
                <w:b w:val="false"/>
                <w:i w:val="false"/>
                <w:color w:val="000000"/>
                <w:sz w:val="20"/>
                <w:u w:val="single"/>
              </w:rPr>
              <w:t>s</w:t>
            </w:r>
            <w:r>
              <w:rPr>
                <w:rFonts w:ascii="Times New Roman" w:hAnsi="Times New Roman"/>
                <w:b w:val="false"/>
                <w:i w:val="false"/>
                <w:color w:val="000000"/>
                <w:sz w:val="20"/>
              </w:rPr>
              <w:t xml:space="preserve"> = Estimated standard deviation of the population.</w:t>
            </w:r>
          </w:p>
          <w:p>
            <w:pPr>
              <w:spacing w:before="0" w:after="0"/>
              <w:ind w:left="160"/>
              <w:jc w:val="left"/>
            </w:pPr>
            <w:r>
              <w:rPr>
                <w:rFonts w:ascii="Times New Roman" w:hAnsi="Times New Roman"/>
                <w:b w:val="false"/>
                <w:i w:val="false"/>
                <w:color w:val="000000"/>
                <w:sz w:val="20"/>
              </w:rPr>
              <w:t>X = Mean value of observations in sample.</w:t>
            </w:r>
          </w:p>
          <w:p>
            <w:pPr>
              <w:spacing w:before="0" w:after="0"/>
              <w:ind w:left="160"/>
              <w:jc w:val="left"/>
            </w:pPr>
            <w:r>
              <w:rPr>
                <w:rFonts w:ascii="Times New Roman" w:hAnsi="Times New Roman"/>
                <w:b w:val="false"/>
                <w:i w:val="false"/>
                <w:color w:val="000000"/>
                <w:sz w:val="20"/>
              </w:rPr>
              <w:t>X</w:t>
            </w:r>
            <w:r>
              <w:rPr>
                <w:rFonts w:ascii="Times New Roman" w:hAnsi="Times New Roman"/>
                <w:b w:val="false"/>
                <w:i w:val="false"/>
                <w:color w:val="000000"/>
                <w:sz w:val="18"/>
                <w:vertAlign w:val="subscript"/>
              </w:rPr>
              <w:t>i</w:t>
            </w:r>
            <w:r>
              <w:rPr>
                <w:rFonts w:ascii="Times New Roman" w:hAnsi="Times New Roman"/>
                <w:b w:val="false"/>
                <w:i w:val="false"/>
                <w:color w:val="000000"/>
                <w:sz w:val="20"/>
              </w:rPr>
              <w:t xml:space="preserve"> = i</w:t>
            </w:r>
            <w:r>
              <w:rPr>
                <w:rFonts w:ascii="Times New Roman" w:hAnsi="Times New Roman"/>
                <w:b w:val="false"/>
                <w:i w:val="false"/>
                <w:color w:val="000000"/>
                <w:sz w:val="18"/>
                <w:vertAlign w:val="superscript"/>
              </w:rPr>
              <w:t>th</w:t>
            </w:r>
            <w:r>
              <w:rPr>
                <w:rFonts w:ascii="Times New Roman" w:hAnsi="Times New Roman"/>
                <w:b w:val="false"/>
                <w:i w:val="false"/>
                <w:color w:val="000000"/>
                <w:sz w:val="20"/>
              </w:rPr>
              <w:t xml:space="preserve"> observation in sample.</w:t>
            </w:r>
          </w:p>
          <w:p>
            <w:pPr>
              <w:spacing w:before="0" w:after="0"/>
              <w:ind w:left="160"/>
              <w:jc w:val="left"/>
            </w:pPr>
            <w:r>
              <w:rPr>
                <w:rFonts w:ascii="Times New Roman" w:hAnsi="Times New Roman"/>
                <w:b w:val="false"/>
                <w:i w:val="false"/>
                <w:color w:val="000000"/>
                <w:sz w:val="20"/>
              </w:rPr>
              <w:t>n = Number of observations in sample.</w:t>
            </w:r>
          </w:p>
        </w:tc>
      </w:tr>
      <w:tr>
        <w:trPr>
          <w:trHeight w:val="315" w:hRule="atLeast"/>
        </w:trPr>
        <w:tc>
          <w:tcPr>
            <w:tcW w:w="666"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8"/>
              </w:rPr>
              <w:t>c =</w:t>
            </w:r>
          </w:p>
        </w:tc>
        <w:tc>
          <w:tcPr>
            <w:tcW w:w="34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t>
            </w:r>
          </w:p>
        </w:tc>
        <w:tc>
          <w:tcPr>
            <w:tcW w:w="28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3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5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bottom w:val="single" w:color="000000" w:sz="8"/>
            </w:tcBorders>
          </w:tcPr>
          <w:p/>
        </w:tc>
        <w:tc>
          <w:tcPr>
            <w:tcW w:w="0" w:type="auto"/>
            <w:vMerge/>
            <w:tcBorders>
              <w:top w:val="nil"/>
            </w:tcBorders>
          </w:tcP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bottom w:val="single" w:color="000000" w:sz="8"/>
              <w:right w:val="single" w:color="000000" w:sz="8"/>
            </w:tcBorders>
          </w:tcP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r>
              <w:rPr>
                <w:rFonts w:ascii="Times New Roman" w:hAnsi="Times New Roman"/>
                <w:b w:val="false"/>
                <w:i w:val="false"/>
                <w:color w:val="000000"/>
                <w:sz w:val="18"/>
                <w:vertAlign w:val="subscript"/>
              </w:rPr>
              <w:t>i</w:t>
            </w:r>
            <w:r>
              <w:rPr>
                <w:rFonts w:ascii="Times New Roman" w:hAnsi="Times New Roman"/>
                <w:b w:val="false"/>
                <w:i w:val="false"/>
                <w:color w:val="000000"/>
                <w:sz w:val="16"/>
              </w:rPr>
              <w:t xml:space="preserve"> – </w:t>
            </w:r>
            <w:r>
              <w:rPr>
                <w:rFonts w:ascii="Times New Roman" w:hAnsi="Times New Roman"/>
                <w:b w:val="false"/>
                <w:i w:val="false"/>
                <w:color w:val="000000"/>
                <w:sz w:val="16"/>
              </w:rPr>
              <w:t>x</w:t>
            </w:r>
            <w:r>
              <w:rPr>
                <w:rFonts w:ascii="Times New Roman" w:hAnsi="Times New Roman"/>
                <w:b w:val="false"/>
                <w:i w:val="false"/>
                <w:color w:val="000000"/>
                <w:sz w:val="16"/>
              </w:rPr>
              <w:t>)</w:t>
            </w:r>
            <w:r>
              <w:rPr>
                <w:rFonts w:ascii="Times New Roman" w:hAnsi="Times New Roman"/>
                <w:b w:val="false"/>
                <w:i w:val="false"/>
                <w:color w:val="000000"/>
                <w:sz w:val="18"/>
                <w:vertAlign w:val="superscript"/>
              </w:rPr>
              <w:t>2</w:t>
            </w:r>
          </w:p>
        </w:tc>
        <w:tc>
          <w:tcPr>
            <w:tcW w:w="0" w:type="auto"/>
            <w:vMerge/>
            <w:tcBorders>
              <w:top w:val="nil"/>
            </w:tcBorders>
          </w:tcPr>
          <w:p/>
        </w:tc>
        <w:tc>
          <w:tcPr>
            <w:tcW w:w="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tcBorders>
          </w:tcPr>
          <w:p/>
        </w:tc>
        <w:tc>
          <w:tcPr>
            <w:tcW w:w="34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x</w:t>
            </w:r>
          </w:p>
        </w:tc>
        <w:tc>
          <w:tcPr>
            <w:tcW w:w="0" w:type="auto"/>
            <w:vMerge/>
            <w:tcBorders>
              <w:top w:val="nil"/>
            </w:tcBorders>
          </w:tcPr>
          <w:p/>
        </w:tc>
        <w:tc>
          <w:tcPr>
            <w:tcW w:w="32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x</w:t>
            </w:r>
          </w:p>
        </w:tc>
        <w:tc>
          <w:tcPr>
            <w:tcW w:w="15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bottom w:val="single" w:color="000000" w:sz="8"/>
            </w:tcBorders>
          </w:tcPr>
          <w:p/>
        </w:tc>
        <w:tc>
          <w:tcPr>
            <w:tcW w:w="0" w:type="auto"/>
            <w:vMerge/>
            <w:tcBorders>
              <w:top w:val="nil"/>
            </w:tcBorders>
          </w:tcP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bottom w:val="single" w:color="000000" w:sz="8"/>
              <w:right w:val="single" w:color="000000" w:sz="8"/>
            </w:tcBorders>
          </w:tcP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 – 1</w:t>
            </w:r>
          </w:p>
        </w:tc>
        <w:tc>
          <w:tcPr>
            <w:tcW w:w="3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bottom w:val="single" w:color="000000" w:sz="8"/>
            </w:tcBorders>
          </w:tcPr>
          <w:p/>
        </w:tc>
        <w:tc>
          <w:tcPr>
            <w:tcW w:w="0" w:type="auto"/>
            <w:vMerge/>
            <w:tcBorders>
              <w:top w:val="nil"/>
            </w:tcBorders>
          </w:tcP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bottom w:val="single" w:color="000000" w:sz="8"/>
              <w:right w:val="single" w:color="000000" w:sz="8"/>
            </w:tcBorders>
          </w:tcP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r>
      <w:tr>
        <w:trPr>
          <w:trHeight w:val="510" w:hRule="atLeast"/>
        </w:trPr>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“Computed tomography” </w:t>
      </w:r>
      <w:r>
        <w:rPr>
          <w:rFonts w:ascii="Times New Roman" w:hAnsi="Times New Roman"/>
          <w:b w:val="false"/>
          <w:i w:val="false"/>
          <w:color w:val="000000"/>
          <w:sz w:val="22"/>
        </w:rPr>
        <w:t>means the production of a tomogram by the acquisition and computer processing of X-ray transmission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chart” </w:t>
      </w:r>
      <w:r>
        <w:rPr>
          <w:rFonts w:ascii="Times New Roman" w:hAnsi="Times New Roman"/>
          <w:b w:val="false"/>
          <w:i w:val="false"/>
          <w:color w:val="000000"/>
          <w:sz w:val="22"/>
        </w:rPr>
        <w:t>means a chart used to record (and control) the results of quality control testing as a function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limit” </w:t>
      </w:r>
      <w:r>
        <w:rPr>
          <w:rFonts w:ascii="Times New Roman" w:hAnsi="Times New Roman"/>
          <w:b w:val="false"/>
          <w:i w:val="false"/>
          <w:color w:val="000000"/>
          <w:sz w:val="22"/>
        </w:rPr>
        <w:t>means the range of variation on a control chart beyond which action must be taken to correct the results of quality control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panel” </w:t>
      </w:r>
      <w:r>
        <w:rPr>
          <w:rFonts w:ascii="Times New Roman" w:hAnsi="Times New Roman"/>
          <w:b w:val="false"/>
          <w:i w:val="false"/>
          <w:color w:val="000000"/>
          <w:sz w:val="22"/>
        </w:rPr>
        <w:t>(see X-ray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“Cooling curve” </w:t>
      </w:r>
      <w:r>
        <w:rPr>
          <w:rFonts w:ascii="Times New Roman" w:hAnsi="Times New Roman"/>
          <w:b w:val="false"/>
          <w:i w:val="false"/>
          <w:color w:val="000000"/>
          <w:sz w:val="22"/>
        </w:rPr>
        <w:t>means the graphical relationship between heat units stored and cooling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w:t>
      </w:r>
      <w:r>
        <w:rPr>
          <w:rFonts w:ascii="Times New Roman" w:hAnsi="Times New Roman"/>
          <w:b w:val="false"/>
          <w:i w:val="false"/>
          <w:color w:val="000000"/>
          <w:sz w:val="22"/>
        </w:rPr>
        <w:t>(see “Computed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“Dead-man switch” </w:t>
      </w:r>
      <w:r>
        <w:rPr>
          <w:rFonts w:ascii="Times New Roman" w:hAnsi="Times New Roman"/>
          <w:b w:val="false"/>
          <w:i w:val="false"/>
          <w:color w:val="000000"/>
          <w:sz w:val="22"/>
        </w:rPr>
        <w:t>means a switch so constructed that a circuit closing contact can be maintained only by continuous pressure on the switch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“Dedicated mammography equipment” </w:t>
      </w:r>
      <w:r>
        <w:rPr>
          <w:rFonts w:ascii="Times New Roman" w:hAnsi="Times New Roman"/>
          <w:b w:val="false"/>
          <w:i w:val="false"/>
          <w:color w:val="000000"/>
          <w:sz w:val="22"/>
        </w:rPr>
        <w:t>means X-ray systems designed specifically for breast imaging, providing optimum imaging geometry, a device for breast compression and low dose exposure that can generate reproducible images of high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“Densitometer” </w:t>
      </w:r>
      <w:r>
        <w:rPr>
          <w:rFonts w:ascii="Times New Roman" w:hAnsi="Times New Roman"/>
          <w:b w:val="false"/>
          <w:i w:val="false"/>
          <w:color w:val="000000"/>
          <w:sz w:val="22"/>
        </w:rPr>
        <w:t>means an instrument which measures the degree of blackening (or radiographic density) of film due to radiation or light by measuring the ratio of the light intensity incident on the film to the light intensity transmitted by the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“Detents” </w:t>
      </w:r>
      <w:r>
        <w:rPr>
          <w:rFonts w:ascii="Times New Roman" w:hAnsi="Times New Roman"/>
          <w:b w:val="false"/>
          <w:i w:val="false"/>
          <w:color w:val="000000"/>
          <w:sz w:val="22"/>
        </w:rPr>
        <w:t>means mechanical settings that limit or prevent the motion or rotation of an X-ray tube, cassette assembly, or image receptor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“Developer” </w:t>
      </w:r>
      <w:r>
        <w:rPr>
          <w:rFonts w:ascii="Times New Roman" w:hAnsi="Times New Roman"/>
          <w:b w:val="false"/>
          <w:i w:val="false"/>
          <w:color w:val="000000"/>
          <w:sz w:val="22"/>
        </w:rPr>
        <w:t>means a chemical solution (alkaline) that changes the latent image (exposed silver halide crystals) on a film to a visible image composed of minute masses of black metallic silver.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“Developer replenishment” </w:t>
      </w:r>
      <w:r>
        <w:rPr>
          <w:rFonts w:ascii="Times New Roman" w:hAnsi="Times New Roman"/>
          <w:b w:val="false"/>
          <w:i w:val="false"/>
          <w:color w:val="000000"/>
          <w:sz w:val="22"/>
        </w:rPr>
        <w:t>means the process, occurring as film travels past a certain point in the processor, triggering the activation of a pump, whereby fresh developer is added in small amounts to the solution in the developer tank of the processor. The purpose is to maintain the proper alkalinity, chemical activity, and level of solution in the developer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mammography” </w:t>
      </w:r>
      <w:r>
        <w:rPr>
          <w:rFonts w:ascii="Times New Roman" w:hAnsi="Times New Roman"/>
          <w:b w:val="false"/>
          <w:i w:val="false"/>
          <w:color w:val="000000"/>
          <w:sz w:val="22"/>
        </w:rPr>
        <w:t>means mammography performed on an individual who, by virtue of symptoms or physical findings, is considered to have a substantial likelihood of having breast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source assembly” </w:t>
      </w:r>
      <w:r>
        <w:rPr>
          <w:rFonts w:ascii="Times New Roman" w:hAnsi="Times New Roman"/>
          <w:b w:val="false"/>
          <w:i w:val="false"/>
          <w:color w:val="000000"/>
          <w:sz w:val="22"/>
        </w:rPr>
        <w:t>means the tube housing assembly with a beam-limiting device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scattered radiation” </w:t>
      </w:r>
      <w:r>
        <w:rPr>
          <w:rFonts w:ascii="Times New Roman" w:hAnsi="Times New Roman"/>
          <w:b w:val="false"/>
          <w:i w:val="false"/>
          <w:color w:val="000000"/>
          <w:sz w:val="22"/>
        </w:rPr>
        <w:t>means that scattered radiation which has been deviated in direction only by materials irradiated by the useful beam (see “Scattered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“Entrance </w:t>
      </w:r>
      <w:r>
        <w:rPr>
          <w:rFonts w:ascii="Times New Roman" w:hAnsi="Times New Roman"/>
          <w:b w:val="false"/>
          <w:i/>
          <w:color w:val="000000"/>
          <w:sz w:val="22"/>
          <w:u w:val="single"/>
        </w:rPr>
        <w:t>exposure</w:t>
      </w:r>
      <w:r>
        <w:rPr>
          <w:rFonts w:ascii="Times New Roman" w:hAnsi="Times New Roman"/>
          <w:b w:val="false"/>
          <w:i/>
          <w:color w:val="000000"/>
          <w:sz w:val="22"/>
        </w:rPr>
        <w:t xml:space="preserve"> rate” </w:t>
      </w:r>
      <w:r>
        <w:rPr>
          <w:rFonts w:ascii="Times New Roman" w:hAnsi="Times New Roman"/>
          <w:b w:val="false"/>
          <w:i w:val="false"/>
          <w:color w:val="000000"/>
          <w:sz w:val="22"/>
        </w:rPr>
        <w:t>means the exposure free in air per unit time at the point where the center of the useful beam enters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(see “X-ray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emission equipment” </w:t>
      </w:r>
      <w:r>
        <w:rPr>
          <w:rFonts w:ascii="Times New Roman" w:hAnsi="Times New Roman"/>
          <w:b w:val="false"/>
          <w:i w:val="false"/>
          <w:color w:val="000000"/>
          <w:sz w:val="22"/>
        </w:rPr>
        <w:t>means equipment which uses an X-ray tube in which electron emission from the cathode is due solely to the action of an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 </w:t>
      </w:r>
      <w:r>
        <w:rPr>
          <w:rFonts w:ascii="Times New Roman" w:hAnsi="Times New Roman"/>
          <w:b w:val="false"/>
          <w:i w:val="false"/>
          <w:color w:val="000000"/>
          <w:sz w:val="22"/>
        </w:rPr>
        <w:t>means material placed in the useful beam to preferentially absorb selected radiations.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“Fixer” </w:t>
      </w:r>
      <w:r>
        <w:rPr>
          <w:rFonts w:ascii="Times New Roman" w:hAnsi="Times New Roman"/>
          <w:b w:val="false"/>
          <w:i w:val="false"/>
          <w:color w:val="000000"/>
          <w:sz w:val="22"/>
        </w:rPr>
        <w:t>means a chemical solution (acidic) which removes the unexposed and undeveloped silver halide crystals from film so it will not discolor or darken with age or exposure to light. Fixer also hardens the gelatin containing the black metallic silver so film may be dried and resist damage from abrasions.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“Fixer retention” </w:t>
      </w:r>
      <w:r>
        <w:rPr>
          <w:rFonts w:ascii="Times New Roman" w:hAnsi="Times New Roman"/>
          <w:b w:val="false"/>
          <w:i w:val="false"/>
          <w:color w:val="000000"/>
          <w:sz w:val="22"/>
        </w:rPr>
        <w:t>means the inadequate removal of fixer from the film by the water in the wash tank of the processor. Retained fixer causes eventual brown discoloration of the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“Fluoroscopic imaging assembly” </w:t>
      </w:r>
      <w:r>
        <w:rPr>
          <w:rFonts w:ascii="Times New Roman" w:hAnsi="Times New Roman"/>
          <w:b w:val="false"/>
          <w:i w:val="false"/>
          <w:color w:val="000000"/>
          <w:sz w:val="22"/>
        </w:rPr>
        <w:t>means a subsystem in which X-ray photons produce a visual image. It includes the image receptor(s) such as the image intensifier and spot-film device, electrical interlocks, if any, and structural material providing linkage between the image receptor and diagnostic source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“Focal spot (actual)” </w:t>
      </w:r>
      <w:r>
        <w:rPr>
          <w:rFonts w:ascii="Times New Roman" w:hAnsi="Times New Roman"/>
          <w:b w:val="false"/>
          <w:i w:val="false"/>
          <w:color w:val="000000"/>
          <w:sz w:val="22"/>
        </w:rPr>
        <w:t>means the area projected on the anode of the X-ray tube bombarded by the electrons accelerated from the cathode and from which the useful beam originates.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“Focal spot size” </w:t>
      </w:r>
      <w:r>
        <w:rPr>
          <w:rFonts w:ascii="Times New Roman" w:hAnsi="Times New Roman"/>
          <w:b w:val="false"/>
          <w:i w:val="false"/>
          <w:color w:val="000000"/>
          <w:sz w:val="22"/>
        </w:rPr>
        <w:t>means the area of the target or anode that is bombarded by electrons from the cathode of the X-ray tube to produce X-rays. The smaller the focal spot, the better the limited spatial resolution of the X-ray system, especially in magnification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“Fog” </w:t>
      </w:r>
      <w:r>
        <w:rPr>
          <w:rFonts w:ascii="Times New Roman" w:hAnsi="Times New Roman"/>
          <w:b w:val="false"/>
          <w:i w:val="false"/>
          <w:color w:val="000000"/>
          <w:sz w:val="22"/>
        </w:rPr>
        <w:t>means the density added to a radiograph due to unwanted action of the developer on the unexposed silver halide crystals or by light, radiation, chemical, or heat exposure during storage, handling, and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purpose radiographic X-ray system” </w:t>
      </w:r>
      <w:r>
        <w:rPr>
          <w:rFonts w:ascii="Times New Roman" w:hAnsi="Times New Roman"/>
          <w:b w:val="false"/>
          <w:i w:val="false"/>
          <w:color w:val="000000"/>
          <w:sz w:val="22"/>
        </w:rPr>
        <w:t>means any radiographic X-ray system which, by design, is not limited to radiographic examination of specific anatomical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“Gonad shield” </w:t>
      </w:r>
      <w:r>
        <w:rPr>
          <w:rFonts w:ascii="Times New Roman" w:hAnsi="Times New Roman"/>
          <w:b w:val="false"/>
          <w:i w:val="false"/>
          <w:color w:val="000000"/>
          <w:sz w:val="22"/>
        </w:rPr>
        <w:t>means a protective barrier for the testes or ovaries.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“Healing arts screening” </w:t>
      </w:r>
      <w:r>
        <w:rPr>
          <w:rFonts w:ascii="Times New Roman" w:hAnsi="Times New Roman"/>
          <w:b w:val="false"/>
          <w:i w:val="false"/>
          <w:color w:val="000000"/>
          <w:sz w:val="22"/>
        </w:rPr>
        <w:t>means the use of radiation on human beings for the detection or evaluation of health indicators for which the individual is considered at high risk when such tests are not specifically and individually ordered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individual authorized under </w:t>
      </w:r>
      <w:hyperlink r:id="rId11">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licensed as a physician in Iowa and listed as an authorized user on an NRC or agreement state radioactive materials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 unit” </w:t>
      </w:r>
      <w:r>
        <w:rPr>
          <w:rFonts w:ascii="Times New Roman" w:hAnsi="Times New Roman"/>
          <w:b w:val="false"/>
          <w:i w:val="false"/>
          <w:color w:val="000000"/>
          <w:sz w:val="22"/>
        </w:rPr>
        <w:t>means a unit of energy equal to the product of the peak kilovoltage, milliamperes, and seconds, i.e., kVp × mA ×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contrast” </w:t>
      </w:r>
      <w:r>
        <w:rPr>
          <w:rFonts w:ascii="Times New Roman" w:hAnsi="Times New Roman"/>
          <w:b w:val="false"/>
          <w:i w:val="false"/>
          <w:color w:val="000000"/>
          <w:sz w:val="22"/>
        </w:rPr>
        <w:t>means the amount of radiographic density difference between adjacent areas resulting from a fixed amount of attentuation difference or light exposure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intensifier” </w:t>
      </w:r>
      <w:r>
        <w:rPr>
          <w:rFonts w:ascii="Times New Roman" w:hAnsi="Times New Roman"/>
          <w:b w:val="false"/>
          <w:i w:val="false"/>
          <w:color w:val="000000"/>
          <w:sz w:val="22"/>
        </w:rPr>
        <w:t>means a device, installed in its housing, which instantaneously converts an X-ray pattern into a corresponding light image of higher energy intensity.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noise” </w:t>
      </w:r>
      <w:r>
        <w:rPr>
          <w:rFonts w:ascii="Times New Roman" w:hAnsi="Times New Roman"/>
          <w:b w:val="false"/>
          <w:i w:val="false"/>
          <w:color w:val="000000"/>
          <w:sz w:val="22"/>
        </w:rPr>
        <w:t>See “Radiographic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quality” </w:t>
      </w:r>
      <w:r>
        <w:rPr>
          <w:rFonts w:ascii="Times New Roman" w:hAnsi="Times New Roman"/>
          <w:b w:val="false"/>
          <w:i w:val="false"/>
          <w:color w:val="000000"/>
          <w:sz w:val="22"/>
        </w:rPr>
        <w:t>means the overall clarity and detail of a radiographic image. Limiting spatial resolution (or resolving power), image sharpness, and image contrast are three common measures of image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receptor” </w:t>
      </w:r>
      <w:r>
        <w:rPr>
          <w:rFonts w:ascii="Times New Roman" w:hAnsi="Times New Roman"/>
          <w:b w:val="false"/>
          <w:i w:val="false"/>
          <w:color w:val="000000"/>
          <w:sz w:val="22"/>
        </w:rPr>
        <w:t>means any device, such as a fluorescent screen or radiographic film, which transforms incident X-ray photons either into a visible image or into another form which can be made into a visible image by further transformations.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sharpness” </w:t>
      </w:r>
      <w:r>
        <w:rPr>
          <w:rFonts w:ascii="Times New Roman" w:hAnsi="Times New Roman"/>
          <w:b w:val="false"/>
          <w:i w:val="false"/>
          <w:color w:val="000000"/>
          <w:sz w:val="22"/>
        </w:rPr>
        <w:t>means the overall impression of detail and clarity in a radiographic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“Inherent filtration” </w:t>
      </w:r>
      <w:r>
        <w:rPr>
          <w:rFonts w:ascii="Times New Roman" w:hAnsi="Times New Roman"/>
          <w:b w:val="false"/>
          <w:i w:val="false"/>
          <w:color w:val="000000"/>
          <w:sz w:val="22"/>
        </w:rPr>
        <w:t>means the filtration of the useful beam provided by the permanently installed components of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“Kilovolts peak” </w:t>
      </w:r>
      <w:r>
        <w:rPr>
          <w:rFonts w:ascii="Times New Roman" w:hAnsi="Times New Roman"/>
          <w:b w:val="false"/>
          <w:i w:val="false"/>
          <w:color w:val="000000"/>
          <w:sz w:val="22"/>
        </w:rPr>
        <w:t>(see “Peak tube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“kVp” </w:t>
      </w:r>
      <w:r>
        <w:rPr>
          <w:rFonts w:ascii="Times New Roman" w:hAnsi="Times New Roman"/>
          <w:b w:val="false"/>
          <w:i w:val="false"/>
          <w:color w:val="000000"/>
          <w:sz w:val="22"/>
        </w:rPr>
        <w:t>(see “Peak tube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“kWs” </w:t>
      </w:r>
      <w:r>
        <w:rPr>
          <w:rFonts w:ascii="Times New Roman" w:hAnsi="Times New Roman"/>
          <w:b w:val="false"/>
          <w:i w:val="false"/>
          <w:color w:val="000000"/>
          <w:sz w:val="22"/>
        </w:rPr>
        <w:t>means kilowatt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“Leakage technique factors” </w:t>
      </w:r>
      <w:r>
        <w:rPr>
          <w:rFonts w:ascii="Times New Roman" w:hAnsi="Times New Roman"/>
          <w:b w:val="false"/>
          <w:i w:val="false"/>
          <w:color w:val="000000"/>
          <w:sz w:val="22"/>
        </w:rPr>
        <w:t>means the technique factors associated with the diagnostic or therapeutic source assembly which are used in measuring leakage radiation. They are defined as follows: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For diagnostic source assemblies intended for capacitor energy storage equipment, the maximum- rated peak tube potential and the maximum-rated number of exposures in an hour for operation at the maximum-rated peak tube potential with the quantity of charge per exposure being 10 millicoulombs, i.e., 10 milliampere seconds, or the minimum obtainable from the unit, whichever is larger.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For diagnostic source assemblies intended for field emission equipment rated for pulsed operation, the maximum-rated peak tube potential and the maximum-rated number of X-ray pulses in an hour for operation at the maximum-rated peak tube potential.</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For all other diagnostic or therapeutic source assemblies, the maximum-rated peak tube potential and the maximum-rated continuous tube current for the maximum-rated peak tube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“Linear attenuation coefficient” </w:t>
      </w:r>
      <w:r>
        <w:rPr>
          <w:rFonts w:ascii="Times New Roman" w:hAnsi="Times New Roman"/>
          <w:b w:val="false"/>
          <w:i w:val="false"/>
          <w:color w:val="000000"/>
          <w:sz w:val="22"/>
        </w:rPr>
        <w:t>or “µ” means the quotient of dN/N divided by dl when dN/N is the fraction of uncharged ionizing radiation that experience interactions in traversing a distance dl in a specified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“Line-voltage regulation” </w:t>
      </w:r>
      <w:r>
        <w:rPr>
          <w:rFonts w:ascii="Times New Roman" w:hAnsi="Times New Roman"/>
          <w:b w:val="false"/>
          <w:i w:val="false"/>
          <w:color w:val="000000"/>
          <w:sz w:val="22"/>
        </w:rPr>
        <w:t>means the difference between the no-load and the load line potentials expressed as a percent of the load line potential. It is calculated using the following equation:</w:t>
      </w:r>
    </w:p>
    <w:p>
      <w:pPr>
        <w:spacing w:before="0" w:after="0"/>
        <w:ind w:left="120"/>
        <w:jc w:val="both"/>
      </w:pPr>
      <w:r>
        <w:rPr>
          <w:rFonts w:ascii="Times New Roman" w:hAnsi="Times New Roman"/>
          <w:b w:val="false"/>
          <w:i w:val="false"/>
          <w:color w:val="000000"/>
          <w:sz w:val="22"/>
        </w:rPr>
        <w:t>Percent line-voltage regulation = 100 (V</w:t>
      </w:r>
      <w:r>
        <w:rPr>
          <w:rFonts w:ascii="Times New Roman" w:hAnsi="Times New Roman"/>
          <w:b w:val="false"/>
          <w:i w:val="false"/>
          <w:color w:val="000000"/>
          <w:sz w:val="18"/>
          <w:vertAlign w:val="subscript"/>
        </w:rPr>
        <w:t>n</w:t>
      </w:r>
      <w:r>
        <w:rPr>
          <w:rFonts w:ascii="Times New Roman" w:hAnsi="Times New Roman"/>
          <w:b w:val="false"/>
          <w:i w:val="false"/>
          <w:color w:val="000000"/>
          <w:sz w:val="22"/>
        </w:rPr>
        <w:t>-V</w:t>
      </w:r>
      <w:r>
        <w:rPr>
          <w:rFonts w:ascii="Times New Roman" w:hAnsi="Times New Roman"/>
          <w:b w:val="false"/>
          <w:i w:val="false"/>
          <w:color w:val="000000"/>
          <w:sz w:val="18"/>
          <w:vertAlign w:val="subscript"/>
        </w:rPr>
        <w:t>l</w:t>
      </w:r>
      <w:r>
        <w:rPr>
          <w:rFonts w:ascii="Times New Roman" w:hAnsi="Times New Roman"/>
          <w:b w:val="false"/>
          <w:i w:val="false"/>
          <w:color w:val="000000"/>
          <w:sz w:val="22"/>
        </w:rPr>
        <w:t>)/V</w:t>
      </w:r>
      <w:r>
        <w:rPr>
          <w:rFonts w:ascii="Times New Roman" w:hAnsi="Times New Roman"/>
          <w:b w:val="false"/>
          <w:i w:val="false"/>
          <w:color w:val="000000"/>
          <w:sz w:val="18"/>
          <w:vertAlign w:val="subscript"/>
        </w:rPr>
        <w:t>l</w:t>
      </w:r>
    </w:p>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V</w:t>
      </w:r>
      <w:r>
        <w:rPr>
          <w:rFonts w:ascii="Times New Roman" w:hAnsi="Times New Roman"/>
          <w:b w:val="false"/>
          <w:i w:val="false"/>
          <w:color w:val="000000"/>
          <w:sz w:val="18"/>
          <w:vertAlign w:val="subscript"/>
        </w:rPr>
        <w:t xml:space="preserve">n </w:t>
      </w:r>
      <w:r>
        <w:rPr>
          <w:rFonts w:ascii="Times New Roman" w:hAnsi="Times New Roman"/>
          <w:b w:val="false"/>
          <w:i w:val="false"/>
          <w:color w:val="000000"/>
          <w:sz w:val="22"/>
        </w:rPr>
        <w:t>= No-load line potential and</w:t>
      </w:r>
    </w:p>
    <w:p>
      <w:pPr>
        <w:spacing w:before="0" w:after="0"/>
        <w:ind w:left="120"/>
        <w:jc w:val="both"/>
      </w:pPr>
      <w:r>
        <w:rPr>
          <w:rFonts w:ascii="Times New Roman" w:hAnsi="Times New Roman"/>
          <w:b w:val="false"/>
          <w:i w:val="false"/>
          <w:color w:val="000000"/>
          <w:sz w:val="22"/>
        </w:rPr>
        <w:t>V</w:t>
      </w:r>
      <w:r>
        <w:rPr>
          <w:rFonts w:ascii="Times New Roman" w:hAnsi="Times New Roman"/>
          <w:b w:val="false"/>
          <w:i w:val="false"/>
          <w:color w:val="000000"/>
          <w:sz w:val="18"/>
          <w:vertAlign w:val="subscript"/>
        </w:rPr>
        <w:t>l</w:t>
      </w:r>
      <w:r>
        <w:rPr>
          <w:rFonts w:ascii="Times New Roman" w:hAnsi="Times New Roman"/>
          <w:b w:val="false"/>
          <w:i w:val="false"/>
          <w:color w:val="000000"/>
          <w:sz w:val="22"/>
        </w:rPr>
        <w:t xml:space="preserve"> = Load line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 </w:t>
      </w:r>
      <w:r>
        <w:rPr>
          <w:rFonts w:ascii="Times New Roman" w:hAnsi="Times New Roman"/>
          <w:b w:val="false"/>
          <w:i w:val="false"/>
          <w:color w:val="000000"/>
          <w:sz w:val="22"/>
        </w:rPr>
        <w:t>means milliampere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line current” </w:t>
      </w:r>
      <w:r>
        <w:rPr>
          <w:rFonts w:ascii="Times New Roman" w:hAnsi="Times New Roman"/>
          <w:b w:val="false"/>
          <w:i w:val="false"/>
          <w:color w:val="000000"/>
          <w:sz w:val="22"/>
        </w:rPr>
        <w:t>means the root-mean-square current in the supply line of an X-ray machine operating at its maximum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X-ray equipment” </w:t>
      </w:r>
      <w:r>
        <w:rPr>
          <w:rFonts w:ascii="Times New Roman" w:hAnsi="Times New Roman"/>
          <w:b w:val="false"/>
          <w:i w:val="false"/>
          <w:color w:val="000000"/>
          <w:sz w:val="22"/>
        </w:rPr>
        <w:t>(see “X-ray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“PBL” </w:t>
      </w:r>
      <w:r>
        <w:rPr>
          <w:rFonts w:ascii="Times New Roman" w:hAnsi="Times New Roman"/>
          <w:b w:val="false"/>
          <w:i w:val="false"/>
          <w:color w:val="000000"/>
          <w:sz w:val="22"/>
        </w:rPr>
        <w:t>(see “Positive beam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“Phototimer” </w:t>
      </w:r>
      <w:r>
        <w:rPr>
          <w:rFonts w:ascii="Times New Roman" w:hAnsi="Times New Roman"/>
          <w:b w:val="false"/>
          <w:i w:val="false"/>
          <w:color w:val="000000"/>
          <w:sz w:val="22"/>
        </w:rPr>
        <w:t xml:space="preserve">means a method for controlling radiation </w:t>
      </w:r>
      <w:r>
        <w:rPr>
          <w:rFonts w:ascii="Times New Roman" w:hAnsi="Times New Roman"/>
          <w:b w:val="false"/>
          <w:i w:val="false"/>
          <w:color w:val="000000"/>
          <w:sz w:val="22"/>
          <w:u w:val="single"/>
        </w:rPr>
        <w:t>exposures</w:t>
      </w:r>
      <w:r>
        <w:rPr>
          <w:rFonts w:ascii="Times New Roman" w:hAnsi="Times New Roman"/>
          <w:b w:val="false"/>
          <w:i w:val="false"/>
          <w:color w:val="000000"/>
          <w:sz w:val="22"/>
        </w:rPr>
        <w:t xml:space="preserve"> to image receptors by the amount of radiation which reaches a radiation-monitoring device(s). The radiation-monitoring device(s) is part of an electronic circuit which controls the duration of time the tube is activated (see “Automatic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“PID” </w:t>
      </w:r>
      <w:r>
        <w:rPr>
          <w:rFonts w:ascii="Times New Roman" w:hAnsi="Times New Roman"/>
          <w:b w:val="false"/>
          <w:i w:val="false"/>
          <w:color w:val="000000"/>
          <w:sz w:val="22"/>
        </w:rPr>
        <w:t>(see “Position indicating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“Portable X-ray equipment” </w:t>
      </w:r>
      <w:r>
        <w:rPr>
          <w:rFonts w:ascii="Times New Roman" w:hAnsi="Times New Roman"/>
          <w:b w:val="false"/>
          <w:i w:val="false"/>
          <w:color w:val="000000"/>
          <w:sz w:val="22"/>
        </w:rPr>
        <w:t>(see “X-ray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“Position indicating device” </w:t>
      </w:r>
      <w:r>
        <w:rPr>
          <w:rFonts w:ascii="Times New Roman" w:hAnsi="Times New Roman"/>
          <w:b w:val="false"/>
          <w:i w:val="false"/>
          <w:color w:val="000000"/>
          <w:sz w:val="22"/>
        </w:rPr>
        <w:t>means a device on dental X-ray equipment used to indicate the beam position and to establish a definite source-surface (skin) distance. It may or may not incorporate or serve as a beam-limiting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beam limitation” </w:t>
      </w:r>
      <w:r>
        <w:rPr>
          <w:rFonts w:ascii="Times New Roman" w:hAnsi="Times New Roman"/>
          <w:b w:val="false"/>
          <w:i w:val="false"/>
          <w:color w:val="000000"/>
          <w:sz w:val="22"/>
        </w:rPr>
        <w:t>means the automatic or semiautomatic adjustment of an X-ray beam to the size of the selected image receptor, whereby exposures cannot be made without such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“Processor” </w:t>
      </w:r>
      <w:r>
        <w:rPr>
          <w:rFonts w:ascii="Times New Roman" w:hAnsi="Times New Roman"/>
          <w:b w:val="false"/>
          <w:i w:val="false"/>
          <w:color w:val="000000"/>
          <w:sz w:val="22"/>
        </w:rPr>
        <w:t>means an automated device which transports film in a controlled manner by a system of rollers through specialized sections where developing, fixing, washing, and drying of the film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“Protective apron” </w:t>
      </w:r>
      <w:r>
        <w:rPr>
          <w:rFonts w:ascii="Times New Roman" w:hAnsi="Times New Roman"/>
          <w:b w:val="false"/>
          <w:i w:val="false"/>
          <w:color w:val="000000"/>
          <w:sz w:val="22"/>
        </w:rPr>
        <w:t>means an apron made of radiation-absorbing materials used to reduce radiation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“Protective glove” </w:t>
      </w:r>
      <w:r>
        <w:rPr>
          <w:rFonts w:ascii="Times New Roman" w:hAnsi="Times New Roman"/>
          <w:b w:val="false"/>
          <w:i w:val="false"/>
          <w:color w:val="000000"/>
          <w:sz w:val="22"/>
        </w:rPr>
        <w:t>means a glove made of radiation-absorbing materials used to reduce radiation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means the overall program of testing and maintaining the highest possible standards of quality in the acquisition and interpretation of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control” </w:t>
      </w:r>
      <w:r>
        <w:rPr>
          <w:rFonts w:ascii="Times New Roman" w:hAnsi="Times New Roman"/>
          <w:b w:val="false"/>
          <w:i w:val="false"/>
          <w:color w:val="000000"/>
          <w:sz w:val="22"/>
        </w:rPr>
        <w:t>means the actual process of testing and maintaining the highest possible standards of quality in equipment performance and the acquisition and interpretation of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simulation system” </w:t>
      </w:r>
      <w:r>
        <w:rPr>
          <w:rFonts w:ascii="Times New Roman" w:hAnsi="Times New Roman"/>
          <w:b w:val="false"/>
          <w:i w:val="false"/>
          <w:color w:val="000000"/>
          <w:sz w:val="22"/>
        </w:rPr>
        <w:t>means a radiographic or fluoroscopic X-ray system intended for localizing the volume to be exposed during radiation therapy and confirming the position and size of the therapeutic irradiation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 </w:t>
      </w:r>
      <w:r>
        <w:rPr>
          <w:rFonts w:ascii="Times New Roman" w:hAnsi="Times New Roman"/>
          <w:b w:val="false"/>
          <w:i w:val="false"/>
          <w:color w:val="000000"/>
          <w:sz w:val="22"/>
        </w:rPr>
        <w:t>means an image receptor on which the image is created directly or indirectly by an X-ray pattern and results in a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contrast” </w:t>
      </w:r>
      <w:r>
        <w:rPr>
          <w:rFonts w:ascii="Times New Roman" w:hAnsi="Times New Roman"/>
          <w:b w:val="false"/>
          <w:i w:val="false"/>
          <w:color w:val="000000"/>
          <w:sz w:val="22"/>
        </w:rPr>
        <w:t>means the magnitude of optical density difference between structures of interest and their surroundings, or between areas of film receiving different amount of X-ray or visible light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noise” </w:t>
      </w:r>
      <w:r>
        <w:rPr>
          <w:rFonts w:ascii="Times New Roman" w:hAnsi="Times New Roman"/>
          <w:b w:val="false"/>
          <w:i w:val="false"/>
          <w:color w:val="000000"/>
          <w:sz w:val="22"/>
        </w:rPr>
        <w:t>means unwanted fluctuations in optical density on the screen-film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“Rating” </w:t>
      </w:r>
      <w:r>
        <w:rPr>
          <w:rFonts w:ascii="Times New Roman" w:hAnsi="Times New Roman"/>
          <w:b w:val="false"/>
          <w:i w:val="false"/>
          <w:color w:val="000000"/>
          <w:sz w:val="22"/>
        </w:rPr>
        <w:t>means the operating limits as specified by the component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“Recording” </w:t>
      </w:r>
      <w:r>
        <w:rPr>
          <w:rFonts w:ascii="Times New Roman" w:hAnsi="Times New Roman"/>
          <w:b w:val="false"/>
          <w:i w:val="false"/>
          <w:color w:val="000000"/>
          <w:sz w:val="22"/>
        </w:rPr>
        <w:t>means producing a permanent form of an image resulting from X-ray photons.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“Repeat (or reject) analysis” </w:t>
      </w:r>
      <w:r>
        <w:rPr>
          <w:rFonts w:ascii="Times New Roman" w:hAnsi="Times New Roman"/>
          <w:b w:val="false"/>
          <w:i w:val="false"/>
          <w:color w:val="000000"/>
          <w:sz w:val="22"/>
        </w:rPr>
        <w:t>means a systematic approach to determine the causes for radiographs being discarded or repeated,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“Replenishment rate” </w:t>
      </w:r>
      <w:r>
        <w:rPr>
          <w:rFonts w:ascii="Times New Roman" w:hAnsi="Times New Roman"/>
          <w:b w:val="false"/>
          <w:i w:val="false"/>
          <w:color w:val="000000"/>
          <w:sz w:val="22"/>
        </w:rPr>
        <w:t>means the amount of chemicals added in order to maintain the proper chemical activity of developer and fixer solutions.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“Response time” </w:t>
      </w:r>
      <w:r>
        <w:rPr>
          <w:rFonts w:ascii="Times New Roman" w:hAnsi="Times New Roman"/>
          <w:b w:val="false"/>
          <w:i w:val="false"/>
          <w:color w:val="000000"/>
          <w:sz w:val="22"/>
        </w:rPr>
        <w:t>means the time required for an instrument system to reach 90 percent of its final reading when the radiation-sensitive volume of the instrument system is exposed to a step change in radiation flux from zero sufficient to provide a steady state midscale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“Safelight” </w:t>
      </w:r>
      <w:r>
        <w:rPr>
          <w:rFonts w:ascii="Times New Roman" w:hAnsi="Times New Roman"/>
          <w:b w:val="false"/>
          <w:i w:val="false"/>
          <w:color w:val="000000"/>
          <w:sz w:val="22"/>
        </w:rPr>
        <w:t>means a source of minimal visible light in a darkroom, produced at frequencies (colors) to which the film is insensitive, protecting the film from unwanted exposure (fog) while allowing personnel to function more efficiently and safely.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 </w:t>
      </w:r>
      <w:r>
        <w:rPr>
          <w:rFonts w:ascii="Times New Roman" w:hAnsi="Times New Roman"/>
          <w:b w:val="false"/>
          <w:i w:val="false"/>
          <w:color w:val="000000"/>
          <w:sz w:val="22"/>
        </w:rPr>
        <w:t>means microscopic phosphor crystals on a plastic support used in conjunction with either single or double emulsion film; the screen emits visible light when exposed to X-radiation, creating a latent image on X-ray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“Screen-film combination” </w:t>
      </w:r>
      <w:r>
        <w:rPr>
          <w:rFonts w:ascii="Times New Roman" w:hAnsi="Times New Roman"/>
          <w:b w:val="false"/>
          <w:i w:val="false"/>
          <w:color w:val="000000"/>
          <w:sz w:val="22"/>
        </w:rPr>
        <w:t>means a particular intensifying screen used with a particular type of film. Care must be taken to match the number of screens (one or two) to the number of emulsions coating the film and to match the light output spectrum of the screen to the light sensitivity of the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“Screen-film contact” </w:t>
      </w:r>
      <w:r>
        <w:rPr>
          <w:rFonts w:ascii="Times New Roman" w:hAnsi="Times New Roman"/>
          <w:b w:val="false"/>
          <w:i w:val="false"/>
          <w:color w:val="000000"/>
          <w:sz w:val="22"/>
        </w:rPr>
        <w:t>means the close proximity of the intensifying screen to the emulsion of the film, necessary in order to achieve a sharp image on the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“Sensitometer” </w:t>
      </w:r>
      <w:r>
        <w:rPr>
          <w:rFonts w:ascii="Times New Roman" w:hAnsi="Times New Roman"/>
          <w:b w:val="false"/>
          <w:i w:val="false"/>
          <w:color w:val="000000"/>
          <w:sz w:val="22"/>
        </w:rPr>
        <w:t>means a device used to reproducibly expose a piece of film to a number of different levels of light intensity.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“Sensitometric strip” </w:t>
      </w:r>
      <w:r>
        <w:rPr>
          <w:rFonts w:ascii="Times New Roman" w:hAnsi="Times New Roman"/>
          <w:b w:val="false"/>
          <w:i w:val="false"/>
          <w:color w:val="000000"/>
          <w:sz w:val="22"/>
        </w:rPr>
        <w:t>means a sheet of film exposed by a sensitometer, resulting in a gray scale range. Such strips are used to measure the range of densities, from minimum to maximum, resulting from a reproducible set of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“Sensitometry” </w:t>
      </w:r>
      <w:r>
        <w:rPr>
          <w:rFonts w:ascii="Times New Roman" w:hAnsi="Times New Roman"/>
          <w:b w:val="false"/>
          <w:i w:val="false"/>
          <w:color w:val="000000"/>
          <w:sz w:val="22"/>
        </w:rPr>
        <w:t>means a quantitative measurement of the response of film to exposure and development. Sensitometry is used to test the processor setup and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“SID” </w:t>
      </w:r>
      <w:r>
        <w:rPr>
          <w:rFonts w:ascii="Times New Roman" w:hAnsi="Times New Roman"/>
          <w:b w:val="false"/>
          <w:i w:val="false"/>
          <w:color w:val="000000"/>
          <w:sz w:val="22"/>
        </w:rPr>
        <w:t>(see “Source-image receptor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w:t>
      </w:r>
      <w:r>
        <w:rPr>
          <w:rFonts w:ascii="Times New Roman" w:hAnsi="Times New Roman"/>
          <w:b w:val="false"/>
          <w:i w:val="false"/>
          <w:color w:val="000000"/>
          <w:sz w:val="22"/>
        </w:rPr>
        <w:t>means the focal spot of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“Source-image receptor distance” </w:t>
      </w:r>
      <w:r>
        <w:rPr>
          <w:rFonts w:ascii="Times New Roman" w:hAnsi="Times New Roman"/>
          <w:b w:val="false"/>
          <w:i w:val="false"/>
          <w:color w:val="000000"/>
          <w:sz w:val="22"/>
        </w:rPr>
        <w:t>means the distance from the source to the center of the input surface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“Spot check” </w:t>
      </w:r>
      <w:r>
        <w:rPr>
          <w:rFonts w:ascii="Times New Roman" w:hAnsi="Times New Roman"/>
          <w:b w:val="false"/>
          <w:i w:val="false"/>
          <w:color w:val="000000"/>
          <w:sz w:val="22"/>
        </w:rPr>
        <w:t>means a procedure which is performed to ensure that a previous calibration continues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“Spot film” </w:t>
      </w:r>
      <w:r>
        <w:rPr>
          <w:rFonts w:ascii="Times New Roman" w:hAnsi="Times New Roman"/>
          <w:b w:val="false"/>
          <w:i w:val="false"/>
          <w:color w:val="000000"/>
          <w:sz w:val="22"/>
        </w:rPr>
        <w:t>means a radiograph which is made during a fluoroscopic examination to permanently record conditions which exist during that fluoroscopic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“Spot-film device” </w:t>
      </w:r>
      <w:r>
        <w:rPr>
          <w:rFonts w:ascii="Times New Roman" w:hAnsi="Times New Roman"/>
          <w:b w:val="false"/>
          <w:i w:val="false"/>
          <w:color w:val="000000"/>
          <w:sz w:val="22"/>
        </w:rPr>
        <w:t>means a device intended to transport or position a radiographic image receptor between the X-ray source and fluoroscopic image receptor. It includes a device intended to hold a cassette over the input end of an image intensifier for the purpose of making a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X-ray equipment” </w:t>
      </w:r>
      <w:r>
        <w:rPr>
          <w:rFonts w:ascii="Times New Roman" w:hAnsi="Times New Roman"/>
          <w:b w:val="false"/>
          <w:i w:val="false"/>
          <w:color w:val="000000"/>
          <w:sz w:val="22"/>
        </w:rPr>
        <w:t>(see “X-ray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“Technique factors” </w:t>
      </w:r>
      <w:r>
        <w:rPr>
          <w:rFonts w:ascii="Times New Roman" w:hAnsi="Times New Roman"/>
          <w:b w:val="false"/>
          <w:i w:val="false"/>
          <w:color w:val="000000"/>
          <w:sz w:val="22"/>
        </w:rPr>
        <w:t>means the following conditions of operation: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For capacitor energy storage equipment, peak tube potential in kV and quantity of charge in mAs;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For field emission equipment rated for pulsed operation, peak tube potential in kV, and number of X-ray pulses;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For CT X-ray systems designed for pulsed operation, peak tube potential in kV, scan time in seconds, and either tube current in mA, X-ray pulse width in seconds, and the number of X-ray pulses per scan, or the product of tube current, X-ray pulse width, and the number of X-ray pulses in mAs;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For CT X-ray systems not designed for pulsed operation, peak tube potential in kV, and either tube current in mA and scan time in seconds, or the product of tube current and exposure time in mAs and the scan time when the scan time and exposure time are equivalent; and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For all other equipment, peak tube potential in kV, and either tube current in mA and exposure time in seconds, or the product of tube current and exposure time in 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“Tomogram” </w:t>
      </w:r>
      <w:r>
        <w:rPr>
          <w:rFonts w:ascii="Times New Roman" w:hAnsi="Times New Roman"/>
          <w:b w:val="false"/>
          <w:i w:val="false"/>
          <w:color w:val="000000"/>
          <w:sz w:val="22"/>
        </w:rPr>
        <w:t>means the depiction of the X-ray attenuation properties of a section through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 rating chart” </w:t>
      </w:r>
      <w:r>
        <w:rPr>
          <w:rFonts w:ascii="Times New Roman" w:hAnsi="Times New Roman"/>
          <w:b w:val="false"/>
          <w:i w:val="false"/>
          <w:color w:val="000000"/>
          <w:sz w:val="22"/>
        </w:rPr>
        <w:t>means the set of curves which specify the rated limits of operation of the tube in terms of the technique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“Useful beam” </w:t>
      </w:r>
      <w:r>
        <w:rPr>
          <w:rFonts w:ascii="Times New Roman" w:hAnsi="Times New Roman"/>
          <w:b w:val="false"/>
          <w:i w:val="false"/>
          <w:color w:val="000000"/>
          <w:sz w:val="22"/>
        </w:rPr>
        <w:t>means the radiation emanating from the tube housing port or the radiation head and passing through the aperture of the beam-limiting device when the exposure controls are in a mode to cause the system to produce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“Variable-aperture beam-limiting device” </w:t>
      </w:r>
      <w:r>
        <w:rPr>
          <w:rFonts w:ascii="Times New Roman" w:hAnsi="Times New Roman"/>
          <w:b w:val="false"/>
          <w:i w:val="false"/>
          <w:color w:val="000000"/>
          <w:sz w:val="22"/>
        </w:rPr>
        <w:t>means a beam-limiting device which has capacity for stepless adjustment of the X-ray field size at a given 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“Viewbox” </w:t>
      </w:r>
      <w:r>
        <w:rPr>
          <w:rFonts w:ascii="Times New Roman" w:hAnsi="Times New Roman"/>
          <w:b w:val="false"/>
          <w:i w:val="false"/>
          <w:color w:val="000000"/>
          <w:sz w:val="22"/>
        </w:rPr>
        <w:t>means a device by which a uniform field of white light is transmitted through an X-ray so that the image on the film may be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“Visible area” </w:t>
      </w:r>
      <w:r>
        <w:rPr>
          <w:rFonts w:ascii="Times New Roman" w:hAnsi="Times New Roman"/>
          <w:b w:val="false"/>
          <w:i w:val="false"/>
          <w:color w:val="000000"/>
          <w:sz w:val="22"/>
        </w:rPr>
        <w:t>means that portion of the input surface of the image receptor over which incident X-ray photons are producing a visible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control panel” </w:t>
      </w:r>
      <w:r>
        <w:rPr>
          <w:rFonts w:ascii="Times New Roman" w:hAnsi="Times New Roman"/>
          <w:b w:val="false"/>
          <w:i w:val="false"/>
          <w:color w:val="000000"/>
          <w:sz w:val="22"/>
        </w:rPr>
        <w:t>means a device which controls input power to the X-ray high-voltage generator and the X-ray tube. It includes equipment such as timers, phototimers, automatic brightness stabilizers, and similar devices, which control the technique factors of an X-ray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equipment” </w:t>
      </w:r>
      <w:r>
        <w:rPr>
          <w:rFonts w:ascii="Times New Roman" w:hAnsi="Times New Roman"/>
          <w:b w:val="false"/>
          <w:i w:val="false"/>
          <w:color w:val="000000"/>
          <w:sz w:val="22"/>
        </w:rPr>
        <w:t>means an X-ray system, subsystem, or component thereof. Types of X-ray equipment are as follows:</w:t>
      </w:r>
    </w:p>
    <w:p>
      <w:pPr>
        <w:spacing w:before="0" w:after="0"/>
        <w:ind w:left="120"/>
        <w:jc w:val="both"/>
      </w:pPr>
      <w:r>
        <w:rPr>
          <w:rFonts w:ascii="Times New Roman" w:hAnsi="Times New Roman"/>
          <w:b w:val="false"/>
          <w:i/>
          <w:color w:val="000000"/>
          <w:sz w:val="22"/>
        </w:rPr>
        <w:t>a.</w:t>
      </w:r>
      <w:r>
        <w:rPr>
          <w:rFonts w:ascii="Times New Roman" w:hAnsi="Times New Roman"/>
          <w:b w:val="false"/>
          <w:i/>
          <w:color w:val="000000"/>
          <w:sz w:val="22"/>
        </w:rPr>
        <w:t>“Mobile X-ray equipment”</w:t>
      </w:r>
      <w:r>
        <w:rPr>
          <w:rFonts w:ascii="Times New Roman" w:hAnsi="Times New Roman"/>
          <w:b w:val="false"/>
          <w:i w:val="false"/>
          <w:color w:val="000000"/>
          <w:sz w:val="22"/>
        </w:rPr>
        <w:t xml:space="preserve"> means X-ray equipment mounted on a permanent base with wheels or casters for moving while completely assembled.</w:t>
      </w:r>
    </w:p>
    <w:p>
      <w:pPr>
        <w:spacing w:before="0" w:after="0"/>
        <w:ind w:left="120"/>
        <w:jc w:val="both"/>
      </w:pPr>
      <w:r>
        <w:rPr>
          <w:rFonts w:ascii="Times New Roman" w:hAnsi="Times New Roman"/>
          <w:b w:val="false"/>
          <w:i/>
          <w:color w:val="000000"/>
          <w:sz w:val="22"/>
        </w:rPr>
        <w:t>b.</w:t>
      </w:r>
      <w:r>
        <w:rPr>
          <w:rFonts w:ascii="Times New Roman" w:hAnsi="Times New Roman"/>
          <w:b w:val="false"/>
          <w:i/>
          <w:color w:val="000000"/>
          <w:sz w:val="22"/>
        </w:rPr>
        <w:t>“Portable X-ray equipment”</w:t>
      </w:r>
      <w:r>
        <w:rPr>
          <w:rFonts w:ascii="Times New Roman" w:hAnsi="Times New Roman"/>
          <w:b w:val="false"/>
          <w:i w:val="false"/>
          <w:color w:val="000000"/>
          <w:sz w:val="22"/>
        </w:rPr>
        <w:t xml:space="preserve"> means X-ray equipment designed to be hand-carried but used with a tripod or other stabilization mechanism so the operator is not holding the equipment during exposure.</w:t>
      </w:r>
    </w:p>
    <w:p>
      <w:pPr>
        <w:spacing w:before="0" w:after="0"/>
        <w:ind w:left="120"/>
        <w:jc w:val="both"/>
      </w:pPr>
      <w:r>
        <w:rPr>
          <w:rFonts w:ascii="Times New Roman" w:hAnsi="Times New Roman"/>
          <w:b w:val="false"/>
          <w:i/>
          <w:color w:val="000000"/>
          <w:sz w:val="22"/>
        </w:rPr>
        <w:t>c.</w:t>
      </w:r>
      <w:r>
        <w:rPr>
          <w:rFonts w:ascii="Times New Roman" w:hAnsi="Times New Roman"/>
          <w:b w:val="false"/>
          <w:i/>
          <w:color w:val="000000"/>
          <w:sz w:val="22"/>
        </w:rPr>
        <w:t>“Stationary X-ray equipment”</w:t>
      </w:r>
      <w:r>
        <w:rPr>
          <w:rFonts w:ascii="Times New Roman" w:hAnsi="Times New Roman"/>
          <w:b w:val="false"/>
          <w:i w:val="false"/>
          <w:color w:val="000000"/>
          <w:sz w:val="22"/>
        </w:rPr>
        <w:t xml:space="preserve"> means X-ray equipment which is installed in a fixed location.</w:t>
      </w:r>
    </w:p>
    <w:p>
      <w:pPr>
        <w:spacing w:before="0" w:after="0"/>
        <w:ind w:left="120"/>
        <w:jc w:val="both"/>
      </w:pPr>
      <w:r>
        <w:rPr>
          <w:rFonts w:ascii="Times New Roman" w:hAnsi="Times New Roman"/>
          <w:b w:val="false"/>
          <w:i/>
          <w:color w:val="000000"/>
          <w:sz w:val="22"/>
        </w:rPr>
        <w:t>d.</w:t>
      </w:r>
      <w:r>
        <w:rPr>
          <w:rFonts w:ascii="Times New Roman" w:hAnsi="Times New Roman"/>
          <w:b w:val="false"/>
          <w:i/>
          <w:color w:val="000000"/>
          <w:sz w:val="22"/>
        </w:rPr>
        <w:t>“Handheld X-ray equipment”</w:t>
      </w:r>
      <w:r>
        <w:rPr>
          <w:rFonts w:ascii="Times New Roman" w:hAnsi="Times New Roman"/>
          <w:b w:val="false"/>
          <w:i w:val="false"/>
          <w:color w:val="000000"/>
          <w:sz w:val="22"/>
        </w:rPr>
        <w:t xml:space="preserve"> means X-ray equipment designed by the manufacturer to be handheld by the operator during the exposure. X-ray equipment designed without a backscatter shield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exposure control” </w:t>
      </w:r>
      <w:r>
        <w:rPr>
          <w:rFonts w:ascii="Times New Roman" w:hAnsi="Times New Roman"/>
          <w:b w:val="false"/>
          <w:i w:val="false"/>
          <w:color w:val="000000"/>
          <w:sz w:val="22"/>
        </w:rPr>
        <w:t>means a device, switch, button or similar means by which an operator initiates or terminates the radiation exposure. The X-ray exposure control may include such associated equipment as timers and backup timers.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field” </w:t>
      </w:r>
      <w:r>
        <w:rPr>
          <w:rFonts w:ascii="Times New Roman" w:hAnsi="Times New Roman"/>
          <w:b w:val="false"/>
          <w:i w:val="false"/>
          <w:color w:val="000000"/>
          <w:sz w:val="22"/>
        </w:rPr>
        <w:t xml:space="preserve">means that area of the intersection of the useful beam and any one of the set of planes parallel to and including the plane of the image receptor, whose perimeter is the locus of points at which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is one-fourth of the maximum in the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high-voltage generator” </w:t>
      </w:r>
      <w:r>
        <w:rPr>
          <w:rFonts w:ascii="Times New Roman" w:hAnsi="Times New Roman"/>
          <w:b w:val="false"/>
          <w:i w:val="false"/>
          <w:color w:val="000000"/>
          <w:sz w:val="22"/>
        </w:rPr>
        <w:t>means a device which transforms electrical energy from the potential supplied by the X-ray control to the tube operating potential. The device may also include means for transforming alternating current to direct current, filament transformers for the X-ray tube(s), high-voltage switches, electrical protective devices, and other appropriate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system” </w:t>
      </w:r>
      <w:r>
        <w:rPr>
          <w:rFonts w:ascii="Times New Roman" w:hAnsi="Times New Roman"/>
          <w:b w:val="false"/>
          <w:i w:val="false"/>
          <w:color w:val="000000"/>
          <w:sz w:val="22"/>
        </w:rPr>
        <w:t>means an assemblage of components for the controlled production of X-rays. It includes minimally an X-ray high-voltage generator, an X-ray control, a tube housing assembly, a beam-limiting device, and the necessary supporting structures. Additional components which function with the system are considered integral parts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table” </w:t>
      </w:r>
      <w:r>
        <w:rPr>
          <w:rFonts w:ascii="Times New Roman" w:hAnsi="Times New Roman"/>
          <w:b w:val="false"/>
          <w:i w:val="false"/>
          <w:color w:val="000000"/>
          <w:sz w:val="22"/>
        </w:rPr>
        <w:t>means a patient support device with its patient support structure (tabletop) interposed between the patient and the image receptor during radiography or fluoroscopy. This includes, but is not limited to, any stretcher equipped with a radiolucent panel and any table equipped with a cassette tray (or bucky), cassette tunnel, image intensifier, or spot-film device beneath the tabletop.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Registrant. The registrant shall be responsible for maintaining and directing the operation of the X-ray system(s) under the registrant’s administrative control, for ensuring that the requirements of these rules are met in the operation of the X-ray system(s), and for having the following minimum tests performed by a registered service facility according to the following schedule: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Medical/chiropractic: timer accuracy, exposure reproducibility, kVp accuracy as set forth in </w:t>
      </w:r>
      <w:hyperlink r:id="rId12">
        <w:r>
          <w:rPr>
            <w:rStyle w:val="Hyperlink"/>
            <w:rFonts w:ascii="Times New Roman" w:hAnsi="Times New Roman"/>
            <w:b w:val="false"/>
            <w:i w:val="false"/>
            <w:color w:val="000000"/>
            <w:sz w:val="22"/>
          </w:rPr>
          <w:t>41.1(6)</w:t>
        </w:r>
      </w:hyperlink>
      <w:r>
        <w:rPr>
          <w:rFonts w:ascii="Times New Roman" w:hAnsi="Times New Roman"/>
          <w:b w:val="false"/>
          <w:i w:val="false"/>
          <w:color w:val="000000"/>
          <w:sz w:val="22"/>
        </w:rPr>
        <w:t xml:space="preserve">, and light field/X-ray field alignment as set forth in </w:t>
      </w:r>
      <w:hyperlink r:id="rId13">
        <w:r>
          <w:rPr>
            <w:rStyle w:val="Hyperlink"/>
            <w:rFonts w:ascii="Times New Roman" w:hAnsi="Times New Roman"/>
            <w:b w:val="false"/>
            <w:i w:val="false"/>
            <w:color w:val="000000"/>
            <w:sz w:val="22"/>
          </w:rPr>
          <w:t>41.1(6)</w:t>
        </w:r>
      </w:hyperlink>
      <w:r>
        <w:rPr>
          <w:rFonts w:ascii="Times New Roman" w:hAnsi="Times New Roman"/>
          <w:b w:val="false"/>
          <w:i w:val="false"/>
          <w:color w:val="000000"/>
          <w:sz w:val="22"/>
        </w:rPr>
        <w:t xml:space="preserve"> every two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Dental/podiatry: timer accuracy, exposure reproducibility and kVp accuracy as set forth in </w:t>
      </w:r>
      <w:hyperlink r:id="rId14">
        <w:r>
          <w:rPr>
            <w:rStyle w:val="Hyperlink"/>
            <w:rFonts w:ascii="Times New Roman" w:hAnsi="Times New Roman"/>
            <w:b w:val="false"/>
            <w:i w:val="false"/>
            <w:color w:val="000000"/>
            <w:sz w:val="22"/>
          </w:rPr>
          <w:t>41.1(7)</w:t>
        </w:r>
      </w:hyperlink>
      <w:r>
        <w:rPr>
          <w:rFonts w:ascii="Times New Roman" w:hAnsi="Times New Roman"/>
          <w:b w:val="false"/>
          <w:i w:val="false"/>
          <w:color w:val="000000"/>
          <w:sz w:val="22"/>
        </w:rPr>
        <w:t xml:space="preserve"> every four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Fluoroscopic: entrance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 </w:t>
      </w:r>
      <w:hyperlink r:id="rId15">
        <w:r>
          <w:rPr>
            <w:rStyle w:val="Hyperlink"/>
            <w:rFonts w:ascii="Times New Roman" w:hAnsi="Times New Roman"/>
            <w:b w:val="false"/>
            <w:i w:val="false"/>
            <w:color w:val="000000"/>
            <w:sz w:val="22"/>
          </w:rPr>
          <w:t>41.1(5)</w:t>
        </w:r>
        <w:r>
          <w:rPr>
            <w:rFonts w:ascii="Times New Roman" w:hAnsi="Times New Roman"/>
            <w:b w:val="false"/>
            <w:i/>
            <w:color w:val="000000"/>
            <w:sz w:val="22"/>
          </w:rPr>
          <w:t>“c”</w:t>
        </w:r>
      </w:hyperlink>
      <w:r>
        <w:rPr>
          <w:rFonts w:ascii="Times New Roman" w:hAnsi="Times New Roman"/>
          <w:b w:val="false"/>
          <w:i w:val="false"/>
          <w:color w:val="000000"/>
          <w:sz w:val="22"/>
        </w:rPr>
        <w:t>), and minimum SSD ( </w:t>
      </w:r>
      <w:hyperlink r:id="rId16">
        <w:r>
          <w:rPr>
            <w:rStyle w:val="Hyperlink"/>
            <w:rFonts w:ascii="Times New Roman" w:hAnsi="Times New Roman"/>
            <w:b w:val="false"/>
            <w:i w:val="false"/>
            <w:color w:val="000000"/>
            <w:sz w:val="22"/>
          </w:rPr>
          <w:t>41.1(5)</w:t>
        </w:r>
        <w:r>
          <w:rPr>
            <w:rFonts w:ascii="Times New Roman" w:hAnsi="Times New Roman"/>
            <w:b w:val="false"/>
            <w:i/>
            <w:color w:val="000000"/>
            <w:sz w:val="22"/>
          </w:rPr>
          <w:t>“f”</w:t>
        </w:r>
      </w:hyperlink>
      <w:r>
        <w:rPr>
          <w:rFonts w:ascii="Times New Roman" w:hAnsi="Times New Roman"/>
          <w:b w:val="false"/>
          <w:i w:val="false"/>
          <w:color w:val="000000"/>
          <w:sz w:val="22"/>
        </w:rPr>
        <w:t>) annually.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Veterinary systems are exempt from the above testing requirements.</w:t>
      </w:r>
    </w:p>
    <w:p>
      <w:pPr>
        <w:spacing w:before="0" w:after="0"/>
        <w:ind w:left="120"/>
        <w:jc w:val="both"/>
      </w:pPr>
      <w:r>
        <w:rPr>
          <w:rFonts w:ascii="Times New Roman" w:hAnsi="Times New Roman"/>
          <w:b w:val="false"/>
          <w:i w:val="false"/>
          <w:color w:val="000000"/>
          <w:sz w:val="22"/>
        </w:rPr>
        <w:t xml:space="preserve">All service and installation shall be performed by persons registered under </w:t>
      </w:r>
      <w:hyperlink r:id="rId17">
        <w:r>
          <w:rPr>
            <w:rStyle w:val="Hyperlink"/>
            <w:rFonts w:ascii="Times New Roman" w:hAnsi="Times New Roman"/>
            <w:b w:val="false"/>
            <w:i w:val="false"/>
            <w:color w:val="000000"/>
            <w:sz w:val="22"/>
          </w:rPr>
          <w:t>641—subrule 39.3(3)</w:t>
        </w:r>
      </w:hyperlink>
      <w:r>
        <w:rPr>
          <w:rFonts w:ascii="Times New Roman" w:hAnsi="Times New Roman"/>
          <w:b w:val="false"/>
          <w:i w:val="false"/>
          <w:color w:val="000000"/>
          <w:sz w:val="22"/>
        </w:rPr>
        <w:t>. The registrant or the registrant’s agent shall ensure that the requirements of these rules are met in the operation of the X-ray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X-ray system which does not meet the provisions of these rules shall not be operated for diagnostic or therapeutic purposes unless so directed by the agency. All position locking, holding, and centering devices on X-ray system components and systems shall function as intended. All X-ray systems shall be maintained in good mechanical repair and comply with all state and local electrical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who will be operating the X-ray systems shall be adequately instructed in safe operating procedures and be competent in the safe use of the equipment. In addition: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Operators in medical facilities shall meet the requirements of </w:t>
      </w:r>
      <w:hyperlink r:id="rId18">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as applicable, and shall make the permit available at the individual’s place of employment. If the permit holder works at more than one facility, a duplicate of the permit shall be kept at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chart shall be provided in the vicinity of the diagnostic X-ray system’s control panel which specifies, for all examinations performed with that system, the appropriate technique and guidance for employing available dose reduction methods and technologies across all patient sizes and clinical indications. The following information shall be included: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Patient’s body part and anatomical size, or body part thickness, or age (for pediatrics), versus technique factors to be utilized unless automatically set by the X-ray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 and size of the film or film-screen combination to be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Type and focal distance of the grid to be used, if any;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Source to image receptor distance to be used, except for dental intraoral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safety procedures shall be provided to each individual operating X-ray equipment, including patient holding and any restrictions of the operating technique required for the safe operation of the particular X-ray system. The operator shall be able to demonstrate familiarity with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Except for patients who cannot be moved out of the room, only the staff and ancillary personnel required for the medical procedure or training shall be in the room during the radiographic exposure. Other than the patient being examined: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individuals shall be positioned such that no part of the body will be struck by the useful beam unless protected by 0.5 millimeter lead equivalent.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X-ray operator, other staff, ancillary personnel, and other persons required for the medical procedure shall be protected from the scattered primary radiation by protective aprons or whole body protective barriers of not less than 0.25 millimeter lead equivalent.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Human patients who cannot be removed from the room shall be protected from the direct scatter radiation by whole body protective barriers of 0.25 millimeter lead equivalent or shall be so positioned that the nearest portion of the body is at least 2 meters from both the tube head and the nearest edge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protective apparel (e.g., aprons, gloves, collars) and shields shall be available to provide the necessary radiation protection for all patients and personnel who are involved with X-ray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shall not be exposed to the useful beam unless (1) the radiation exposure occurs in the context of a previously established professional relationship between a licensed practitioner of the healing arts or a licensed registered nurse who is registered as an advanced registered nurse practitioner pursuant to Iowa Code chapter </w:t>
      </w:r>
      <w:hyperlink r:id="rId1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a patient, which includes a physical examination by the practitioner of the patient unless such examination is not clinically indicated; and (2) such practitioner issues a written order for the radiation exposure. The written order shall be issued prior to the exposure unless the exposure results from care provided in an emergency or surgery setting. A verbal order may be issued provided the licensed practitioner is supervising the procedure and the order is documented in the patient’s record after the procedure is completed. This provision specifically prohibits deliberate exposure for the following purposes: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Exposure of an individual for training, demonstration, or other non-healing arts purposes;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Exposure of an individual for the purpose of healing arts screening except as authorized by </w:t>
      </w:r>
      <w:hyperlink r:id="rId20">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a patient or film must be provided with auxiliary support during a radiation exposure: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Mechanical holding devices shall be used when the technique permits. The written safety procedures, required by </w:t>
      </w:r>
      <w:hyperlink r:id="rId21">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shall list individual projections where holding devices cannot be utilized;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Written safety procedures, as required by </w:t>
      </w:r>
      <w:hyperlink r:id="rId22">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shall indicate the requirements for selecting a holder and the procedure the holder shall follow;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human holder shall be instructed in personal radiation safety and protected as required by </w:t>
      </w:r>
      <w:hyperlink r:id="rId23">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 individual shall be used routinely to hold film or patients;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those cases where the human patient must hold the film, except during intraoral examinations, any portion of the body other than the area of clinical interest struck by the useful beam shall be protected by not less than 0.5 millimeter lead equivalent material.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Each facility shall have leaded aprons and gloves available in sufficient numbers to provide protection to all personnel who are involved with X-ray operations and who are otherwise not shielded.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Procedures and auxiliary equipment designed to minimize patient and personnel exposure commensurate with the needed diagnostic information shall be utilized.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speed of film or screen and film combinations shall be the fastest speed consistent with the diagnostic objective of the examinations. Film cassettes without intensifying screens shall not be used for any routine diagnostic radiological imaging, with the exception of veterinary radiography and standard film packets for intraoral use in dental radiography.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radiation exposure to the patient shall be the minimum exposure required to produce images of good diagnostic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Portable or mobile X-ray equipment shall be used only for examinations, excluding intraoral dental imaging, where it is impractical to transfer the patient(s) to a stationary X-ray installation. Handheld mobile X-ray equipment may be used for routine intraoral dental imaging in place of stationary equipment. Handheld X-ray equipment shall be used only for intraoral dental radiography.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X-ray systems subject to </w:t>
      </w:r>
      <w:hyperlink r:id="rId24">
        <w:r>
          <w:rPr>
            <w:rStyle w:val="Hyperlink"/>
            <w:rFonts w:ascii="Times New Roman" w:hAnsi="Times New Roman"/>
            <w:b w:val="false"/>
            <w:i w:val="false"/>
            <w:color w:val="000000"/>
            <w:sz w:val="22"/>
          </w:rPr>
          <w:t>41.1(6)</w:t>
        </w:r>
      </w:hyperlink>
      <w:r>
        <w:rPr>
          <w:rFonts w:ascii="Times New Roman" w:hAnsi="Times New Roman"/>
          <w:b w:val="false"/>
          <w:i w:val="false"/>
          <w:color w:val="000000"/>
          <w:sz w:val="22"/>
        </w:rPr>
        <w:t xml:space="preserve"> shall not be utilized in procedures where the source to human patient distance is less than 30 centimeters.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grids are used between the patient and the image receptor to decrease scatter to the film and improve contrast, the grid shall: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positioned properly, i.e., tube side facing the correct direction, and the grid centered to the central ray;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grid is of the focused type, be at the proper focal distance for the SIDs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who are associated with the operation of an X-ray system are subject to the requirements of </w:t>
      </w:r>
      <w:hyperlink r:id="rId25">
        <w:r>
          <w:rPr>
            <w:rStyle w:val="Hyperlink"/>
            <w:rFonts w:ascii="Times New Roman" w:hAnsi="Times New Roman"/>
            <w:b w:val="false"/>
            <w:i w:val="false"/>
            <w:color w:val="000000"/>
            <w:sz w:val="22"/>
          </w:rPr>
          <w:t>641—subrule 40.36(4)</w:t>
        </w:r>
      </w:hyperlink>
      <w:r>
        <w:rPr>
          <w:rFonts w:ascii="Times New Roman" w:hAnsi="Times New Roman"/>
          <w:b w:val="false"/>
          <w:i w:val="false"/>
          <w:color w:val="000000"/>
          <w:sz w:val="22"/>
        </w:rPr>
        <w:t xml:space="preserve"> and rules </w:t>
      </w:r>
      <w:hyperlink r:id="rId26">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641—40.37(136C)</w:t>
        </w:r>
      </w:hyperlink>
      <w:r>
        <w:rPr>
          <w:rFonts w:ascii="Times New Roman" w:hAnsi="Times New Roman"/>
          <w:b w:val="false"/>
          <w:i w:val="false"/>
          <w:color w:val="000000"/>
          <w:sz w:val="22"/>
        </w:rPr>
        <w:t>. In addition: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protective clothing or devices are worn on portions of the body and a personnel monitoring device(s) is present, it (they) shall be worn in accordance with the recommendations found in Chapter 4 of the National Council of Radiation Protection and Measurements Report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Exposure of a personnel monitoring device to deceptively indicate a dose delivered to an individual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Healing arts screening. Any person proposing to conduct a healing arts screening program shall not initiate such a program in the state of Iowa without prior written approval of the agency. When requesting such approval, that person shall submit the information outlined in Appendix C of this chapter. The agency shall not approve a healing arts screening program unless the applicant submits data supporting the efficacy of the screening test in diagnosing the disease or condition being screened. If any information submitted to the agency becomes invalid or outdated, the applicant shall notify the agency in writing within five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maintenance record and associated information. Records in </w:t>
      </w:r>
      <w:hyperlink r:id="rId28">
        <w:r>
          <w:rPr>
            <w:rStyle w:val="Hyperlink"/>
            <w:rFonts w:ascii="Times New Roman" w:hAnsi="Times New Roman"/>
            <w:b w:val="false"/>
            <w:i w:val="false"/>
            <w:color w:val="000000"/>
            <w:sz w:val="22"/>
          </w:rPr>
          <w:t>41.1(3)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(3) below shall be maintained until the X-ray system is removed from the facility. There shall be two cycles of records on file for items in </w:t>
      </w:r>
      <w:hyperlink r:id="rId29">
        <w:r>
          <w:rPr>
            <w:rStyle w:val="Hyperlink"/>
            <w:rFonts w:ascii="Times New Roman" w:hAnsi="Times New Roman"/>
            <w:b w:val="false"/>
            <w:i w:val="false"/>
            <w:color w:val="000000"/>
            <w:sz w:val="22"/>
          </w:rPr>
          <w:t>41.1(3)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below. The registrant shall maintain the following information for each X-ray system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User’s manual for the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surveys, calibrations, maintenance, and modifications performed on the X-ray system(s) with the names of persons who performed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all correspondence with this agency regarding that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X-ray utilization log. Except for veterinary facilities, each facility shall maintain an X-ray log containing the patient’s name, the type of examinations, the dates the examinations were performed, the name of the individual performing the X-ray procedure, and the number of exposures and retakes involved. When the patient or film must be provided with human auxiliary support, the name of the human holder shall be recorded. These records shall be kept until the facility is inspected by this agency or until all films listed on the utilization log have been purged.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all new installations, or modifications of existing installations, or installation of equipment into existing facilities utilizing X-rays for diagnostic or therapeutic purposes, the floor plans and equipment arrangements shall be submitted to the agency for review and verification that national standards have been met. The required information is denoted in Appendices A and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may require the applicant to utilize the services of a qualified expert to determine the shielding requirements prior to the plan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approval of such plans shall not preclude the requirement of additional modifications should a subsequent analysis of operating conditions indicate the possibility of an individual receiving a dose in excess of the limits prescribed in </w:t>
      </w:r>
      <w:hyperlink r:id="rId30">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Federal performance standards. All X-ray equipment shall comply with the applicable performance standards of 21 CFR 1020.30 to 1020.40 which were in effect at the time the unit was manufactured. All equipment manufactured before the effective date of 21 CFR 1020.30 to 1020.40 shall meet the requirements of the Iowa rules. Persons registered to possess the affected radiation-emitting equipment in Iowa shall be responsible for maintaining the equipment in compliance with the appropriate federal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X-ray film processing facilities and practices (except for mammography). Each installation using a radiographic X-ray system and using analog image receptors (e.g., radiographic film) shall have available suitable equipment for handling and processing radiographic film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Manually developed film.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Processing tanks shall be constructed of mechanically rigid, corrosion-resistant material;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Film shall be processed in accordance with the time-temperature relationships recommended by the film developer manufacturer. The specified developer temperature and immersion time shall be posted in the darkroom. Deviations from the manufacturer’s recommendations shall be in writing and on file at the facility. Documentation shall include justification for the deviation.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Devices shall be utilized which will indicate the actual temperature of the developer and signal the passage of a preset time appropriate to the developing time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processors and other closed processing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Film shall be processed in accordance with the time-temperature relationships recommended by the film developer manufacturer.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Processing deviations from the requirements of </w:t>
      </w:r>
      <w:hyperlink r:id="rId31">
        <w:r>
          <w:rPr>
            <w:rStyle w:val="Hyperlink"/>
            <w:rFonts w:ascii="Times New Roman" w:hAnsi="Times New Roman"/>
            <w:b w:val="false"/>
            <w:i w:val="false"/>
            <w:color w:val="000000"/>
            <w:sz w:val="22"/>
          </w:rPr>
          <w:t>41.1(3)</w:t>
        </w:r>
        <w:r>
          <w:rPr>
            <w:rFonts w:ascii="Times New Roman" w:hAnsi="Times New Roman"/>
            <w:b w:val="false"/>
            <w:i/>
            <w:color w:val="000000"/>
            <w:sz w:val="22"/>
          </w:rPr>
          <w:t>“f”</w:t>
        </w:r>
      </w:hyperlink>
      <w:r>
        <w:rPr>
          <w:rFonts w:ascii="Times New Roman" w:hAnsi="Times New Roman"/>
          <w:b w:val="false"/>
          <w:i w:val="false"/>
          <w:color w:val="000000"/>
          <w:sz w:val="22"/>
        </w:rPr>
        <w:t xml:space="preserve"> shall be documented by the registrant in such manner that the requirements are shown to be met or exceeded (e.g., extended processing and special rapid chemistry).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processing equipment shall be in good mechanical working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Pass boxes, if provided, shall be so constructed as to exclude light from the darkroom when cassettes are placed in or removed from the boxes, and shall incorporate adequate shielding from stray radiation to prevent exposure of undeveloped film.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darkroom shall be light tight and use proper safelighting such that any film type in use exposed in a cassette to X-radiation sufficient to produce an optical density from 1 to 2 when processed shall not suffer an increase in density greater than 0.1 when exposed out of the cassette in the darkroom for 2 minutes with all safelights on. If used, daylight film handling boxes shall preclude fogging of the film.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Darkrooms typically used by more than one individual shall be provided a method to prevent accidental entry while undeveloped films are being handled or processed.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Film shall be stored in a cool, dry place and shall be protected from exposure to stray radiation. Film in open packages shall be stored in a light tight container.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Film cassettes and intensifying screens shall be inspected periodically and shall be cleaned and replaced as necessary to best ensure radiographs of good diagnostic quality.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Outdated X-ray film shall not be used for diagnostic radiographs, unless the film has been stored in accordance with the manufacturer’s recommendations and a sample of the film passes a sensitometric test for normal ranges of base plus fog and speed.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Film developing solutions shall be prepared in accordance with the directions given by the manufacturer and shall be maintained in strength by replenishment or renewal so that full development is accomplished within the time specified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be maintained to verify that the items in </w:t>
      </w:r>
      <w:hyperlink r:id="rId32">
        <w:r>
          <w:rPr>
            <w:rStyle w:val="Hyperlink"/>
            <w:rFonts w:ascii="Times New Roman" w:hAnsi="Times New Roman"/>
            <w:b w:val="false"/>
            <w:i w:val="false"/>
            <w:color w:val="000000"/>
            <w:sz w:val="22"/>
          </w:rPr>
          <w:t>41.1(3)</w:t>
        </w:r>
        <w:r>
          <w:rPr>
            <w:rFonts w:ascii="Times New Roman" w:hAnsi="Times New Roman"/>
            <w:b w:val="false"/>
            <w:i/>
            <w:color w:val="000000"/>
            <w:sz w:val="22"/>
          </w:rPr>
          <w:t>“f”</w:t>
        </w:r>
      </w:hyperlink>
      <w:r>
        <w:rPr>
          <w:rFonts w:ascii="Times New Roman" w:hAnsi="Times New Roman"/>
          <w:b w:val="false"/>
          <w:i w:val="false"/>
          <w:color w:val="000000"/>
          <w:sz w:val="22"/>
        </w:rPr>
        <w:t xml:space="preserve"> are performed according to the requirements. Records may be discarded only after an agency inspection has been completed and the facility determined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Retention of films. Record retention of films shall be seven years for patients 18 years of age or older and seven years plus the difference between the patient’s age and 18 for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facility is currently utilizing hard-copy film to store images, it may continue to use this method throughout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facility is currently utilizing computer media and also storing images in a hard-copy format, it may continue to use this method of retention throughout the retention period. If the images are also on computer media, the data should be backed up, or refreshed, at appropriate intervals as defined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is solely utilizing computer media to store study information for which a report is generated, the recording media is to be stored in conditions that will ensure that deterioration will not occur for the period required by this policy. The facility must maintain either retrieval or access or both to the stored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patient’s medical images are identified as being involved in a legal case, the records should immediately be coded appropriately, and maintained for the required time frame defined in this paragraph. At the time the records have reached the end of the appropriate time frame for retention, the previously identified responsible individuals involved in the legal action should be contacted for further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records are temporarily transferred to any party, appropriate information relating to location, date of release, and individual having custody of the records should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facility that is ceasing operations must either transfer its film records to another facility or provide the film records to its patients. A certified letter as to the location, or disposition, of the film records must be sent to notify the patients of the transferal.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all diagnostic X-ray systems. </w:t>
      </w:r>
      <w:r>
        <w:rPr>
          <w:rFonts w:ascii="Times New Roman" w:hAnsi="Times New Roman"/>
          <w:b w:val="false"/>
          <w:i w:val="false"/>
          <w:color w:val="000000"/>
          <w:sz w:val="22"/>
        </w:rPr>
        <w:t>In addition to other requirements of this chapter, all diagnostic X-ray systems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Warning label. The control panel containing the main power switch shall bear the warning statement, legible and accessible to view: “WARNING: This X-ray unit may be dangerous to patient and operator unless safe exposure factors and operating instructions are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Battery charge indicator. On battery-powered X-ray generators, visual means shall be provided on the control panel to indicate whether the battery is in a state of charge adequate for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Leakage radiation from the diagnostic source assembly. The leakage radiation from the diagnostic source assembly measured at a distance of 1 meter in any direction from the source shall not exceed 100 milliroentgens (25.8 </w:t>
      </w:r>
      <w:r>
        <w:rPr>
          <w:rFonts w:ascii="Times New Roman" w:hAnsi="Times New Roman"/>
          <w:b w:val="false"/>
          <w:i/>
          <w:color w:val="000000"/>
          <w:sz w:val="22"/>
        </w:rPr>
        <w:t>µ</w:t>
      </w:r>
      <w:r>
        <w:rPr>
          <w:rFonts w:ascii="Times New Roman" w:hAnsi="Times New Roman"/>
          <w:b w:val="false"/>
          <w:i w:val="false"/>
          <w:color w:val="000000"/>
          <w:sz w:val="22"/>
        </w:rPr>
        <w:t>C/kg) in one hour when the X-ray tube is operated at its leakage technique factors. Compliance shall be determined by measurements averaged over an area of 100 square centimeters with no linear dimension greater than 20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from components other than the diagnostic source assembly. The radiation emitted by a component other than the diagnostic source assembly shall not exceed 2 milliroentgens (0.516 </w:t>
      </w:r>
      <w:r>
        <w:rPr>
          <w:rFonts w:ascii="Times New Roman" w:hAnsi="Times New Roman"/>
          <w:b w:val="false"/>
          <w:i/>
          <w:color w:val="000000"/>
          <w:sz w:val="22"/>
        </w:rPr>
        <w:t>µ</w:t>
      </w:r>
      <w:r>
        <w:rPr>
          <w:rFonts w:ascii="Times New Roman" w:hAnsi="Times New Roman"/>
          <w:b w:val="false"/>
          <w:i w:val="false"/>
          <w:color w:val="000000"/>
          <w:sz w:val="22"/>
        </w:rPr>
        <w:t>C/kg) in one hour at 5 centimeters from any accessible surface of the component when it is operated in an assembled X-ray system under any conditions for which it was designed. Compliance shall be determined by measurements averaged over an area of 100 square centimeters with no linear dimension greater than 20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Beam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Half-value layer.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half-value layer of the useful beam for a given X-ray tube potential shall not be less than the values shown in Table I. If it is necessary to determine such half-value layer at an X-ray tube potential which is not listed in Table I, linear interpolation or extrapolation may be made.</w:t>
      </w:r>
    </w:p>
    <w:p>
      <w:pPr>
        <w:spacing w:before="60" w:after="0"/>
        <w:ind w:left="120"/>
        <w:jc w:val="center"/>
      </w:pPr>
      <w:r>
        <w:rPr>
          <w:rFonts w:ascii="Times New Roman" w:hAnsi="Times New Roman"/>
          <w:b w:val="false"/>
          <w:i w:val="false"/>
          <w:color w:val="000000"/>
          <w:sz w:val="22"/>
        </w:rPr>
        <w:t>Table I</w:t>
      </w:r>
    </w:p>
    <w:tbl>
      <w:tblPr>
        <w:tblW w:w="5000" w:type="pct"/>
        <w:tblCellSpacing w:w="0" w:type="auto"/>
        <w:tblBorders>
          <w:top w:val="single" w:color="000000" w:sz="8"/>
          <w:left w:val="none"/>
          <w:bottom w:val="none"/>
          <w:right w:val="none"/>
          <w:insideH w:val="none"/>
          <w:insideV w:val="none"/>
        </w:tblBorders>
        <w:tblLayout w:type="fixed"/>
      </w:tblPr>
      <w:tblGrid>
        <w:gridCol w:w="5198"/>
        <w:gridCol w:w="1646"/>
        <w:gridCol w:w="2317"/>
        <w:gridCol w:w="2029"/>
      </w:tblGrid>
      <w:tr>
        <w:trPr>
          <w:trHeight w:val="585" w:hRule="atLeast"/>
        </w:trPr>
        <w:tc>
          <w:tcPr>
            <w:tcW w:w="519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Design operating</w:t>
            </w:r>
          </w:p>
          <w:p>
            <w:pPr>
              <w:spacing w:before="0" w:after="0"/>
              <w:ind w:left="160"/>
              <w:jc w:val="left"/>
            </w:pPr>
            <w:r>
              <w:rPr>
                <w:rFonts w:ascii="Times New Roman" w:hAnsi="Times New Roman"/>
                <w:b w:val="false"/>
                <w:i w:val="false"/>
                <w:color w:val="000000"/>
                <w:sz w:val="16"/>
              </w:rPr>
              <w:t>range (kVp)</w:t>
            </w:r>
          </w:p>
        </w:tc>
        <w:tc>
          <w:tcPr>
            <w:tcW w:w="16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Measured</w:t>
            </w:r>
          </w:p>
          <w:p>
            <w:pPr>
              <w:spacing w:before="0" w:after="0"/>
              <w:ind w:left="160"/>
              <w:jc w:val="left"/>
            </w:pPr>
            <w:r>
              <w:rPr>
                <w:rFonts w:ascii="Times New Roman" w:hAnsi="Times New Roman"/>
                <w:b w:val="false"/>
                <w:i w:val="false"/>
                <w:color w:val="000000"/>
                <w:sz w:val="16"/>
              </w:rPr>
              <w:t>potential</w:t>
            </w:r>
          </w:p>
          <w:p>
            <w:pPr>
              <w:spacing w:before="0" w:after="0"/>
              <w:ind w:left="160"/>
              <w:jc w:val="left"/>
            </w:pPr>
            <w:r>
              <w:rPr>
                <w:rFonts w:ascii="Times New Roman" w:hAnsi="Times New Roman"/>
                <w:b w:val="false"/>
                <w:i w:val="false"/>
                <w:color w:val="000000"/>
                <w:sz w:val="16"/>
              </w:rPr>
              <w:t>(kVp)</w:t>
            </w:r>
          </w:p>
        </w:tc>
        <w:tc>
          <w:tcPr>
            <w:tcW w:w="231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Half-value layer (mm</w:t>
            </w:r>
          </w:p>
          <w:p>
            <w:pPr>
              <w:spacing w:before="0" w:after="0"/>
              <w:ind w:left="160"/>
              <w:jc w:val="left"/>
            </w:pPr>
            <w:r>
              <w:rPr>
                <w:rFonts w:ascii="Times New Roman" w:hAnsi="Times New Roman"/>
                <w:b w:val="false"/>
                <w:i w:val="false"/>
                <w:color w:val="000000"/>
                <w:sz w:val="16"/>
              </w:rPr>
              <w:t>of aluminum)</w:t>
            </w:r>
          </w:p>
        </w:tc>
      </w:tr>
      <w:tr>
        <w:trPr>
          <w:trHeight w:val="225"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Below 50</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0.3</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0.4</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49</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to 70</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Above 70</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71</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r>
      <w:tr>
        <w:trPr>
          <w:trHeight w:val="210" w:hRule="atLeast"/>
        </w:trPr>
        <w:tc>
          <w:tcPr>
            <w:tcW w:w="51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c>
          <w:tcPr>
            <w:tcW w:w="23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r>
    </w:tbl>
    <w:p>
      <w:pPr>
        <w:spacing w:before="0" w:after="0"/>
        <w:ind w:left="120"/>
        <w:jc w:val="both"/>
      </w:pPr>
      <w:r>
        <w:rPr>
          <w:rFonts w:ascii="Times New Roman" w:hAnsi="Times New Roman"/>
          <w:b w:val="false"/>
          <w:i w:val="false"/>
          <w:color w:val="000000"/>
          <w:sz w:val="22"/>
        </w:rPr>
        <w:t>2. and 3. Reserved.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capacitor energy storage equipment, compliance with the requirements of </w:t>
      </w:r>
      <w:hyperlink r:id="rId33">
        <w:r>
          <w:rPr>
            <w:rStyle w:val="Hyperlink"/>
            <w:rFonts w:ascii="Times New Roman" w:hAnsi="Times New Roman"/>
            <w:b w:val="false"/>
            <w:i w:val="false"/>
            <w:color w:val="000000"/>
            <w:sz w:val="22"/>
          </w:rPr>
          <w:t>41.1(4)</w:t>
        </w:r>
        <w:r>
          <w:rPr>
            <w:rFonts w:ascii="Times New Roman" w:hAnsi="Times New Roman"/>
            <w:b w:val="false"/>
            <w:i/>
            <w:color w:val="000000"/>
            <w:sz w:val="22"/>
          </w:rPr>
          <w:t>“e”</w:t>
        </w:r>
      </w:hyperlink>
      <w:r>
        <w:rPr>
          <w:rFonts w:ascii="Times New Roman" w:hAnsi="Times New Roman"/>
          <w:b w:val="false"/>
          <w:i w:val="false"/>
          <w:color w:val="000000"/>
          <w:sz w:val="22"/>
        </w:rPr>
        <w:t xml:space="preserve"> shall be determined with the system fully charged and a setting of 10 mAs for each exposure.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required minimal half-value layer of the useful beam shall include the filtration contributed by all materials which are permanently between the source and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Filtration controls. For X-ray systems which have variable kVp and variable filtration for the useful beam, a device shall link the kVp selector with the filter(s) and shall prevent an exposure unless the minimum amount of filtration required by </w:t>
      </w:r>
      <w:hyperlink r:id="rId34">
        <w:r>
          <w:rPr>
            <w:rStyle w:val="Hyperlink"/>
            <w:rFonts w:ascii="Times New Roman" w:hAnsi="Times New Roman"/>
            <w:b w:val="false"/>
            <w:i w:val="false"/>
            <w:color w:val="000000"/>
            <w:sz w:val="22"/>
          </w:rPr>
          <w:t>41.1(4)</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“1” is in the useful beam for the given kVp which has been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Multiple tubes. Where two or more radiographic tubes are controlled by one exposure switch, the tube or tubes which have been selected shall be clearly indicated prior to initiation of the exposure. This indication shall be both on the X-ray control panel and at or near the tube housing assembly which has been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Mechanical support of tube head. The tube housing assembly supports shall be adjusted such that the tube housing assembly will remain stable during an exposure unless tube housing movement is a designed function of the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technique factors to be used during an exposure shall be indicated before the exposure begins. If 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controls are used, the technique factors which are set prior to the exposure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of </w:t>
      </w:r>
      <w:hyperlink r:id="rId35">
        <w:r>
          <w:rPr>
            <w:rStyle w:val="Hyperlink"/>
            <w:rFonts w:ascii="Times New Roman" w:hAnsi="Times New Roman"/>
            <w:b w:val="false"/>
            <w:i w:val="false"/>
            <w:color w:val="000000"/>
            <w:sz w:val="22"/>
          </w:rPr>
          <w:t>41.1(4)</w:t>
        </w:r>
        <w:r>
          <w:rPr>
            <w:rFonts w:ascii="Times New Roman" w:hAnsi="Times New Roman"/>
            <w:b w:val="false"/>
            <w:i/>
            <w:color w:val="000000"/>
            <w:sz w:val="22"/>
          </w:rPr>
          <w:t>“h”</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may be met by permanent markings on equipment having fixed technique factors. Indication of technique factors shall be visible from the operator’s position except in the case of spot films made by the fluoroscopist.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technique indicators shall be accurate to within manufacturer’s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Fluoroscopic X-ray systems except for computed tomography X-ray systems. </w:t>
      </w:r>
      <w:r>
        <w:rPr>
          <w:rFonts w:ascii="Times New Roman" w:hAnsi="Times New Roman"/>
          <w:b w:val="false"/>
          <w:i w:val="false"/>
          <w:color w:val="000000"/>
          <w:sz w:val="22"/>
        </w:rPr>
        <w:t>All fluoroscopic X-ray systems shall be image intensified and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Limitation of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Primary barrier.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fluoroscopic imaging assembly shall be provided with a primary protective barrier which intercepts the entire cross section of the useful beam at any SID.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X-ray tube used for fluoroscopy shall not produce X-rays unless the barrier is in position to intercept the entire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Fluoroscopic beam limitation.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certified fluoroscopic systems with or without a spot film device, neither the length nor the width of the X-ray field in the plane of the image receptor shall exceed that of the visible area of the image receptor by more than 3 percent of the SID. The sum of the excess length and the excess width shall be no greater than 4 percent of the SID.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uncertified fluoroscopic systems with a spot film device, the X-ray beam with the shutter fully opened (during fluoroscopy or spot filming) shall be no larger than the largest spot film size for which the device is designed. Measurements shall be made at the maximum SID available but at no less than 20 centimeters from the tabletop to the film plane distance.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uncertified fluoroscopic systems without a spot film device, the requirements of </w:t>
      </w:r>
      <w:hyperlink r:id="rId36">
        <w:r>
          <w:rPr>
            <w:rStyle w:val="Hyperlink"/>
            <w:rFonts w:ascii="Times New Roman" w:hAnsi="Times New Roman"/>
            <w:b w:val="false"/>
            <w:i w:val="false"/>
            <w:color w:val="000000"/>
            <w:sz w:val="22"/>
          </w:rPr>
          <w:t>41.1(5)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“1” apply.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requirements for fluoroscopic beam limitation: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Means shall be provided to permit further limitation of the field. Beam-limiting devices manufactured after May 22, 1979, and incorporated in equipment with a variable SID or a visible area of greater than 300 square centimeters shall be provided with means for stepless adjustment of the X-ray field;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equipment with a fixed SID and a visible area of 300 square centimeters or less shall be provided either with stepless adjustment of the X-ray field or with means to further limit the X-ray field size at the plane of the image receptor to 125 square centimeters or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provided, stepless adjustment shall, at the greatest SID, provide continuous field sizes from the maximum attainable to a field size of 5 centimeters by 5 centimeters or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equipment manufactured after February 25, 1978, when the angle between the image receptor and beam axis is variable, means shall be provided to indicate when the axis of the X-ray beam is perpendicular to the plane of the image receptor;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noncircular X-ray fields used with circular image receptors, the error in alignment shall be determined along the length and width dimensions of the X-ray field which pass through the center of the visible area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Spot-film beam limitation. Spot-film devices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Means shall be provided between the source and the patient for adjustment of the X-ray field size in the plane of the film to the size of that portion of the film which has been selected on the spot-film selector. Such adjustment shall be automatically accomplished except when the X-ray field size in the plane of the film is smaller than that of the selected portion of the film. For spot-film devices manufactured after June 21, 1979, if the X-ray field size is less than the size of the selected portion of the film, the means for adjustment of the field size shall be only at the operator’s option;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Neither the length nor the width of the X-ray field in the plane of the image receptor shall differ from the corresponding dimensions of the selected portion of the image receptor by more than 3 percent of the SID when adjusted for full coverage of the selected portion of the image receptor. The sum, without regard to sign, of the length and width differences shall not exceed 4 percent of the SID;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shall be possible to adjust the X-ray field size in the plane of the film to a size smaller than the selected portion of the film. The minimum field size at the greatest SID shall be equal to, or less than, 5 centimeters by 5 centimeters;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center of the X-ray field in the plane of the film shall be aligned with the center of the selected portion of the film to within 2 percent of the SID;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 spot-film devices manufactured after February 25, 1978, if the angle between the plane of the image receptor and beam axis is variable, means shall be provided to indicate when the axis of the X-ray beam is perpendicular to the plane of the image receptor, and compliance shall be determined with the beam axis indicated to be perpendicular to the plane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Override. If a means exists to override any of the automatic X-ray field size adjustments required in </w:t>
      </w:r>
      <w:hyperlink r:id="rId37">
        <w:r>
          <w:rPr>
            <w:rStyle w:val="Hyperlink"/>
            <w:rFonts w:ascii="Times New Roman" w:hAnsi="Times New Roman"/>
            <w:b w:val="false"/>
            <w:i w:val="false"/>
            <w:color w:val="000000"/>
            <w:sz w:val="22"/>
          </w:rPr>
          <w:t>41.1(5)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41.1(5)</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that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be designed for use only in the event of system failure;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incorporate a signal visible at the fluoroscopist’s position which will indicate whenever the automatic field size adjustment is overridden;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Shall have a clear and durable label as follows:</w:t>
      </w:r>
      <w:r>
        <w:br/>
      </w:r>
    </w:p>
    <w:p>
      <w:pPr>
        <w:spacing w:before="0" w:after="0"/>
        <w:ind w:left="120"/>
        <w:jc w:val="center"/>
      </w:pPr>
      <w:r>
        <w:rPr>
          <w:rFonts w:ascii="Times New Roman" w:hAnsi="Times New Roman"/>
          <w:b w:val="false"/>
          <w:i w:val="false"/>
          <w:color w:val="000000"/>
          <w:sz w:val="22"/>
        </w:rPr>
        <w:t>FOR X-RAY FIELD</w:t>
      </w:r>
    </w:p>
    <w:p>
      <w:pPr>
        <w:spacing w:before="0" w:after="0"/>
        <w:ind w:left="120"/>
        <w:jc w:val="center"/>
      </w:pPr>
      <w:r>
        <w:rPr>
          <w:rFonts w:ascii="Times New Roman" w:hAnsi="Times New Roman"/>
          <w:b w:val="false"/>
          <w:i w:val="false"/>
          <w:color w:val="000000"/>
          <w:sz w:val="22"/>
        </w:rPr>
        <w:t>LIMITATION SYSTEM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Activation of the fluoroscopic tube. X-ray production in the fluoroscopic mode shall be controlled by a device which requires continuous pressure by the fluoroscopist for the entire time of any exposure. When recording serial fluoroscopic images, the fluoroscopist shall be able to terminate the X-ray exposure(s) at any time, but means may be provided to permit completion of any single exposure of the series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Entrance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allowable limits.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Fluoroscopic equipment which is provided with 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control shall not be operable at any combination of tube potential and current which will result in an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in excess of 2.6 mC/kg (10 roentgens) per minute at the point where the center of the useful beam enters the patient, except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recording of fluoroscopic images;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When an optional high level control is provided. When so provided, the equipment shall not be operable at any combination of tube potential and current which will result in an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in excess of 5 roentgens (1.3 mC/kg) per minute at the point where the center of the useful beam enters the patient unless the high level control is activated. Special means of activation of high level controls shall be required. The high level control shall only be operable when continuous manual activation is provided by the operator. A continuous signal audible to the fluoroscopist shall indicate that the high level control is being employed.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Fluoroscopic equipment which is not provided with 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control shall not be operable at any combination of tube potential and current which will result in an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in excess of 5 roentgens (1.3 mC/kg) per minute at the point where the center of the useful beam enters the patient, except: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recording of fluoroscopic images;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When the mode or modes have an optional high level control, in which case the mode or modes shall not be operable at any combination of tube potential and current which shall result in an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in excess of 5 roentgens (1.3 mC/kg) per minute at the point where the center of the useful beam enters the patient, unless the high level control is activated. Special means of activation of high level controls shall be required. The high level control shall only be operable when continuous manual activation is provided by the operator. A continuous signal audible to the fluoroscopist shall indicate that the high level control is being employed.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Compliance with the requirements of </w:t>
      </w:r>
      <w:hyperlink r:id="rId39">
        <w:r>
          <w:rPr>
            <w:rStyle w:val="Hyperlink"/>
            <w:rFonts w:ascii="Times New Roman" w:hAnsi="Times New Roman"/>
            <w:b w:val="false"/>
            <w:i w:val="false"/>
            <w:color w:val="000000"/>
            <w:sz w:val="22"/>
          </w:rPr>
          <w:t>41.1(5)</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determined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source is below the table,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shall be measured 1 centimeter above the tabletop or cradle;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source is above the table,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shall be measured at 30 centimeters above the tabletop with the end of the beam-limiting device or spacer positioned as closely as possible to the point of measurement;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All C-arm fluoroscopes, both stationary and mobile, shall meet the entrance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limits at 30 centimeters from the input surface of the fluoroscopic imaging assembly with the source positioned at any available SID provided that the end of the spacer assembly or beam-limiting device is not closer than 30 centimeters from the input surface of the fluoroscopic imaging assembly.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For a lateral type fluoroscope,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shall be measured at a point 15 centimeters from the centerline of the X-ray table and in the direction of the X-ray source with the end of the beam-limiting device or spacer positioned as closely as possible to the point of measurement. If the tabletop is movable, it shall be positioned as closely as possible to the lateral X-ray source, with the end of the beam-limiting device or spacer no closer than 15 centimeters to the centerline of the X-ray table.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Fluoroscopic equipment which is provided with both automatic exposure rate control mode and a manual mode shall not be operable at any combination of tube potential and current which shall result in an exposure rate in excess of 10 roentgens (2.6 mC/kg) per minute in either mode at the point where the center of the useful beam enters the patient, except: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recording of fluoroscopic images;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mode or modes have an optional high level control, in which case the mode or modes shall not be operable at any combination of tube potential and current which shall result in an exposure rate in excess of 5 roentgens (1.3 mC/kg) per minute at the point where the center of the useful beam enters the patient, unless the high level control is activated. Special means of activitation of high level controls shall be required. The high level control shall only be operable when continuous manual activitation is provided by the operator. A continuous signal audible to the fluroscopist shall indicate that the high level control is being employed.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fluoroscopic equipment manufactured after May 19, 1995, which can exceed 5 roentgens (1.3 mC/kg) per minute shall be equipped with an automatic exposure rate control. All entrance exposure rate limits shall be 10 roentgens (2.6 mC/kg) per minute with an upper limit of 20 roentgens (5.2 mC/kg) per minute when the high level control is activated.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Conditions of periodic measurement of maximum entrance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are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measurement shall be made under the conditions that satisfy the requirements of </w:t>
      </w:r>
      <w:hyperlink r:id="rId40">
        <w:r>
          <w:rPr>
            <w:rStyle w:val="Hyperlink"/>
            <w:rFonts w:ascii="Times New Roman" w:hAnsi="Times New Roman"/>
            <w:b w:val="false"/>
            <w:i w:val="false"/>
            <w:color w:val="000000"/>
            <w:sz w:val="22"/>
          </w:rPr>
          <w:t>41.1(5)</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kVp, mA, or other selectable parameters shall be adjusted to those settings which give the maximum entrance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X-ray system(s) that incorporates 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control shall have sufficient attenuative material placed in the useful beam to produce either a milliamperage or kilovoltage or both to satisfy the conditions of  </w:t>
      </w:r>
      <w:hyperlink r:id="rId41">
        <w:r>
          <w:rPr>
            <w:rStyle w:val="Hyperlink"/>
            <w:rFonts w:ascii="Times New Roman" w:hAnsi="Times New Roman"/>
            <w:b w:val="false"/>
            <w:i w:val="false"/>
            <w:color w:val="000000"/>
            <w:sz w:val="22"/>
          </w:rPr>
          <w:t>41.1(5)</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Barrier transmitted radiation rate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due to transmission through the primary protective barrier with the attenuation block in the useful beam, combined with radiation from the image intensifier, if provided, shall not exceed 2 milliroentgens (0.516 </w:t>
      </w:r>
      <w:r>
        <w:rPr>
          <w:rFonts w:ascii="Times New Roman" w:hAnsi="Times New Roman"/>
          <w:b w:val="false"/>
          <w:i/>
          <w:color w:val="000000"/>
          <w:sz w:val="22"/>
        </w:rPr>
        <w:t>µ</w:t>
      </w:r>
      <w:r>
        <w:rPr>
          <w:rFonts w:ascii="Times New Roman" w:hAnsi="Times New Roman"/>
          <w:b w:val="false"/>
          <w:i w:val="false"/>
          <w:color w:val="000000"/>
          <w:sz w:val="22"/>
        </w:rPr>
        <w:t xml:space="preserve">C/kg) per hour at 10 centimeters from any accessible surface of the fluoroscopic imaging assembly beyond the plane of the image receptor for each roentgen per minute of entrance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Measuring compliance of barrier transmission.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due to transmission through the primary protective barrier combined with radiation from the image intensifier shall be determined by measurements averaged over an area of 100 square centimeters with no linear dimension greater than 20 centimeters.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source is below the tabletop, the measurement shall be made with the input surface of the fluoroscopic imaging assembly positioned 30 centimeters above the tabletop.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source is above the tabletop and the SID is variable, the measurement shall be made with the end of the beam-limiting device or spacer as close to the tabletop as it can be placed, provided that it shall not be closer than 30 centimeters.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Movable grids and compression devices shall be removed from the useful beam during the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Indication of potential and current. During fluoroscopy and cinefluorography the kV and the mA shall be continuously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Source-to-skin distance. The SSD shall not be less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38 centimeters on stationary fluoroscopes installed on or after August 1,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35.5 centimeters on stationary fluoroscopes which were in operation prior to August 1,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30 centimeters on all mobile fluoroscopes,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20 centimeters for mobile fluoroscopes used for specific surgical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safety procedures must provide precautionary measures to be adhered to during the use of this device in addition to the procedures provided in </w:t>
      </w:r>
      <w:hyperlink r:id="rId42">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Fluoroscopic timer.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Means shall be provided to preset the cumulative on-time of the fluoroscopic X-ray tube. The maximum cumulative time of the timing device shall not exceed five minutes without resetting.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signal audible to the fluoroscopist shall indicate the completion of any preset cumulative on-time. Such signal shall continue to sound while X-rays are produced until the timing device is reset.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Control of scattered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Fluoroscopic table designs when combined with procedures utilized shall be such that no unprotected part of any staff or ancillary individual’s body shall be exposed to unattenuated scattered radiation which originates from under the table. The attenuation required shall be not less than 0.25 millimeter lead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configuration when combined with procedures shall be such that no portion of any staff or ancillary individual’s body, except the extremities, shall be exposed to the unattenuated scattered radiation emanating from above the tabletop unless that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at least 120 centimeters from the center of the useful beam,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radiation has passed through not less than 0.25 millimeter lead equivalent material including, but not limited to, drapes, Bucky-slot cover panel, or self-supporting curtains, in addition to any lead equivalency provided by the protective apron referred to in </w:t>
      </w:r>
      <w:hyperlink r:id="rId43">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grant exemptions to </w:t>
      </w:r>
      <w:hyperlink r:id="rId44">
        <w:r>
          <w:rPr>
            <w:rStyle w:val="Hyperlink"/>
            <w:rFonts w:ascii="Times New Roman" w:hAnsi="Times New Roman"/>
            <w:b w:val="false"/>
            <w:i w:val="false"/>
            <w:color w:val="000000"/>
            <w:sz w:val="22"/>
          </w:rPr>
          <w:t>41.1(5)</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where a sterile field will not permit the use of the normal protective barriers. Where the use of prefitted sterilized covers for the barriers is practical, the agency shall not permit such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Spot-film exposure reproducibility. Fluoroscopic systems equipped with spot-film (radiographic) mode shall meet the exposure reproducibility requirements of </w:t>
      </w:r>
      <w:hyperlink r:id="rId45">
        <w:r>
          <w:rPr>
            <w:rStyle w:val="Hyperlink"/>
            <w:rFonts w:ascii="Times New Roman" w:hAnsi="Times New Roman"/>
            <w:b w:val="false"/>
            <w:i w:val="false"/>
            <w:color w:val="000000"/>
            <w:sz w:val="22"/>
          </w:rPr>
          <w:t>41.1(6)</w:t>
        </w:r>
        <w:r>
          <w:rPr>
            <w:rFonts w:ascii="Times New Roman" w:hAnsi="Times New Roman"/>
            <w:b w:val="false"/>
            <w:i/>
            <w:color w:val="000000"/>
            <w:sz w:val="22"/>
          </w:rPr>
          <w:t>“d”</w:t>
        </w:r>
      </w:hyperlink>
      <w:r>
        <w:rPr>
          <w:rFonts w:ascii="Times New Roman" w:hAnsi="Times New Roman"/>
          <w:b w:val="false"/>
          <w:i w:val="false"/>
          <w:color w:val="000000"/>
          <w:sz w:val="22"/>
        </w:rPr>
        <w:t xml:space="preserve"> when operating in the spot-film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therapy simulation systems. Radiation therapy simulation systems shall be exempt from all the requirements of </w:t>
      </w:r>
      <w:hyperlink r:id="rId46">
        <w:r>
          <w:rPr>
            <w:rStyle w:val="Hyperlink"/>
            <w:rFonts w:ascii="Times New Roman" w:hAnsi="Times New Roman"/>
            <w:b w:val="false"/>
            <w:i w:val="false"/>
            <w:color w:val="000000"/>
            <w:sz w:val="22"/>
          </w:rPr>
          <w:t>41.1(5)</w:t>
        </w:r>
        <w:r>
          <w:rPr>
            <w:rFonts w:ascii="Times New Roman" w:hAnsi="Times New Roman"/>
            <w:b w:val="false"/>
            <w:i/>
            <w:color w:val="000000"/>
            <w:sz w:val="22"/>
          </w:rPr>
          <w:t>“a,” “c,” “d,”</w:t>
        </w:r>
      </w:hyperlink>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systems are designed and used in such a manner that no individual other than the patient is in the X-ray room during periods of time when the system is producing X-rays;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which do not meet the requirements of </w:t>
      </w:r>
      <w:hyperlink r:id="rId47">
        <w:r>
          <w:rPr>
            <w:rStyle w:val="Hyperlink"/>
            <w:rFonts w:ascii="Times New Roman" w:hAnsi="Times New Roman"/>
            <w:b w:val="false"/>
            <w:i w:val="false"/>
            <w:color w:val="000000"/>
            <w:sz w:val="22"/>
          </w:rPr>
          <w:t>41.1(5)</w:t>
        </w:r>
        <w:r>
          <w:rPr>
            <w:rFonts w:ascii="Times New Roman" w:hAnsi="Times New Roman"/>
            <w:b w:val="false"/>
            <w:i/>
            <w:color w:val="000000"/>
            <w:sz w:val="22"/>
          </w:rPr>
          <w:t>“g”</w:t>
        </w:r>
      </w:hyperlink>
      <w:r>
        <w:rPr>
          <w:rFonts w:ascii="Times New Roman" w:hAnsi="Times New Roman"/>
          <w:b w:val="false"/>
          <w:i w:val="false"/>
          <w:color w:val="000000"/>
          <w:sz w:val="22"/>
        </w:rPr>
        <w:t xml:space="preserve"> are provided with a means of indicating the cumulative time that an individual patient has been exposed to X-rays. Procedures shall require in such cases that the timer be reset between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Dose-area-product monitor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fluoroscopic equipment installed after July 1, 2002, and used for special procedures (e.g., pacemaker implantation, diagnostic cardiac procedures (catheterization), and therapeutic cardiac procedures (angioplasty-balloon; stent; directional coronary atherectomy; rotational atherectomy; laser atherectomy; radio frequency ablation; and intravascular brachytherapy)) shall be equipped with a dose-area-product monitor capable of recording the total radiation dose received by a patient when the fluoroscopic tube is used. Equipment used and installed prior to July 1, 2002, shall be retrofitted with the radiation exposure device by January 1,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facility using fluoroscopic equipment for special procedures shall include in the patient’s chart and in a log for agency review the patient radiation exposure received per procedure. Adult doses that exceed 300 rad and doses for children (under the age of 18) that exceed 100 rad must be reviewed by the facility’s radiation safety committee. The review must document the reason why a dose exceeded 300 rad for adults or 100 rad for children, and the reason must be documented in the committee’s minutes. If a facility does not have a radiation safety committee, the facility must provide the agency, within 30 days of the event, documentation stating why the patient’s dose exceeded 300 rad for adults or 100 rad for children. Also, if the patient doses noted above are exceeded, the patient’s physician must do a follow-up examination of the patient to determine if there is any evidence of dose recorded reaction and to ensure that proper treatment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fluoroscopic radiation detection devices in this subrule shall be calibrated annually or after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Equipment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imaging formed by the use of fluoroscopic X-ray systems shall be directly viewed and interpreted by a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Overhead fluoroscopy shall not be used as a positioning tool for general purpose radiographic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Facilities that use fluoroscopic X-ray systems shall maintain a record of cumulative fluoroscopic exposure time used and the number of spot films for each examination. This record shall indicate patient identification, type of examination, date of examination, and operator’s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stationary fluoroscopic systems used for cardiac catheterization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Protective barriers shall be available for use by individuals whose presence is required in the room during activation of the X-ray tube(s). If a protective barrier includes or consists of a transparent viewing panel, the viewing panel shall afford protection of not less than 0.5 millimeter of lead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Protective aprons of not less than 0.25 millimeter of lead equivalent shall be worn in the fluoroscopy room by all individuals (except the patient). Any individual required to be in the room for short periods of time may not be required to wear a protective apron if exposure levels below minimum as seen on film badge reports can be verified. Individuals not using protective aprons should follow ALARA by using time and distance to reduce exposure. Any declared pregnant individual must meet the requirements of </w:t>
      </w:r>
      <w:hyperlink r:id="rId48">
        <w:r>
          <w:rPr>
            <w:rStyle w:val="Hyperlink"/>
            <w:rFonts w:ascii="Times New Roman" w:hAnsi="Times New Roman"/>
            <w:b w:val="false"/>
            <w:i w:val="false"/>
            <w:color w:val="000000"/>
            <w:sz w:val="22"/>
          </w:rPr>
          <w:t>641—40.22(136C)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Supervision of fluoroscopy. The use of fluoroscopy by radiologic technologists and radiologic students shall be performed under the direct supervision of a licensed practitioner, a radiologist assistant or an advanced registered nurse practitioner (ARNP), pursuant to </w:t>
      </w:r>
      <w:hyperlink r:id="rId49">
        <w:r>
          <w:rPr>
            <w:rStyle w:val="Hyperlink"/>
            <w:rFonts w:ascii="Times New Roman" w:hAnsi="Times New Roman"/>
            <w:b w:val="false"/>
            <w:i w:val="false"/>
            <w:color w:val="000000"/>
            <w:sz w:val="22"/>
          </w:rPr>
          <w:t>655—subrule 7.2(2)</w:t>
        </w:r>
      </w:hyperlink>
      <w:r>
        <w:rPr>
          <w:rFonts w:ascii="Times New Roman" w:hAnsi="Times New Roman"/>
          <w:b w:val="false"/>
          <w:i w:val="false"/>
          <w:color w:val="000000"/>
          <w:sz w:val="22"/>
        </w:rPr>
        <w:t xml:space="preserve">, for the purpose of localization to obtain images for diagnostic or therapeutic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w:t>
      </w:r>
      <w:r>
        <w:rPr>
          <w:rFonts w:ascii="Times New Roman" w:hAnsi="Times New Roman"/>
          <w:b w:val="false"/>
          <w:i w:val="false"/>
          <w:color w:val="000000"/>
          <w:sz w:val="22"/>
        </w:rPr>
        <w:t> </w:t>
      </w:r>
      <w:r>
        <w:rPr>
          <w:rFonts w:ascii="Times New Roman" w:hAnsi="Times New Roman"/>
          <w:b w:val="false"/>
          <w:i/>
          <w:color w:val="000000"/>
          <w:sz w:val="22"/>
        </w:rPr>
        <w:t xml:space="preserve">Radiographic systems other than fluoroscopic, dental intraoral, veterinary, or computed tomography X-ray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Beam limitation. The useful beam shall be limited to the area of clinical interest. This shall be considered met if a positive beam-limiting device meeting manufacturer’s specifications and the requirements of </w:t>
      </w:r>
      <w:hyperlink r:id="rId50">
        <w:r>
          <w:rPr>
            <w:rStyle w:val="Hyperlink"/>
            <w:rFonts w:ascii="Times New Roman" w:hAnsi="Times New Roman"/>
            <w:b w:val="false"/>
            <w:i w:val="false"/>
            <w:color w:val="000000"/>
            <w:sz w:val="22"/>
          </w:rPr>
          <w:t>41.1(6)</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have been properly used or if evidence of collimation is shown on at least three sides or three corners of the film (for example, projections from the shutters of the collimator, cone cutting at the corners, or borders at the film’s 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purpose stationary and mobile X-ray systems and veterinarian systems (other than portable) installed after July 1, 1998.</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Only X-ray systems provided with means for independent stepless adjustment of at least two dimensions of the X-ray field shall be 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method shall be provided for visually defining the perimeter of the X-ray field.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Illuminance shall be greater than 7.5 foot-candles or 80.3 LUX at 100 centimeters or maximum SID whichever is less.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misalignment of the edges of the visually defined field with the respective edges of the X-ray field along either the length or width of the visually defined field shall not exceed 2 percent of the distance from the source to the center of the visually defined field when the surface upon which it appears is perpendicular to the axis of the X-ray beam.</w:t>
      </w:r>
    </w:p>
    <w:p>
      <w:pPr>
        <w:spacing w:before="0" w:after="0"/>
        <w:ind w:left="120"/>
        <w:jc w:val="both"/>
      </w:pPr>
      <w:r>
        <w:rPr>
          <w:rFonts w:ascii="Times New Roman" w:hAnsi="Times New Roman"/>
          <w:b w:val="false"/>
          <w:i w:val="false"/>
          <w:color w:val="000000"/>
          <w:sz w:val="22"/>
        </w:rPr>
        <w:t xml:space="preserve">3. The agency may grant an exemption on noncertified X-ray systems to </w:t>
      </w:r>
      <w:hyperlink r:id="rId51">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“1” and “2” provided the registrant makes a written application for such exemption and in that application demonstrates it is impractical to comply with </w:t>
      </w:r>
      <w:hyperlink r:id="rId52">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“1” and “2”; and the purpose of </w:t>
      </w:r>
      <w:hyperlink r:id="rId53">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“1” and “2” will be met by other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requirements for stationary general purpose X-ray systems. In addition to the requirements of </w:t>
      </w:r>
      <w:hyperlink r:id="rId54">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stationary general purpose X-ray systems, both certified and noncertified,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method shall be provided to indicate when the axis of the X-ray beam is perpendicular to the plane of the image receptor, to align the center of the X-ray field with respect to the center of the image receptor to within 2 percent of the SID, and to indicate the SID to within 2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beam-limiting device shall indicate numerically the field size in the plane of the image receptor to which it is adjusted;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Indication of field size dimensions and SIDs shall be specified in inches or centimeters, and shall be such that aperture adjustments result in X-ray field dimensions in the plane of the image receptor which correspond to those indicated by the beam-limiting device to within 2 percent of the SID when the beam axis is indicated to be perpendicular to the plane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X-ray systems designed for one image receptor size. Radiographic equipment designed for only one image receptor size at a fixed SID shall be provided with means to limit the field at the plane of the image receptor to dimensions no greater than those of the image receptor, and to align the center of the X-ray field with the center of the image receptor to within 2 percent of the SID, or shall be provided with means to both size and align the X-ray field such that the X-ray field at the plane of the image receptor does not extend beyond any edge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X-ray systems other than those described in </w:t>
      </w:r>
      <w:hyperlink r:id="rId55">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(2), and (3), and veterinary systems installed prior to July 1, 1998, and all portable veterinary X-ray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Means shall be provided to limit the X-ray field in the plane of the image receptor so that such field does not exceed each dimension of the image receptor by more than 2 percent of the SID when the axis of the X-ray beam is perpendicular to the plane of the image receptor.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Means shall be provided to align the center of the X-ray field with the center of the image receptor to within 2 percent of the SID, or means shall be provided to both size and align the X-ray field such that the X-ray field at the plane of the image receptor does not extend beyond any edge of the image receptor. Compliance shall be determined with the axis of the X-ray beam perpendicular to the plane of the image receptor.</w:t>
      </w:r>
    </w:p>
    <w:p>
      <w:pPr>
        <w:spacing w:before="0" w:after="0"/>
        <w:ind w:left="120"/>
        <w:jc w:val="both"/>
      </w:pPr>
      <w:r>
        <w:rPr>
          <w:rFonts w:ascii="Times New Roman" w:hAnsi="Times New Roman"/>
          <w:b w:val="false"/>
          <w:i w:val="false"/>
          <w:color w:val="000000"/>
          <w:sz w:val="22"/>
        </w:rPr>
        <w:t>     3.   </w:t>
      </w:r>
      <w:hyperlink r:id="rId56">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(5)“1”</w:t>
        </w:r>
      </w:hyperlink>
      <w:r>
        <w:rPr>
          <w:rFonts w:ascii="Times New Roman" w:hAnsi="Times New Roman"/>
          <w:b w:val="false"/>
          <w:i w:val="false"/>
          <w:color w:val="000000"/>
          <w:sz w:val="22"/>
        </w:rPr>
        <w:t xml:space="preserve"> and “2” may be met with a system that meets the requirements for a general purpose X-ray system as specified in </w:t>
      </w:r>
      <w:hyperlink r:id="rId57">
        <w:r>
          <w:rPr>
            <w:rStyle w:val="Hyperlink"/>
            <w:rFonts w:ascii="Times New Roman" w:hAnsi="Times New Roman"/>
            <w:b w:val="false"/>
            <w:i w:val="false"/>
            <w:color w:val="000000"/>
            <w:sz w:val="22"/>
          </w:rPr>
          <w:t>41.1(6)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when alignment means are also provided, may be met with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assortment of removable, fixed-aperture, beam-limiting devices sufficient to meet the requirement for each combination of image receptor size and SID for which the unit is designed with each such device having clear and permanent markings to indicate the image receptor size and SID for which it is designed;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beam-limiting device having multiple fixed apertures sufficient to meet the requirement for each combination of image receptor size and SID for which the unit is designed. Permanent, clearly legible markings shall indicate the image receptor size and SID for which each aperture is designed and shall indicate which aperture is in position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Radiation exposure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Means shall be provided to initiate the radiation exposure by a deliberate action on the part of the operator, such as the depression of a switch. Radiation exposure shall not be initiated without such an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Means shall be provided to terminate the exposure at a preset time interval, preset product of current and time, a preset number of pulses, or a preset radiation exposure to the image receptor. In addition, it shall not be possible to make an exposure when the timer is set to a “zero” or “off” position if either position is provided. Except for dental panoramic systems, termination of an exposure shall cause automatic resetting of the timer to its initial setting or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X-ray control.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Manual exposure control. An X-ray control shall be incorporated into each X-ray system such that an exposure can be terminated by the operator at any time except for exposure of one-half second or less, or during serial radiography when means shall be provided to permit completion of any single exposure of the series in process.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X-ray control shall be located in such a way as to meet the following requirements: Stationary X-ray systems (except podiatry and veterinary units) shall be required to have the X-ray exposure switch permanently mounted in a protected area so that the operator is required to remain in that protected area during the entire exposure and so that the operator can view the patient while making any exposures; and mobile and portable X-ray systems which 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Used for greater than one week in the same location, i.e., a room or suite, shall meet the requirements of </w:t>
      </w:r>
      <w:hyperlink r:id="rId58">
        <w:r>
          <w:rPr>
            <w:rStyle w:val="Hyperlink"/>
            <w:rFonts w:ascii="Times New Roman" w:hAnsi="Times New Roman"/>
            <w:b w:val="false"/>
            <w:i w:val="false"/>
            <w:color w:val="000000"/>
            <w:sz w:val="22"/>
          </w:rPr>
          <w:t>41.1(6)</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“2”;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Used for greater than one hour and less than one week at the same location, i.e., a room or suite, or in a clinical setting for routine extremities only, or where moving the X-ray system from room to room is impractical, shall meet the requirement of the above paragraph or be provided with a 6.5 foot (1.98 m) high protective barrier which is placed at least 2.7 meters (9 feet) from the tube housing assembly. Written procedures must instruct the operator to remain in the protected area during the entire exposure.</w:t>
      </w:r>
    </w:p>
    <w:p>
      <w:pPr>
        <w:spacing w:before="0" w:after="0"/>
        <w:ind w:left="120"/>
        <w:jc w:val="both"/>
      </w:pPr>
      <w:r>
        <w:rPr>
          <w:rFonts w:ascii="Times New Roman" w:hAnsi="Times New Roman"/>
          <w:b w:val="false"/>
          <w:i w:val="false"/>
          <w:color w:val="000000"/>
          <w:sz w:val="22"/>
        </w:rPr>
        <w:t>Stationary podiatric systems which do not meet the above requirements shall be provided with a 9-foot exposure button cord which allows the operator to remain behind a protective barrier during the entire exposure. If the protective barrier is moveable, written procedures must be on file at the facility, which dictate that the operator will remain behind the barrier during the entire exposure.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X-ray control shall provide visual indication observable at or from the operator’s protected position whenever X-rays are produced. In addition, a signal audible to the operator shall indicate that the exposure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controls. When an automatic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control is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Indication shall be made on the control panel when this mode of operation is selected;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X-ray tube potential is equal to or greater than 50 kVp, the minimum exposure time for field emission equipment rated for pulsed operation shall be equal to or less than a time interval equivalent to 2 pulses;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minimum exposure time for all equipment other than that specified in </w:t>
      </w:r>
      <w:hyperlink r:id="rId59">
        <w:r>
          <w:rPr>
            <w:rStyle w:val="Hyperlink"/>
            <w:rFonts w:ascii="Times New Roman" w:hAnsi="Times New Roman"/>
            <w:b w:val="false"/>
            <w:i w:val="false"/>
            <w:color w:val="000000"/>
            <w:sz w:val="22"/>
          </w:rPr>
          <w:t>41.1(6)</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“2” shall be equal to or less than one-sixtieth second or a time interval required to deliver 5 mAs, whichever is greater;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Either the product of peak X-ray tube potential, current, and exposure time shall be limited to not more than 60 kWs per exposure, or the product of X-ray tube current and exposure time shall be limited to not more than 600 mAs per exposure except that, when the X-ray tube potential is less than 50 kVp, the product of X-ray tube current and exposure time shall be limited to not more than 2000 mAs per exposure;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visible signal shall indicate when an exposure has been terminated at the limits required by </w:t>
      </w:r>
      <w:hyperlink r:id="rId60">
        <w:r>
          <w:rPr>
            <w:rStyle w:val="Hyperlink"/>
            <w:rFonts w:ascii="Times New Roman" w:hAnsi="Times New Roman"/>
            <w:b w:val="false"/>
            <w:i w:val="false"/>
            <w:color w:val="000000"/>
            <w:sz w:val="22"/>
          </w:rPr>
          <w:t>41.1(6)</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“4,” and manual resetting shall be required before further automatically timed exposures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Reproducibility. With a timer setting of 0.5 seconds or less, the average exposure period (T) shall be greater than or equal to five times the maximum exposure period (T</w:t>
      </w:r>
      <w:r>
        <w:rPr>
          <w:rFonts w:ascii="Times New Roman" w:hAnsi="Times New Roman"/>
          <w:b w:val="false"/>
          <w:i w:val="false"/>
          <w:color w:val="000000"/>
          <w:sz w:val="18"/>
          <w:vertAlign w:val="subscript"/>
        </w:rPr>
        <w:t>max</w:t>
      </w:r>
      <w:r>
        <w:rPr>
          <w:rFonts w:ascii="Times New Roman" w:hAnsi="Times New Roman"/>
          <w:b w:val="false"/>
          <w:i w:val="false"/>
          <w:color w:val="000000"/>
          <w:sz w:val="22"/>
        </w:rPr>
        <w:t>) minus the minimum exposure period (T</w:t>
      </w:r>
      <w:r>
        <w:rPr>
          <w:rFonts w:ascii="Times New Roman" w:hAnsi="Times New Roman"/>
          <w:b w:val="false"/>
          <w:i w:val="false"/>
          <w:color w:val="000000"/>
          <w:sz w:val="18"/>
          <w:vertAlign w:val="subscript"/>
        </w:rPr>
        <w:t>min</w:t>
      </w:r>
      <w:r>
        <w:rPr>
          <w:rFonts w:ascii="Times New Roman" w:hAnsi="Times New Roman"/>
          <w:b w:val="false"/>
          <w:i w:val="false"/>
          <w:color w:val="000000"/>
          <w:sz w:val="22"/>
        </w:rPr>
        <w:t>) when four timer tests are performed: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w:t>
      </w:r>
      <w:r>
        <w:rPr>
          <w:rFonts w:ascii="Times New Roman" w:hAnsi="Times New Roman"/>
          <w:b w:val="false"/>
          <w:i w:val="false"/>
          <w:color w:val="000000"/>
          <w:sz w:val="22"/>
        </w:rPr>
        <w:t>≥ 5 (T</w:t>
      </w:r>
      <w:r>
        <w:rPr>
          <w:rFonts w:ascii="Times New Roman" w:hAnsi="Times New Roman"/>
          <w:b w:val="false"/>
          <w:i w:val="false"/>
          <w:color w:val="000000"/>
          <w:sz w:val="18"/>
          <w:vertAlign w:val="subscript"/>
        </w:rPr>
        <w:t>max</w:t>
      </w:r>
      <w:r>
        <w:rPr>
          <w:rFonts w:ascii="Times New Roman" w:hAnsi="Times New Roman"/>
          <w:b w:val="false"/>
          <w:i w:val="false"/>
          <w:color w:val="000000"/>
          <w:sz w:val="22"/>
        </w:rPr>
        <w:t xml:space="preserve"> – T</w:t>
      </w:r>
      <w:r>
        <w:rPr>
          <w:rFonts w:ascii="Times New Roman" w:hAnsi="Times New Roman"/>
          <w:b w:val="false"/>
          <w:i w:val="false"/>
          <w:color w:val="000000"/>
          <w:sz w:val="18"/>
          <w:vertAlign w:val="subscript"/>
        </w:rPr>
        <w:t>min</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Exposure duration (timer) linearity. For systems having independent selection of exposure time settings, the average ratios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of exposure to the indicated timer setting, in units of C kg</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(mR/s), obtained at any two clinically used timer settings shall not differ by more than 0.10 times their sum. This is written as: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(X</w:t>
      </w:r>
      <w:r>
        <w:rPr>
          <w:rFonts w:ascii="Times New Roman" w:hAnsi="Times New Roman"/>
          <w:b w:val="false"/>
          <w:i w:val="false"/>
          <w:color w:val="000000"/>
          <w:sz w:val="18"/>
          <w:vertAlign w:val="subscript"/>
        </w:rPr>
        <w:t xml:space="preserve">1 </w:t>
      </w:r>
      <w:r>
        <w:rPr>
          <w:rFonts w:ascii="Times New Roman" w:hAnsi="Times New Roman"/>
          <w:b w:val="false"/>
          <w:i w:val="false"/>
          <w:color w:val="000000"/>
          <w:sz w:val="22"/>
        </w:rPr>
        <w:t>-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 0.1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 X</w:t>
      </w:r>
      <w:r>
        <w:rPr>
          <w:rFonts w:ascii="Times New Roman" w:hAnsi="Times New Roman"/>
          <w:b w:val="false"/>
          <w:i w:val="false"/>
          <w:color w:val="000000"/>
          <w:sz w:val="18"/>
          <w:vertAlign w:val="subscript"/>
        </w:rPr>
        <w:t xml:space="preserve">1 </w:t>
      </w:r>
      <w:r>
        <w:rPr>
          <w:rFonts w:ascii="Times New Roman" w:hAnsi="Times New Roman"/>
          <w:b w:val="false"/>
          <w:i w:val="false"/>
          <w:color w:val="000000"/>
          <w:sz w:val="22"/>
        </w:rPr>
        <w:t>and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are the average C kg</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(mR/s) values.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Source-to-skin distance. All mobile or portable radiographic systems shall be provided with means to limit the source-to-skin distance to equal to or greater than 30 centimeters except for veterinary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reproducibility. When all technique factors are held constant, including control panel selections associated with automatic exposure control systems, the coefficient of variation of exposure for both manual and automatic exposure control systems shall not exceed 0.05. This requirement applies to clinically used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from capacitor energy storage equipment in standby status. Radiation emitted from the X-ray tube when the system is fully charged and the exposure switch or timer is not activated shall not exceed a rate of 2 milliroentgens (0.516 </w:t>
      </w:r>
      <w:r>
        <w:rPr>
          <w:rFonts w:ascii="Times New Roman" w:hAnsi="Times New Roman"/>
          <w:b w:val="false"/>
          <w:i/>
          <w:color w:val="000000"/>
          <w:sz w:val="22"/>
        </w:rPr>
        <w:t>µ</w:t>
      </w:r>
      <w:r>
        <w:rPr>
          <w:rFonts w:ascii="Times New Roman" w:hAnsi="Times New Roman"/>
          <w:b w:val="false"/>
          <w:i w:val="false"/>
          <w:color w:val="000000"/>
          <w:sz w:val="22"/>
        </w:rPr>
        <w:t>C/kg) per hour at 5 centimeters from any accessible surface of the diagnostic source assembly, with the beam-limiting device fully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Accuracy. Deviation of measured technique factors from indicated values of kVp and exposure time shall not exceed the limits specified for that system by its manufacturer. In the absence of manufacturer’s specifications, the deviation shall not exceed 10 percent of the indicated value for kVp and 20 percent for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mA/mAs linearity. The following requirements apply when the equipment is operated on a power supply as specified by the manufacturer for any fixed X-ray tube potential within the range of 40 percent to 100 percent of the maximum 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having independent selection of X-ray tube current (mA). The average ratios (X</w:t>
      </w:r>
      <w:r>
        <w:rPr>
          <w:rFonts w:ascii="Times New Roman" w:hAnsi="Times New Roman"/>
          <w:b w:val="false"/>
          <w:i w:val="false"/>
          <w:color w:val="000000"/>
          <w:sz w:val="18"/>
          <w:vertAlign w:val="subscript"/>
        </w:rPr>
        <w:t>i</w:t>
      </w:r>
      <w:r>
        <w:rPr>
          <w:rFonts w:ascii="Times New Roman" w:hAnsi="Times New Roman"/>
          <w:b w:val="false"/>
          <w:i w:val="false"/>
          <w:color w:val="000000"/>
          <w:sz w:val="22"/>
        </w:rPr>
        <w:t>) of exposure to the indicated milliampere-seconds product (C kg</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mAs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(or mR/mAs)) obtained at any two consecutive tube current settings shall not differ by more than 0.10 times their sum: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22"/>
        </w:rPr>
        <w:t>≤ 0.10 (X</w:t>
      </w:r>
      <w:r>
        <w:rPr>
          <w:rFonts w:ascii="Times New Roman" w:hAnsi="Times New Roman"/>
          <w:b w:val="false"/>
          <w:i w:val="false"/>
          <w:color w:val="000000"/>
          <w:sz w:val="12"/>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2"/>
          <w:vertAlign w:val="sub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and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are the average values obtained at each of two consecutive tube current settings, or at two settings differing by no more than a factor of 2 where the tube current selection is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having a combined X-ray tube current-exposure time product (mAs) selector, but not a separate tube current (mA) selector. The average ratios (X</w:t>
      </w:r>
      <w:r>
        <w:rPr>
          <w:rFonts w:ascii="Times New Roman" w:hAnsi="Times New Roman"/>
          <w:b w:val="false"/>
          <w:i w:val="false"/>
          <w:color w:val="000000"/>
          <w:sz w:val="18"/>
          <w:vertAlign w:val="subscript"/>
        </w:rPr>
        <w:t>i</w:t>
      </w:r>
      <w:r>
        <w:rPr>
          <w:rFonts w:ascii="Times New Roman" w:hAnsi="Times New Roman"/>
          <w:b w:val="false"/>
          <w:i w:val="false"/>
          <w:color w:val="000000"/>
          <w:sz w:val="22"/>
        </w:rPr>
        <w:t>) of exposure to the indicated milliampere-seconds product, in units of mR/mAs (or C kg</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mAs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obtained at any two consecutive mAs selector settings shall not differ by more than 0.10 times their sum: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22"/>
        </w:rPr>
        <w:t>≤ 0.10 (X</w:t>
      </w:r>
      <w:r>
        <w:rPr>
          <w:rFonts w:ascii="Times New Roman" w:hAnsi="Times New Roman"/>
          <w:b w:val="false"/>
          <w:i w:val="false"/>
          <w:color w:val="000000"/>
          <w:sz w:val="12"/>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2"/>
          <w:vertAlign w:val="sub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and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are the average values obtained at any two consecutive mAs selector settings, or at two settings differing by no more than a factor of 2 where the mAs selector provides continuous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Measuring compliance. Determination of compliance shall be based on 10 exposures taken within a time period of one hour, at each of the two settings. These two settings may include any two focal spot sizes except where one is equal to or less than 0.45 millimeters and the other is greater than 0.45 millimeters. For purposes of this requirement, focal spot size is the nominal focal spot size specified by the X-ray tube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applicable to certified systems only. Diagnostic X-ray systems incorporating one or more certified component(s) shall be required to comply with the following additional requirement(s) which relate to that certified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Beam limitation for stationary and mobile general purpose X-ray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shall be provided a means of stepless adjustment of the X-ray field. The minimum field size at an SID of 100 centimeters shall be equal to or less than 5 centimeters by 5 centimeters.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a light localizer is used to define the X-ray field, it shall provide an average illumination of not less than 160 lux or 15 foot-candles at 100 centimeters or at the maximum SID, whichever is less. The average illumination shall be based upon measurements made in the approximate center of each quadrant of the light field. Radiation therapy simulation systems manufactured on and after May 27, 1980, are exempt from this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edge of the light field at 100 centimeters or at the maximum SID, whichever is less, shall have a contrast ratio, corrected for ambient lighting, of not less than 4 in the case of beam-limiting devices designed for use on stationary equipment, and a contrast ratio of not less than 3 in the case of beam-limiting devices designed for use on mobile equipment. The contrast ratio is defined as I</w:t>
      </w:r>
      <w:r>
        <w:rPr>
          <w:rFonts w:ascii="Times New Roman" w:hAnsi="Times New Roman"/>
          <w:b w:val="false"/>
          <w:i w:val="false"/>
          <w:color w:val="000000"/>
          <w:sz w:val="18"/>
          <w:vertAlign w:val="subscript"/>
        </w:rPr>
        <w:t>1</w:t>
      </w:r>
      <w:r>
        <w:rPr>
          <w:rFonts w:ascii="Times New Roman" w:hAnsi="Times New Roman"/>
          <w:b w:val="false"/>
          <w:i w:val="false"/>
          <w:color w:val="000000"/>
          <w:sz w:val="18"/>
          <w:vertAlign w:val="subscript"/>
        </w:rPr>
        <w:t>/</w:t>
      </w:r>
      <w:r>
        <w:rPr>
          <w:rFonts w:ascii="Times New Roman" w:hAnsi="Times New Roman"/>
          <w:b w:val="false"/>
          <w:i w:val="false"/>
          <w:color w:val="000000"/>
          <w:sz w:val="22"/>
        </w:rPr>
        <w:t>I</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22"/>
        </w:rPr>
        <w:t>where I</w:t>
      </w:r>
      <w:r>
        <w:rPr>
          <w:rFonts w:ascii="Times New Roman" w:hAnsi="Times New Roman"/>
          <w:b w:val="false"/>
          <w:i w:val="false"/>
          <w:color w:val="000000"/>
          <w:sz w:val="18"/>
          <w:vertAlign w:val="subscript"/>
        </w:rPr>
        <w:t xml:space="preserve">1 </w:t>
      </w:r>
      <w:r>
        <w:rPr>
          <w:rFonts w:ascii="Times New Roman" w:hAnsi="Times New Roman"/>
          <w:b w:val="false"/>
          <w:i w:val="false"/>
          <w:color w:val="000000"/>
          <w:sz w:val="22"/>
        </w:rPr>
        <w:t>is the illumination 3 millimeters from the edge of the light field toward the center of the field; and I</w:t>
      </w:r>
      <w:r>
        <w:rPr>
          <w:rFonts w:ascii="Times New Roman" w:hAnsi="Times New Roman"/>
          <w:b w:val="false"/>
          <w:i w:val="false"/>
          <w:color w:val="000000"/>
          <w:sz w:val="18"/>
          <w:vertAlign w:val="subscript"/>
        </w:rPr>
        <w:t xml:space="preserve">2 </w:t>
      </w:r>
      <w:r>
        <w:rPr>
          <w:rFonts w:ascii="Times New Roman" w:hAnsi="Times New Roman"/>
          <w:b w:val="false"/>
          <w:i w:val="false"/>
          <w:color w:val="000000"/>
          <w:sz w:val="22"/>
        </w:rPr>
        <w:t>is the illumination 3 millimeters from the edge of the light field away from the center of the field. Compliance shall be determined with a measuring instrument aperture of 1 millimeter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Beam limitation and alignment on stationary general purpose X-ray systems equipped with PBL. If PBL is being used, the following requirements shall be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PBL shall prevent the production of X-rays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Either the length or width of the X-ray field in the plane of the image receptor differs, except as permitted by </w:t>
      </w:r>
      <w:hyperlink r:id="rId61">
        <w:r>
          <w:rPr>
            <w:rStyle w:val="Hyperlink"/>
            <w:rFonts w:ascii="Times New Roman" w:hAnsi="Times New Roman"/>
            <w:b w:val="false"/>
            <w:i w:val="false"/>
            <w:color w:val="000000"/>
            <w:sz w:val="22"/>
          </w:rPr>
          <w:t>41.1(6)</w:t>
        </w:r>
      </w:hyperlink>
      <w:r>
        <w:rPr>
          <w:rFonts w:ascii="Times New Roman" w:hAnsi="Times New Roman"/>
          <w:b w:val="false"/>
          <w:i/>
          <w:color w:val="000000"/>
          <w:sz w:val="22"/>
        </w:rPr>
        <w:t>“h”</w:t>
      </w:r>
      <w:r>
        <w:rPr>
          <w:rFonts w:ascii="Times New Roman" w:hAnsi="Times New Roman"/>
          <w:b w:val="false"/>
          <w:i w:val="false"/>
          <w:color w:val="000000"/>
          <w:sz w:val="22"/>
        </w:rPr>
        <w:t xml:space="preserve"> (3), from the corresponding image receptor dimensions by more than 3 percent of the SID;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sum of the length and width differences as stated in </w:t>
      </w:r>
      <w:hyperlink r:id="rId62">
        <w:r>
          <w:rPr>
            <w:rStyle w:val="Hyperlink"/>
            <w:rFonts w:ascii="Times New Roman" w:hAnsi="Times New Roman"/>
            <w:b w:val="false"/>
            <w:i w:val="false"/>
            <w:color w:val="000000"/>
            <w:sz w:val="22"/>
          </w:rPr>
          <w:t>41.1(6)</w:t>
        </w:r>
      </w:hyperlink>
      <w:r>
        <w:rPr>
          <w:rFonts w:ascii="Times New Roman" w:hAnsi="Times New Roman"/>
          <w:b w:val="false"/>
          <w:i/>
          <w:color w:val="000000"/>
          <w:sz w:val="22"/>
        </w:rPr>
        <w:t>“h”</w:t>
      </w:r>
      <w:r>
        <w:rPr>
          <w:rFonts w:ascii="Times New Roman" w:hAnsi="Times New Roman"/>
          <w:b w:val="false"/>
          <w:i w:val="false"/>
          <w:color w:val="000000"/>
          <w:sz w:val="22"/>
        </w:rPr>
        <w:t xml:space="preserve"> (2)“1” above without regard to sign exceeds 4 percent of the SID;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Compliance with </w:t>
      </w:r>
      <w:hyperlink r:id="rId63">
        <w:r>
          <w:rPr>
            <w:rStyle w:val="Hyperlink"/>
            <w:rFonts w:ascii="Times New Roman" w:hAnsi="Times New Roman"/>
            <w:b w:val="false"/>
            <w:i w:val="false"/>
            <w:color w:val="000000"/>
            <w:sz w:val="22"/>
          </w:rPr>
          <w:t>41.1(6)</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“1” shall be determined when the equipment indicates that the beam axis is perpendicular to the plane of the image receptor. Compliance shall be determined no sooner than 5 seconds after insertion of the image receptor;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PBL system shall be capable of operation, at the discretion of the operator, such that the size of the field may be made smaller than the size of the image receptor through stepless adjustment of the field size. The minimum field size at an SID of 100 centimeters shall be equal to or less than 5 centimeters by 5 centimeters;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PBL system shall be designed such that if a change in image receptor does not cause an automatic return to PBL function as described in </w:t>
      </w:r>
      <w:hyperlink r:id="rId64">
        <w:r>
          <w:rPr>
            <w:rStyle w:val="Hyperlink"/>
            <w:rFonts w:ascii="Times New Roman" w:hAnsi="Times New Roman"/>
            <w:b w:val="false"/>
            <w:i w:val="false"/>
            <w:color w:val="000000"/>
            <w:sz w:val="22"/>
          </w:rPr>
          <w:t>41.1(6)</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“1,” then any change of image receptor size or SID must cause the automatic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Beam limitation for portable X-ray systems. Beam limitation for portable X-ray systems shall meet the beam limitation requirements of </w:t>
      </w:r>
      <w:hyperlink r:id="rId65">
        <w:r>
          <w:rPr>
            <w:rStyle w:val="Hyperlink"/>
            <w:rFonts w:ascii="Times New Roman" w:hAnsi="Times New Roman"/>
            <w:b w:val="false"/>
            <w:i w:val="false"/>
            <w:color w:val="000000"/>
            <w:sz w:val="22"/>
          </w:rPr>
          <w:t>41.1(6)</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41.1(6)</w:t>
        </w:r>
        <w:r>
          <w:rPr>
            <w:rFonts w:ascii="Times New Roman" w:hAnsi="Times New Roman"/>
            <w:b w:val="false"/>
            <w:i/>
            <w:color w:val="000000"/>
            <w:sz w:val="22"/>
          </w:rPr>
          <w:t>“h”</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Tube stands for portable X-ray systems. A tube stand or other mechanical support shall be used for portable X-ray systems, so that the X-ray tube housing assembly need not be handheld during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used in a clinical (nonsurgical) setting shall be restricted to one room within a location or suite which meets the requirements of </w:t>
      </w:r>
      <w:hyperlink r:id="rId67">
        <w:r>
          <w:rPr>
            <w:rStyle w:val="Hyperlink"/>
            <w:rFonts w:ascii="Times New Roman" w:hAnsi="Times New Roman"/>
            <w:b w:val="false"/>
            <w:i w:val="false"/>
            <w:color w:val="000000"/>
            <w:sz w:val="22"/>
          </w:rPr>
          <w:t>41.1(3)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w:t>
      </w:r>
      <w:r>
        <w:rPr>
          <w:rFonts w:ascii="Times New Roman" w:hAnsi="Times New Roman"/>
          <w:b w:val="false"/>
          <w:i w:val="false"/>
          <w:color w:val="000000"/>
          <w:sz w:val="22"/>
        </w:rPr>
        <w:t> </w:t>
      </w:r>
      <w:r>
        <w:rPr>
          <w:rFonts w:ascii="Times New Roman" w:hAnsi="Times New Roman"/>
          <w:b w:val="false"/>
          <w:i/>
          <w:color w:val="000000"/>
          <w:sz w:val="22"/>
        </w:rPr>
        <w:t xml:space="preserve">Intraoral dental radiographic systems. </w:t>
      </w:r>
      <w:r>
        <w:rPr>
          <w:rFonts w:ascii="Times New Roman" w:hAnsi="Times New Roman"/>
          <w:b w:val="false"/>
          <w:i w:val="false"/>
          <w:color w:val="000000"/>
          <w:sz w:val="22"/>
        </w:rPr>
        <w:t xml:space="preserve">In addition to the provisions of </w:t>
      </w:r>
      <w:hyperlink r:id="rId68">
        <w:r>
          <w:rPr>
            <w:rStyle w:val="Hyperlink"/>
            <w:rFonts w:ascii="Times New Roman" w:hAnsi="Times New Roman"/>
            <w:b w:val="false"/>
            <w:i w:val="false"/>
            <w:color w:val="000000"/>
            <w:sz w:val="22"/>
          </w:rPr>
          <w:t>41.1(3)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41.1(4)</w:t>
        </w:r>
      </w:hyperlink>
      <w:r>
        <w:rPr>
          <w:rFonts w:ascii="Times New Roman" w:hAnsi="Times New Roman"/>
          <w:b w:val="false"/>
          <w:i w:val="false"/>
          <w:color w:val="000000"/>
          <w:sz w:val="22"/>
        </w:rPr>
        <w:t xml:space="preserve">, the requirements of </w:t>
      </w:r>
      <w:hyperlink r:id="rId70">
        <w:r>
          <w:rPr>
            <w:rStyle w:val="Hyperlink"/>
            <w:rFonts w:ascii="Times New Roman" w:hAnsi="Times New Roman"/>
            <w:b w:val="false"/>
            <w:i w:val="false"/>
            <w:color w:val="000000"/>
            <w:sz w:val="22"/>
          </w:rPr>
          <w:t>41.1(7)</w:t>
        </w:r>
      </w:hyperlink>
      <w:r>
        <w:rPr>
          <w:rFonts w:ascii="Times New Roman" w:hAnsi="Times New Roman"/>
          <w:b w:val="false"/>
          <w:i w:val="false"/>
          <w:color w:val="000000"/>
          <w:sz w:val="22"/>
        </w:rPr>
        <w:t xml:space="preserve"> apply to X-ray equipment and associated facilities used for dental radiography. Requirements for extraoral dental radiographic systems are covered in </w:t>
      </w:r>
      <w:hyperlink r:id="rId71">
        <w:r>
          <w:rPr>
            <w:rStyle w:val="Hyperlink"/>
            <w:rFonts w:ascii="Times New Roman" w:hAnsi="Times New Roman"/>
            <w:b w:val="false"/>
            <w:i w:val="false"/>
            <w:color w:val="000000"/>
            <w:sz w:val="22"/>
          </w:rPr>
          <w:t>41.1(6)</w:t>
        </w:r>
      </w:hyperlink>
      <w:r>
        <w:rPr>
          <w:rFonts w:ascii="Times New Roman" w:hAnsi="Times New Roman"/>
          <w:b w:val="false"/>
          <w:i w:val="false"/>
          <w:color w:val="000000"/>
          <w:sz w:val="22"/>
        </w:rPr>
        <w:t xml:space="preserve">. Only systems meeting the requirements of </w:t>
      </w:r>
      <w:hyperlink r:id="rId72">
        <w:r>
          <w:rPr>
            <w:rStyle w:val="Hyperlink"/>
            <w:rFonts w:ascii="Times New Roman" w:hAnsi="Times New Roman"/>
            <w:b w:val="false"/>
            <w:i w:val="false"/>
            <w:color w:val="000000"/>
            <w:sz w:val="22"/>
          </w:rPr>
          <w:t>41.1(7)</w:t>
        </w:r>
      </w:hyperlink>
      <w:r>
        <w:rPr>
          <w:rFonts w:ascii="Times New Roman" w:hAnsi="Times New Roman"/>
          <w:b w:val="false"/>
          <w:i w:val="false"/>
          <w:color w:val="000000"/>
          <w:sz w:val="22"/>
        </w:rPr>
        <w:t xml:space="preserve"> shall be used. Additional requirements specific to handheld dental X-ray equipment are outlined in </w:t>
      </w:r>
      <w:hyperlink r:id="rId73">
        <w:r>
          <w:rPr>
            <w:rStyle w:val="Hyperlink"/>
            <w:rFonts w:ascii="Times New Roman" w:hAnsi="Times New Roman"/>
            <w:b w:val="false"/>
            <w:i w:val="false"/>
            <w:color w:val="000000"/>
            <w:sz w:val="22"/>
          </w:rPr>
          <w:t>41.1(7)</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Source-to-skin distance. </w:t>
      </w:r>
      <w:r>
        <w:rPr>
          <w:rFonts w:ascii="Times New Roman" w:hAnsi="Times New Roman"/>
          <w:b w:val="false"/>
          <w:i w:val="false"/>
          <w:color w:val="000000"/>
          <w:sz w:val="22"/>
        </w:rPr>
        <w:t>X-ray systems designed for use with an intraoral image receptor shall be provided with means to limit source-to-skin distance to not less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18 centimeters if operable above 50 kVp,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 centimeters if not operable above 50 kVp.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Beam limitation. </w:t>
      </w:r>
      <w:r>
        <w:rPr>
          <w:rFonts w:ascii="Times New Roman" w:hAnsi="Times New Roman"/>
          <w:b w:val="false"/>
          <w:i w:val="false"/>
          <w:color w:val="000000"/>
          <w:sz w:val="22"/>
        </w:rPr>
        <w:t>Radiographic systems designed for use with an intraoral image receptor shall be provided with means to limit the X-ray beam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minimum source-to-skin distance (SSD) is 18 centimeters or more, the X-ray field, at the minimum SSD, shall be containable in a circle having a diameter of no more than 7 centimeters;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minimum SSD is less than 18 centimeters, the X-ray field, at the minimum SSD, shall be containable in a circle having a diameter of no more than 6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position indicating device shall be shielded and open-ended. The shielding shall be equivalent to the requirements of </w:t>
      </w:r>
      <w:hyperlink r:id="rId74">
        <w:r>
          <w:rPr>
            <w:rStyle w:val="Hyperlink"/>
            <w:rFonts w:ascii="Times New Roman" w:hAnsi="Times New Roman"/>
            <w:b w:val="false"/>
            <w:i w:val="false"/>
            <w:color w:val="000000"/>
            <w:sz w:val="22"/>
          </w:rPr>
          <w:t>41.1(4)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Exposure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Exposure initiation.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Means shall be provided to initiate the radiation exposure by a deliberate action on the part of the operator, such as the depression of a switch. Radiation exposure shall not be initiated without such an action;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shall not be possible to make an exposure when the timer is set to a “zero” or “off” position if either position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Exposure indication. Means shall be provided for visual indication observable at or from the operator’s protected position whenever X-rays are produced. In addition, a signal audible to the operator shall indicate that the exposure has terminated except in X-ray systems that cannot be altered to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Exposure termination.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Means shall be provided to terminate the exposure at a preset time interval, preset product of current and time, a preset number of pulses, or a preset radiation exposure to the image receptor. In addition: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Termination of exposure shall cause automatic resetting of the timer to its initial setting or to “zero.”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X-ray control shall be incorporated into each X-ray system such that an exposure can be terminated by the operator at any time, except for exposures of one-half (½) second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Exposure duration (timer) linearity. For systems having independent selection of exposure time settings, the average ratios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of exposure to the indicated timer setting, in units of C kg</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(mR/s), obtained at any two clinically used timer settings shall not differ by more than 0.10 times their sum. This is written as: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(X</w:t>
      </w:r>
      <w:r>
        <w:rPr>
          <w:rFonts w:ascii="Times New Roman" w:hAnsi="Times New Roman"/>
          <w:b w:val="false"/>
          <w:i w:val="false"/>
          <w:color w:val="000000"/>
          <w:sz w:val="18"/>
          <w:vertAlign w:val="subscript"/>
        </w:rPr>
        <w:t xml:space="preserve">1 </w:t>
      </w:r>
      <w:r>
        <w:rPr>
          <w:rFonts w:ascii="Times New Roman" w:hAnsi="Times New Roman"/>
          <w:b w:val="false"/>
          <w:i w:val="false"/>
          <w:color w:val="000000"/>
          <w:sz w:val="22"/>
        </w:rPr>
        <w:t>-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 0.1 (X</w:t>
      </w:r>
      <w:r>
        <w:rPr>
          <w:rFonts w:ascii="Times New Roman" w:hAnsi="Times New Roman"/>
          <w:b w:val="false"/>
          <w:i w:val="false"/>
          <w:color w:val="000000"/>
          <w:sz w:val="12"/>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2"/>
          <w:vertAlign w:val="sub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and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are the average values.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X-ray exposure switch shall be located in such a way as to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Stationary X-ray systems shall be required to have the X-ray exposure switch located in a protected area or have an exposure switch cord of sufficient length to permit the operator to activate the equipment while in a protected area, e.g., corridor outside the operatory. The procedures required under </w:t>
      </w:r>
      <w:hyperlink r:id="rId75">
        <w:r>
          <w:rPr>
            <w:rStyle w:val="Hyperlink"/>
            <w:rFonts w:ascii="Times New Roman" w:hAnsi="Times New Roman"/>
            <w:b w:val="false"/>
            <w:i w:val="false"/>
            <w:color w:val="000000"/>
            <w:sz w:val="22"/>
          </w:rPr>
          <w:t>41.1(3)</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must instruct the operator to remain in the protected area during the entire exposure.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Mobile and portable X-ray systems which 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Used for greater than one week in the same location, i.e., a room or suite, shall meet the requirements of </w:t>
      </w:r>
      <w:hyperlink r:id="rId76">
        <w:r>
          <w:rPr>
            <w:rStyle w:val="Hyperlink"/>
            <w:rFonts w:ascii="Times New Roman" w:hAnsi="Times New Roman"/>
            <w:b w:val="false"/>
            <w:i w:val="false"/>
            <w:color w:val="000000"/>
            <w:sz w:val="22"/>
          </w:rPr>
          <w:t>41.1(7)</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Used for greater than one hour and less than one week at the same location, i.e., a room or suite, shall meet the requirements of the above paragraph or be provided with a 6.5 foot (1.98 m) high protective barrier or means to allow the operator to be at least 6 feet ( 1.8 meters) from the tube housing assembly while making exposure.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Portable dental X-ray systems designed with a backscatter shield may be used without an additional protective barrier, but the operator must stand directly behind the equipment to allow the shield to function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Reproducibility. </w:t>
      </w:r>
      <w:r>
        <w:rPr>
          <w:rFonts w:ascii="Times New Roman" w:hAnsi="Times New Roman"/>
          <w:b w:val="false"/>
          <w:i w:val="false"/>
          <w:color w:val="000000"/>
          <w:sz w:val="22"/>
        </w:rPr>
        <w:t xml:space="preserve">When the equipment is operated on an adequate power supply as specified by the manufacturer, the estimated coefficient of variation of radiation </w:t>
      </w:r>
      <w:r>
        <w:rPr>
          <w:rFonts w:ascii="Times New Roman" w:hAnsi="Times New Roman"/>
          <w:b w:val="false"/>
          <w:i w:val="false"/>
          <w:color w:val="000000"/>
          <w:sz w:val="22"/>
          <w:u w:val="single"/>
        </w:rPr>
        <w:t>exposures</w:t>
      </w:r>
      <w:r>
        <w:rPr>
          <w:rFonts w:ascii="Times New Roman" w:hAnsi="Times New Roman"/>
          <w:b w:val="false"/>
          <w:i w:val="false"/>
          <w:color w:val="000000"/>
          <w:sz w:val="22"/>
        </w:rPr>
        <w:t xml:space="preserve"> shall be no greater than 0.05, for any specific combination of selected technique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mA/mS linearity. </w:t>
      </w:r>
      <w:r>
        <w:rPr>
          <w:rFonts w:ascii="Times New Roman" w:hAnsi="Times New Roman"/>
          <w:b w:val="false"/>
          <w:i w:val="false"/>
          <w:color w:val="000000"/>
          <w:sz w:val="22"/>
        </w:rPr>
        <w:t>The following requirements apply when the equipment is operated on a power supply as specified by the manufacturer for any fixed X-ray tube potential within the range of 40 percent to 100 percent of the maximum 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having independent selection of X-ray tube current (mA). The average ratios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of exposure to the indicated milliampere-seconds product, in units of C kg</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mAs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(or mR/mAs), obtained at any two consecutive tube current settings shall not differ by more than 0.10 times their sum: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(X</w:t>
      </w:r>
      <w:r>
        <w:rPr>
          <w:rFonts w:ascii="Times New Roman" w:hAnsi="Times New Roman"/>
          <w:b w:val="false"/>
          <w:i w:val="false"/>
          <w:color w:val="000000"/>
          <w:sz w:val="18"/>
          <w:vertAlign w:val="subscript"/>
        </w:rPr>
        <w:t xml:space="preserve">1 </w:t>
      </w:r>
      <w:r>
        <w:rPr>
          <w:rFonts w:ascii="Times New Roman" w:hAnsi="Times New Roman"/>
          <w:b w:val="false"/>
          <w:i w:val="false"/>
          <w:color w:val="000000"/>
          <w:sz w:val="22"/>
        </w:rPr>
        <w:t>-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 0.1 (X</w:t>
      </w:r>
      <w:r>
        <w:rPr>
          <w:rFonts w:ascii="Times New Roman" w:hAnsi="Times New Roman"/>
          <w:b w:val="false"/>
          <w:i w:val="false"/>
          <w:color w:val="000000"/>
          <w:sz w:val="12"/>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2"/>
          <w:vertAlign w:val="sub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and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are the average values obtained at each of two consecutive tube current settings, or at two settings differing by no more than a factor of 2 where the tube current selection is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having a combined X-ray tube current-exposure time product (mAs) selector, but not a separate tube current (mA) selector. The average ratios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of exposure to the indicated milliampere-seconds product, in units of C kg</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mAs</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(or mR/mAs), obtained at any two consecutive mAs selector settings shall not differ by more than 0.10 times their sum: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(X</w:t>
      </w:r>
      <w:r>
        <w:rPr>
          <w:rFonts w:ascii="Times New Roman" w:hAnsi="Times New Roman"/>
          <w:b w:val="false"/>
          <w:i w:val="false"/>
          <w:color w:val="000000"/>
          <w:sz w:val="18"/>
          <w:vertAlign w:val="subscript"/>
        </w:rPr>
        <w:t xml:space="preserve">1 </w:t>
      </w:r>
      <w:r>
        <w:rPr>
          <w:rFonts w:ascii="Times New Roman" w:hAnsi="Times New Roman"/>
          <w:b w:val="false"/>
          <w:i w:val="false"/>
          <w:color w:val="000000"/>
          <w:sz w:val="22"/>
        </w:rPr>
        <w:t>-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 0.1 (X</w:t>
      </w:r>
      <w:r>
        <w:rPr>
          <w:rFonts w:ascii="Times New Roman" w:hAnsi="Times New Roman"/>
          <w:b w:val="false"/>
          <w:i w:val="false"/>
          <w:color w:val="000000"/>
          <w:sz w:val="12"/>
          <w:vertAlign w:val="subscript"/>
        </w:rPr>
        <w:t>1</w:t>
      </w:r>
      <w:r>
        <w:rPr>
          <w:rFonts w:ascii="Times New Roman" w:hAnsi="Times New Roman"/>
          <w:b w:val="false"/>
          <w:i w:val="false"/>
          <w:color w:val="000000"/>
          <w:sz w:val="22"/>
        </w:rPr>
        <w:t xml:space="preserve"> + X</w:t>
      </w:r>
      <w:r>
        <w:rPr>
          <w:rFonts w:ascii="Times New Roman" w:hAnsi="Times New Roman"/>
          <w:b w:val="false"/>
          <w:i w:val="false"/>
          <w:color w:val="000000"/>
          <w:sz w:val="12"/>
          <w:vertAlign w:val="sub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where X</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and X</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are the average values obtained at any two mAs selector settings, or at two settings differing by no more than a factor of 2 where the mAs selector provides continuous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Measuring compliance. Determination of compliance shall be based on 10 exposures taken within a time period of one hour, at each of the two settings. These two settings may include any two focal spot sizes except where one is equal to or less than 0.45 millimeters and the other is greater than 0.45 millimeters. For purposes of this requirement, focal spot size is the nominal focal spot size specified by the X-ray tube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Accuracy. </w:t>
      </w:r>
      <w:r>
        <w:rPr>
          <w:rFonts w:ascii="Times New Roman" w:hAnsi="Times New Roman"/>
          <w:b w:val="false"/>
          <w:i w:val="false"/>
          <w:color w:val="000000"/>
          <w:sz w:val="22"/>
        </w:rPr>
        <w:t>Deviation of technique factors from indicated values for kVp and exposure time (if time is independently selectable) shall not exceed the limits specified for that system by its manufacturer. In the absence of manufacturer’s specifications the deviation shall not exceed 10 percent of the indicated value for kVp and 20 percent for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kVp limitations. </w:t>
      </w:r>
      <w:r>
        <w:rPr>
          <w:rFonts w:ascii="Times New Roman" w:hAnsi="Times New Roman"/>
          <w:b w:val="false"/>
          <w:i w:val="false"/>
          <w:color w:val="000000"/>
          <w:sz w:val="22"/>
        </w:rPr>
        <w:t>Dental X-ray machine with a nominal fixed kVp of less than 50 kVp shall not be used to make diagnostic dental radiographs of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and film holding devices shall be used when the techniques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tube housing and the PID for stationary or mobile systems shall not be held by the operator during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X-ray system shall be operated in such a manner that the useful beam at the patient’s skin does not exceed the requirements of </w:t>
      </w:r>
      <w:hyperlink r:id="rId77">
        <w:r>
          <w:rPr>
            <w:rStyle w:val="Hyperlink"/>
            <w:rFonts w:ascii="Times New Roman" w:hAnsi="Times New Roman"/>
            <w:b w:val="false"/>
            <w:i w:val="false"/>
            <w:color w:val="000000"/>
            <w:sz w:val="22"/>
          </w:rPr>
          <w:t>41.1(7)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Dental fluoroscopy without image intensification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 Handheld dental X-ray systems. </w:t>
      </w:r>
      <w:r>
        <w:rPr>
          <w:rFonts w:ascii="Times New Roman" w:hAnsi="Times New Roman"/>
          <w:b w:val="false"/>
          <w:i w:val="false"/>
          <w:color w:val="000000"/>
          <w:sz w:val="22"/>
        </w:rPr>
        <w:t>Only equipment specifically designed by the manufacturer to be held by the operator for intraoral dental X-ray exposures is allowed to be operated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Operators shall be specifically trained to operate the equipment. Records of training shall be kept at the facility until the operator is no longer an employee or until the equipment is removed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Protective aprons of not less than 0.25 millimeter lead equivalent shall be provided for operators to wear while operating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Dosimetry shall be provided for operators who are expected to exceed 10 percent of the annual occupational dose limit as outlined in </w:t>
      </w:r>
      <w:hyperlink r:id="rId78">
        <w:r>
          <w:rPr>
            <w:rStyle w:val="Hyperlink"/>
            <w:rFonts w:ascii="Times New Roman" w:hAnsi="Times New Roman"/>
            <w:b w:val="false"/>
            <w:i w:val="false"/>
            <w:color w:val="000000"/>
            <w:sz w:val="22"/>
          </w:rPr>
          <w:t>641—40.84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Operators shall operate the equipment according to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image receptor used must be digital radiography (DR), computed radiography (CR), or intraoral film with a speed class designated as “E/F” or a film with a faster speed designation than “F” or “E/F.”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individual except the equipment operator may be within a radius of at least 6 feet from the patient during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equipment shall not be operated unless the backscatter shield is in place as designed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equipment shall not be operated in hallways, waiting rooms, or other areas where access for individuals of the general public cannot be controlled.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equipment shall be held without any motion during a patient examination. If the operator has difficulty in holding the equipment stationary, the operator shall use a tube stand. The equipment shall be operated on a tube stand whenever practicable to avoid unnecessary motion and retakes.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When not in use, the equipment shall be stored in a manner that would prevent inadvertent exposures or use by unauthorized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w:t>
      </w:r>
      <w:r>
        <w:rPr>
          <w:rFonts w:ascii="Times New Roman" w:hAnsi="Times New Roman"/>
          <w:b w:val="false"/>
          <w:i w:val="false"/>
          <w:color w:val="000000"/>
          <w:sz w:val="22"/>
        </w:rPr>
        <w:t> </w:t>
      </w:r>
      <w:r>
        <w:rPr>
          <w:rFonts w:ascii="Times New Roman" w:hAnsi="Times New Roman"/>
          <w:b w:val="false"/>
          <w:i/>
          <w:color w:val="000000"/>
          <w:sz w:val="22"/>
        </w:rPr>
        <w:t xml:space="preserve">Bone densitometry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additional shielding for the room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Film badges, OSL devices, or TLDs must be issued for the first six months to all personnel operating the unit. If monitoring indicates no exposure, the IDPH may allow discontinuance of monitoring upon written request. When new procedures are started that have not been previously monitored, monitoring must be reinstated for six months and another request for discontinuance submitted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operating procedures must be prepared and made available at the operator’s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Bone densitometry on human patients shall be conducted only under a prescription of a licensed physician, a licensed physician assistant as defined in Iowa Code section </w:t>
      </w:r>
      <w:hyperlink r:id="rId79">
        <w:r>
          <w:rPr>
            <w:rStyle w:val="Hyperlink"/>
            <w:rFonts w:ascii="Times New Roman" w:hAnsi="Times New Roman"/>
            <w:b w:val="false"/>
            <w:i w:val="false"/>
            <w:color w:val="000000"/>
            <w:sz w:val="22"/>
          </w:rPr>
          <w:t>148C.1, subsection 6</w:t>
        </w:r>
      </w:hyperlink>
      <w:r>
        <w:rPr>
          <w:rFonts w:ascii="Times New Roman" w:hAnsi="Times New Roman"/>
          <w:b w:val="false"/>
          <w:i w:val="false"/>
          <w:color w:val="000000"/>
          <w:sz w:val="22"/>
        </w:rPr>
        <w:t xml:space="preserve">, or a licensed registered nurse who is registered as an advanced registered nurse practitioner pursuant to Iowa Code chapter </w:t>
      </w:r>
      <w:hyperlink r:id="rId8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During the operation of the bone densitometry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 ancillary personnel, and members of the general public shall be positioned at least one meter from the patient and bone densitometry system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operator shall advise the patient that the bone densitometry examination is a type of X-ray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shall be maintained and operated in accordance with the manufacturer’s specifications. Records of maintenance shall be kept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41.1(10)</w:t>
      </w:r>
      <w:r>
        <w:rPr>
          <w:rFonts w:ascii="Times New Roman" w:hAnsi="Times New Roman"/>
          <w:b w:val="false"/>
          <w:i w:val="false"/>
          <w:color w:val="000000"/>
          <w:sz w:val="22"/>
        </w:rPr>
        <w:t> </w:t>
      </w:r>
      <w:r>
        <w:rPr>
          <w:rFonts w:ascii="Times New Roman" w:hAnsi="Times New Roman"/>
          <w:b w:val="false"/>
          <w:i/>
          <w:color w:val="000000"/>
          <w:sz w:val="22"/>
        </w:rPr>
        <w:t xml:space="preserve">Veterinary medicine radiographic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protective tube housing shall be equivalent to the requirements of </w:t>
      </w:r>
      <w:hyperlink r:id="rId81">
        <w:r>
          <w:rPr>
            <w:rStyle w:val="Hyperlink"/>
            <w:rFonts w:ascii="Times New Roman" w:hAnsi="Times New Roman"/>
            <w:b w:val="false"/>
            <w:i w:val="false"/>
            <w:color w:val="000000"/>
            <w:sz w:val="22"/>
          </w:rPr>
          <w:t>41.1(4)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Diaphragms or cones shall be provided for collimating the useful beam to the area of clinical interest and shall provide the same degree of protection as is required of the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filtration permanently in the useful beam shall not be less than 0.5 millimeters aluminum equivalent for machines operating up to 50 kVp, 1.5 millimeters aluminum equivalent for machines operating between 50 and 70 kVp, and 2.5 millimeters aluminum equivalent for machines operating above 70 kVp.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Operator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wall, ceiling, and floor areas shall be equivalent to or provided with applicable protective barriers to ensure compliance with </w:t>
      </w:r>
      <w:hyperlink r:id="rId82">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641—40.21(136C)</w:t>
        </w:r>
      </w:hyperlink>
      <w:r>
        <w:rPr>
          <w:rFonts w:ascii="Times New Roman" w:hAnsi="Times New Roman"/>
          <w:b w:val="false"/>
          <w:i w:val="false"/>
          <w:color w:val="000000"/>
          <w:sz w:val="22"/>
        </w:rPr>
        <w:t xml:space="preserve"> and 641—subrule </w:t>
      </w:r>
      <w:hyperlink r:id="rId84">
        <w:r>
          <w:rPr>
            <w:rStyle w:val="Hyperlink"/>
            <w:rFonts w:ascii="Times New Roman" w:hAnsi="Times New Roman"/>
            <w:b w:val="false"/>
            <w:i w:val="false"/>
            <w:color w:val="000000"/>
            <w:sz w:val="22"/>
          </w:rPr>
          <w:t>40.26(1)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stationary, mobile or portable X-ray systems shall be provided with either a 2 meter (6.5 feet) high protective barrier for operator protections during exposures, or shall be provided with means to allow the operator to be at least 2.7 meters (9 feet) from the tube housing assembly during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Operating procedures. </w:t>
      </w:r>
      <w:r>
        <w:rPr>
          <w:rFonts w:ascii="Times New Roman" w:hAnsi="Times New Roman"/>
          <w:b w:val="false"/>
          <w:i w:val="false"/>
          <w:color w:val="000000"/>
          <w:sz w:val="22"/>
        </w:rPr>
        <w:t xml:space="preserve">Veterinary medicine radiographic installations are exempt from the requirements of </w:t>
      </w:r>
      <w:hyperlink r:id="rId85">
        <w:r>
          <w:rPr>
            <w:rStyle w:val="Hyperlink"/>
            <w:rFonts w:ascii="Times New Roman" w:hAnsi="Times New Roman"/>
            <w:b w:val="false"/>
            <w:i w:val="false"/>
            <w:color w:val="000000"/>
            <w:sz w:val="22"/>
          </w:rPr>
          <w:t>641—41.1(136C)</w:t>
        </w:r>
      </w:hyperlink>
      <w:r>
        <w:rPr>
          <w:rFonts w:ascii="Times New Roman" w:hAnsi="Times New Roman"/>
          <w:b w:val="false"/>
          <w:i w:val="false"/>
          <w:color w:val="000000"/>
          <w:sz w:val="22"/>
        </w:rPr>
        <w:t xml:space="preserve"> except for </w:t>
      </w:r>
      <w:hyperlink r:id="rId86">
        <w:r>
          <w:rPr>
            <w:rStyle w:val="Hyperlink"/>
            <w:rFonts w:ascii="Times New Roman" w:hAnsi="Times New Roman"/>
            <w:b w:val="false"/>
            <w:i w:val="false"/>
            <w:color w:val="000000"/>
            <w:sz w:val="22"/>
          </w:rPr>
          <w:t>subrules 41.1(3)</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41.1(10)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individual other than the operator shall be in the X-ray room while exposures are being made unless such individual’s assistance is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operator shall stand behind the protective barrier of 9 feet from the useful beam and the animal during radiographic exposures,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 animal must be held in position during radiography, mechanical supporting or restraining devices should be used. If the animal must be held by an individual, that individual shall be protected with appropriate shielding devices, such as protective gloves and apron, and shall be so positioned that no part of the holder’s body will be struck by the useful beam. The exposure of any individual used for this purpose shall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color w:val="000000"/>
          <w:sz w:val="22"/>
        </w:rPr>
        <w:t xml:space="preserve">Computed tomography X-ray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In addition to the definitions provided in </w:t>
      </w:r>
      <w:hyperlink r:id="rId88">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641—40.2(136C)</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41.1(2)</w:t>
        </w:r>
      </w:hyperlink>
      <w:r>
        <w:rPr>
          <w:rFonts w:ascii="Times New Roman" w:hAnsi="Times New Roman"/>
          <w:b w:val="false"/>
          <w:i w:val="false"/>
          <w:color w:val="000000"/>
          <w:sz w:val="22"/>
        </w:rPr>
        <w:t xml:space="preserve">, the following definitions shall be applicable to </w:t>
      </w:r>
      <w:hyperlink r:id="rId91">
        <w:r>
          <w:rPr>
            <w:rStyle w:val="Hyperlink"/>
            <w:rFonts w:ascii="Times New Roman" w:hAnsi="Times New Roman"/>
            <w:b w:val="false"/>
            <w:i w:val="false"/>
            <w:color w:val="000000"/>
            <w:sz w:val="22"/>
          </w:rPr>
          <w:t>41.1(11)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“Computed tomography dose index” </w:t>
      </w:r>
      <w:r>
        <w:rPr>
          <w:rFonts w:ascii="Times New Roman" w:hAnsi="Times New Roman"/>
          <w:b w:val="false"/>
          <w:i w:val="false"/>
          <w:color w:val="000000"/>
          <w:sz w:val="22"/>
        </w:rPr>
        <w:t>means the integral from –7T to +7T of the dose profile along a line perpendicular to the tomographic plane divided by the product of the nominal tomographic section thickness and the number of tomograms produced in a single scan, that is:</w:t>
      </w:r>
    </w:p>
    <w:tbl>
      <w:tblPr>
        <w:tblW w:w="5000" w:type="pct"/>
        <w:tblCellSpacing w:w="0" w:type="auto"/>
        <w:tblBorders>
          <w:top w:val="none"/>
          <w:left w:val="none"/>
          <w:bottom w:val="none"/>
          <w:right w:val="none"/>
          <w:insideH w:val="none"/>
          <w:insideV w:val="none"/>
        </w:tblBorders>
        <w:tblLayout w:type="fixed"/>
      </w:tblPr>
      <w:tblGrid>
        <w:gridCol w:w="2060"/>
        <w:gridCol w:w="2022"/>
        <w:gridCol w:w="1599"/>
        <w:gridCol w:w="1580"/>
        <w:gridCol w:w="1772"/>
        <w:gridCol w:w="2156"/>
      </w:tblGrid>
      <w:tr>
        <w:trPr>
          <w:trHeight w:val="210" w:hRule="atLeast"/>
        </w:trPr>
        <w:tc>
          <w:tcPr>
            <w:tcW w:w="206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CTDI</w:t>
            </w:r>
          </w:p>
        </w:tc>
        <w:tc>
          <w:tcPr>
            <w:tcW w:w="202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48"/>
              </w:rPr>
              <w:t>∫</w:t>
            </w:r>
          </w:p>
        </w:tc>
        <w:tc>
          <w:tcPr>
            <w:tcW w:w="177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+7T</w:t>
            </w:r>
          </w:p>
        </w:tc>
        <w:tc>
          <w:tcPr>
            <w:tcW w:w="21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tcBorders>
          </w:tcPr>
          <w:p/>
        </w:tc>
        <w:tc>
          <w:tcPr>
            <w:tcW w:w="0" w:type="auto"/>
            <w:vMerge/>
            <w:tcBorders>
              <w:top w:val="nil"/>
            </w:tcBorders>
          </w:tcPr>
          <w:p/>
        </w:tc>
        <w:tc>
          <w:tcPr>
            <w:tcW w:w="159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0" w:type="auto"/>
            <w:vMerge/>
            <w:tcBorders>
              <w:top w:val="nil"/>
            </w:tcBorders>
          </w:tcPr>
          <w:p/>
        </w:tc>
        <w:tc>
          <w:tcPr>
            <w:tcW w:w="0" w:type="auto"/>
            <w:vMerge/>
            <w:tcBorders>
              <w:top w:val="nil"/>
            </w:tcBorders>
          </w:tcPr>
          <w:p/>
        </w:tc>
        <w:tc>
          <w:tcPr>
            <w:tcW w:w="21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D(z) dz</w:t>
            </w:r>
          </w:p>
        </w:tc>
      </w:tr>
      <w:tr>
        <w:trPr>
          <w:trHeight w:val="225" w:hRule="atLeast"/>
        </w:trPr>
        <w:tc>
          <w:tcPr>
            <w:tcW w:w="0" w:type="auto"/>
            <w:vMerge/>
            <w:tcBorders>
              <w:top w:val="nil"/>
            </w:tcBorders>
          </w:tcPr>
          <w:p/>
        </w:tc>
        <w:tc>
          <w:tcPr>
            <w:tcW w:w="0" w:type="auto"/>
            <w:vMerge/>
            <w:tcBorders>
              <w:top w:val="nil"/>
            </w:tcBorders>
          </w:tcPr>
          <w:p/>
        </w:tc>
        <w:tc>
          <w:tcPr>
            <w:tcW w:w="159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nT</w:t>
            </w:r>
          </w:p>
        </w:tc>
        <w:tc>
          <w:tcPr>
            <w:tcW w:w="0" w:type="auto"/>
            <w:vMerge/>
            <w:tcBorders>
              <w:top w:val="nil"/>
            </w:tcBorders>
          </w:tcPr>
          <w:p/>
        </w:tc>
        <w:tc>
          <w:tcPr>
            <w:tcW w:w="177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-7T</w:t>
            </w:r>
          </w:p>
        </w:tc>
        <w:tc>
          <w:tcPr>
            <w:tcW w:w="0" w:type="auto"/>
            <w:vMerge/>
            <w:tcBorders>
              <w:top w:val="nil"/>
            </w:tcBorders>
          </w:tcPr>
          <w:p/>
        </w:tc>
      </w:tr>
      <w:tr>
        <w:trPr>
          <w:trHeight w:val="210" w:hRule="atLeast"/>
        </w:trPr>
        <w:tc>
          <w:tcPr>
            <w:tcW w:w="0" w:type="auto"/>
            <w:vMerge/>
            <w:tcBorders>
              <w:top w:val="nil"/>
            </w:tcBorders>
          </w:tcPr>
          <w:p/>
        </w:tc>
        <w:tc>
          <w:tcPr>
            <w:tcW w:w="0" w:type="auto"/>
            <w:vMerge/>
            <w:tcBorders>
              <w:top w:val="nil"/>
            </w:tcBorders>
          </w:tcP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21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where:</w:t>
      </w:r>
    </w:p>
    <w:tbl>
      <w:tblPr>
        <w:tblW w:w="5000" w:type="pct"/>
        <w:tblCellSpacing w:w="0" w:type="auto"/>
        <w:tblBorders>
          <w:top w:val="none"/>
          <w:left w:val="none"/>
          <w:bottom w:val="none"/>
          <w:right w:val="none"/>
          <w:insideH w:val="none"/>
          <w:insideV w:val="none"/>
        </w:tblBorders>
        <w:tblLayout w:type="fixed"/>
      </w:tblPr>
      <w:tblGrid>
        <w:gridCol w:w="1306"/>
        <w:gridCol w:w="154"/>
        <w:gridCol w:w="10060"/>
      </w:tblGrid>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z = </w:t>
            </w:r>
          </w:p>
        </w:tc>
        <w:tc>
          <w:tcPr>
            <w:tcW w:w="154" w:type="dxa"/>
            <w:tcBorders/>
            <w:tcMar>
              <w:top w:w="30" w:type="dxa"/>
              <w:left w:w="30" w:type="dxa"/>
              <w:bottom w:w="15" w:type="dxa"/>
              <w:right w:w="30" w:type="dxa"/>
            </w:tcMar>
            <w:vAlign w:val="top"/>
          </w:tcP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Position along a line perpendicular to the tomographic plane.</w:t>
            </w:r>
          </w:p>
        </w:tc>
      </w:tr>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D(z)= </w:t>
            </w:r>
          </w:p>
        </w:tc>
        <w:tc>
          <w:tcPr>
            <w:tcW w:w="154" w:type="dxa"/>
            <w:tcBorders/>
            <w:tcMar>
              <w:top w:w="30" w:type="dxa"/>
              <w:left w:w="30" w:type="dxa"/>
              <w:bottom w:w="15" w:type="dxa"/>
              <w:right w:w="30" w:type="dxa"/>
            </w:tcMar>
            <w:vAlign w:val="top"/>
          </w:tcP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Dose at position z.</w:t>
            </w:r>
          </w:p>
        </w:tc>
      </w:tr>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T =</w:t>
            </w:r>
          </w:p>
        </w:tc>
        <w:tc>
          <w:tcPr>
            <w:tcW w:w="154" w:type="dxa"/>
            <w:tcBorders/>
            <w:tcMar>
              <w:top w:w="30" w:type="dxa"/>
              <w:left w:w="30" w:type="dxa"/>
              <w:bottom w:w="15" w:type="dxa"/>
              <w:right w:w="30" w:type="dxa"/>
            </w:tcMar>
            <w:vAlign w:val="top"/>
          </w:tcP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Nominal tomographic section thickness.</w:t>
            </w:r>
          </w:p>
        </w:tc>
      </w:tr>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n =</w:t>
            </w:r>
          </w:p>
        </w:tc>
        <w:tc>
          <w:tcPr>
            <w:tcW w:w="154" w:type="dxa"/>
            <w:tcBorders/>
            <w:tcMar>
              <w:top w:w="30" w:type="dxa"/>
              <w:left w:w="30" w:type="dxa"/>
              <w:bottom w:w="15" w:type="dxa"/>
              <w:right w:w="30" w:type="dxa"/>
            </w:tcMar>
            <w:vAlign w:val="top"/>
          </w:tcP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Number of tomograms produced in a single scan.</w:t>
            </w:r>
          </w:p>
        </w:tc>
      </w:tr>
    </w:tbl>
    <w:p>
      <w:pPr>
        <w:spacing w:before="0" w:after="0"/>
        <w:ind w:left="120"/>
        <w:jc w:val="both"/>
      </w:pPr>
      <w:r>
        <w:rPr>
          <w:rFonts w:ascii="Times New Roman" w:hAnsi="Times New Roman"/>
          <w:b w:val="false"/>
          <w:i w:val="false"/>
          <w:color w:val="000000"/>
          <w:sz w:val="22"/>
        </w:rPr>
        <w:t>This definition assumes that the dose profile is centered around z = 0 and that, for a multiple tomogram system, the scan increment between adjacent scans is 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“Contrast scale” </w:t>
      </w:r>
      <w:r>
        <w:rPr>
          <w:rFonts w:ascii="Times New Roman" w:hAnsi="Times New Roman"/>
          <w:b w:val="false"/>
          <w:i w:val="false"/>
          <w:color w:val="000000"/>
          <w:sz w:val="22"/>
        </w:rPr>
        <w:t>means the change in the linear attenuation coefficient per CTN relative to water, that is:</w:t>
      </w:r>
    </w:p>
    <w:tbl>
      <w:tblPr>
        <w:tblW w:w="5000" w:type="pct"/>
        <w:tblCellSpacing w:w="0" w:type="auto"/>
        <w:tblBorders>
          <w:top w:val="none"/>
          <w:left w:val="none"/>
          <w:bottom w:val="none"/>
          <w:right w:val="none"/>
          <w:insideH w:val="none"/>
          <w:insideV w:val="none"/>
        </w:tblBorders>
        <w:tblLayout w:type="fixed"/>
      </w:tblPr>
      <w:tblGrid>
        <w:gridCol w:w="3378"/>
        <w:gridCol w:w="3186"/>
        <w:gridCol w:w="4626"/>
      </w:tblGrid>
      <w:tr>
        <w:trPr>
          <w:trHeight w:val="330" w:hRule="atLeast"/>
        </w:trPr>
        <w:tc>
          <w:tcPr>
            <w:tcW w:w="337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CS</w:t>
            </w:r>
          </w:p>
        </w:tc>
        <w:tc>
          <w:tcPr>
            <w:tcW w:w="31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462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µ</w:t>
            </w:r>
            <w:r>
              <w:rPr>
                <w:rFonts w:ascii="Times New Roman" w:hAnsi="Times New Roman"/>
                <w:b w:val="false"/>
                <w:i w:val="false"/>
                <w:color w:val="000000"/>
                <w:sz w:val="18"/>
                <w:vertAlign w:val="subscript"/>
              </w:rPr>
              <w:t>x</w:t>
            </w:r>
            <w:r>
              <w:rPr>
                <w:rFonts w:ascii="Times New Roman" w:hAnsi="Times New Roman"/>
                <w:b w:val="false"/>
                <w:i w:val="false"/>
                <w:color w:val="000000"/>
                <w:sz w:val="20"/>
              </w:rPr>
              <w:t xml:space="preserve"> - µ</w:t>
            </w:r>
            <w:r>
              <w:rPr>
                <w:rFonts w:ascii="Times New Roman" w:hAnsi="Times New Roman"/>
                <w:b w:val="false"/>
                <w:i w:val="false"/>
                <w:color w:val="000000"/>
                <w:sz w:val="18"/>
                <w:vertAlign w:val="subscript"/>
              </w:rPr>
              <w:t>w</w:t>
            </w:r>
          </w:p>
        </w:tc>
      </w:tr>
      <w:tr>
        <w:trPr>
          <w:trHeight w:val="330" w:hRule="atLeast"/>
        </w:trPr>
        <w:tc>
          <w:tcPr>
            <w:tcW w:w="0" w:type="auto"/>
            <w:vMerge/>
            <w:tcBorders>
              <w:top w:val="nil"/>
            </w:tcBorders>
          </w:tcPr>
          <w:p/>
        </w:tc>
        <w:tc>
          <w:tcPr>
            <w:tcW w:w="0" w:type="auto"/>
            <w:vMerge/>
            <w:tcBorders>
              <w:top w:val="nil"/>
            </w:tcBorders>
          </w:tcPr>
          <w:p/>
        </w:tc>
        <w:tc>
          <w:tcPr>
            <w:tcW w:w="462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CTN</w:t>
            </w:r>
            <w:r>
              <w:rPr>
                <w:rFonts w:ascii="Times New Roman" w:hAnsi="Times New Roman"/>
                <w:b w:val="false"/>
                <w:i w:val="false"/>
                <w:color w:val="000000"/>
                <w:sz w:val="18"/>
                <w:vertAlign w:val="subscript"/>
              </w:rPr>
              <w:t>x</w:t>
            </w:r>
            <w:r>
              <w:rPr>
                <w:rFonts w:ascii="Times New Roman" w:hAnsi="Times New Roman"/>
                <w:b w:val="false"/>
                <w:i w:val="false"/>
                <w:color w:val="000000"/>
                <w:sz w:val="20"/>
              </w:rPr>
              <w:t xml:space="preserve"> - </w:t>
            </w:r>
            <w:r>
              <w:rPr>
                <w:rFonts w:ascii="Times New Roman" w:hAnsi="Times New Roman"/>
                <w:b w:val="false"/>
                <w:i w:val="false"/>
                <w:color w:val="000000"/>
                <w:sz w:val="20"/>
              </w:rPr>
              <w:t>CTN</w:t>
            </w:r>
            <w:r>
              <w:rPr>
                <w:rFonts w:ascii="Times New Roman" w:hAnsi="Times New Roman"/>
                <w:b w:val="false"/>
                <w:i w:val="false"/>
                <w:color w:val="000000"/>
                <w:sz w:val="18"/>
                <w:vertAlign w:val="subscript"/>
              </w:rPr>
              <w:t>w</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µ</w:t>
      </w:r>
      <w:r>
        <w:rPr>
          <w:rFonts w:ascii="Times New Roman" w:hAnsi="Times New Roman"/>
          <w:b w:val="false"/>
          <w:i w:val="false"/>
          <w:color w:val="000000"/>
          <w:sz w:val="18"/>
          <w:vertAlign w:val="subscript"/>
        </w:rPr>
        <w:t xml:space="preserve">x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Linear attenuation coefficient of the material of interest.</w:t>
      </w:r>
    </w:p>
    <w:p>
      <w:pPr>
        <w:spacing w:before="0" w:after="0"/>
        <w:ind w:left="120"/>
        <w:jc w:val="both"/>
      </w:pPr>
      <w:r>
        <w:rPr>
          <w:rFonts w:ascii="Times New Roman" w:hAnsi="Times New Roman"/>
          <w:b w:val="false"/>
          <w:i w:val="false"/>
          <w:color w:val="000000"/>
          <w:sz w:val="22"/>
        </w:rPr>
        <w:t>µ</w:t>
      </w:r>
      <w:r>
        <w:rPr>
          <w:rFonts w:ascii="Times New Roman" w:hAnsi="Times New Roman"/>
          <w:b w:val="false"/>
          <w:i w:val="false"/>
          <w:color w:val="000000"/>
          <w:sz w:val="18"/>
          <w:vertAlign w:val="subscript"/>
        </w:rPr>
        <w:t xml:space="preserve">w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Linear attenuation coefficient of water.</w:t>
      </w:r>
    </w:p>
    <w:p>
      <w:pPr>
        <w:spacing w:before="0" w:after="0"/>
        <w:ind w:left="120"/>
        <w:jc w:val="both"/>
      </w:pPr>
      <w:r>
        <w:rPr>
          <w:rFonts w:ascii="Times New Roman" w:hAnsi="Times New Roman"/>
          <w:b w:val="false"/>
          <w:i w:val="false"/>
          <w:color w:val="000000"/>
          <w:sz w:val="22"/>
        </w:rPr>
        <w:t>CTN</w:t>
      </w:r>
      <w:r>
        <w:rPr>
          <w:rFonts w:ascii="Times New Roman" w:hAnsi="Times New Roman"/>
          <w:b w:val="false"/>
          <w:i w:val="false"/>
          <w:color w:val="000000"/>
          <w:sz w:val="18"/>
          <w:vertAlign w:val="subscript"/>
        </w:rPr>
        <w:t xml:space="preserve">x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of the material of interest.</w:t>
      </w:r>
    </w:p>
    <w:p>
      <w:pPr>
        <w:spacing w:before="0" w:after="0"/>
        <w:ind w:left="120"/>
        <w:jc w:val="both"/>
      </w:pPr>
      <w:r>
        <w:rPr>
          <w:rFonts w:ascii="Times New Roman" w:hAnsi="Times New Roman"/>
          <w:b w:val="false"/>
          <w:i w:val="false"/>
          <w:color w:val="000000"/>
          <w:sz w:val="22"/>
        </w:rPr>
        <w:t>CTN</w:t>
      </w:r>
      <w:r>
        <w:rPr>
          <w:rFonts w:ascii="Times New Roman" w:hAnsi="Times New Roman"/>
          <w:b w:val="false"/>
          <w:i w:val="false"/>
          <w:color w:val="000000"/>
          <w:sz w:val="18"/>
          <w:vertAlign w:val="subscript"/>
        </w:rPr>
        <w:t xml:space="preserve">w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of water.</w:t>
      </w:r>
    </w:p>
    <w:p>
      <w:pPr>
        <w:spacing w:before="0" w:after="0"/>
        <w:ind w:left="120"/>
        <w:jc w:val="both"/>
      </w:pPr>
      <w:r>
        <w:rPr>
          <w:rFonts w:ascii="Times New Roman" w:hAnsi="Times New Roman"/>
          <w:b w:val="false"/>
          <w:i/>
          <w:color w:val="000000"/>
          <w:sz w:val="22"/>
        </w:rPr>
        <w:t>“CS”</w:t>
      </w:r>
      <w:r>
        <w:rPr>
          <w:rFonts w:ascii="Times New Roman" w:hAnsi="Times New Roman"/>
          <w:b w:val="false"/>
          <w:i w:val="false"/>
          <w:color w:val="000000"/>
          <w:sz w:val="22"/>
        </w:rPr>
        <w:t xml:space="preserve"> (see “Contrast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conditions of operation” </w:t>
      </w:r>
      <w:r>
        <w:rPr>
          <w:rFonts w:ascii="Times New Roman" w:hAnsi="Times New Roman"/>
          <w:b w:val="false"/>
          <w:i w:val="false"/>
          <w:color w:val="000000"/>
          <w:sz w:val="22"/>
        </w:rPr>
        <w:t xml:space="preserve">means all selectable parameters governing the operation of a CT X-ray system including, but not limited to, nominal tomographic section thickness, filtration, and the technique factors as defined in </w:t>
      </w:r>
      <w:hyperlink r:id="rId92">
        <w:r>
          <w:rPr>
            <w:rStyle w:val="Hyperlink"/>
            <w:rFonts w:ascii="Times New Roman" w:hAnsi="Times New Roman"/>
            <w:b w:val="false"/>
            <w:i w:val="false"/>
            <w:color w:val="000000"/>
            <w:sz w:val="22"/>
          </w:rPr>
          <w:t>41.1(2)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“CTDI” </w:t>
      </w:r>
      <w:r>
        <w:rPr>
          <w:rFonts w:ascii="Times New Roman" w:hAnsi="Times New Roman"/>
          <w:b w:val="false"/>
          <w:i w:val="false"/>
          <w:color w:val="000000"/>
          <w:sz w:val="22"/>
        </w:rPr>
        <w:t>(see “Computed tomography dose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 gantry” </w:t>
      </w:r>
      <w:r>
        <w:rPr>
          <w:rFonts w:ascii="Times New Roman" w:hAnsi="Times New Roman"/>
          <w:b w:val="false"/>
          <w:i w:val="false"/>
          <w:color w:val="000000"/>
          <w:sz w:val="22"/>
        </w:rPr>
        <w:t>means the tube housing assemblies, beam-limiting devices, detectors, and the supporting structures and frames which hold these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“CTN” </w:t>
      </w:r>
      <w:r>
        <w:rPr>
          <w:rFonts w:ascii="Times New Roman" w:hAnsi="Times New Roman"/>
          <w:b w:val="false"/>
          <w:i w:val="false"/>
          <w:color w:val="000000"/>
          <w:sz w:val="22"/>
        </w:rPr>
        <w:t>(see “CT number”).</w:t>
      </w:r>
    </w:p>
    <w:p>
      <w:pPr>
        <w:spacing w:before="0" w:after="0"/>
        <w:ind w:left="120"/>
        <w:jc w:val="both"/>
      </w:pPr>
      <w:r>
        <w:rPr>
          <w:rFonts w:ascii="Times New Roman" w:hAnsi="Times New Roman"/>
          <w:b w:val="false"/>
          <w:i/>
          <w:color w:val="000000"/>
          <w:sz w:val="22"/>
        </w:rPr>
        <w:t>“CT number”</w:t>
      </w:r>
      <w:r>
        <w:rPr>
          <w:rFonts w:ascii="Times New Roman" w:hAnsi="Times New Roman"/>
          <w:b w:val="false"/>
          <w:i w:val="false"/>
          <w:color w:val="000000"/>
          <w:sz w:val="22"/>
        </w:rPr>
        <w:t xml:space="preserve"> means the number used to represent the X-ray attenuation associated with each elemental area of the CT image.</w:t>
      </w:r>
    </w:p>
    <w:tbl>
      <w:tblPr>
        <w:tblW w:w="5000" w:type="pct"/>
        <w:tblCellSpacing w:w="0" w:type="auto"/>
        <w:tblBorders>
          <w:top w:val="none"/>
          <w:left w:val="none"/>
          <w:bottom w:val="none"/>
          <w:right w:val="none"/>
          <w:insideH w:val="none"/>
          <w:insideV w:val="none"/>
        </w:tblBorders>
        <w:tblLayout w:type="fixed"/>
      </w:tblPr>
      <w:tblGrid>
        <w:gridCol w:w="3634"/>
        <w:gridCol w:w="3250"/>
        <w:gridCol w:w="4306"/>
      </w:tblGrid>
      <w:tr>
        <w:trPr>
          <w:trHeight w:val="330" w:hRule="atLeast"/>
        </w:trPr>
        <w:tc>
          <w:tcPr>
            <w:tcW w:w="363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CTN</w:t>
            </w:r>
          </w:p>
        </w:tc>
        <w:tc>
          <w:tcPr>
            <w:tcW w:w="325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430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k(µ</w:t>
            </w:r>
            <w:r>
              <w:rPr>
                <w:rFonts w:ascii="Times New Roman" w:hAnsi="Times New Roman"/>
                <w:b w:val="false"/>
                <w:i w:val="false"/>
                <w:color w:val="000000"/>
                <w:sz w:val="18"/>
                <w:vertAlign w:val="subscript"/>
              </w:rPr>
              <w:t>x</w:t>
            </w:r>
            <w:r>
              <w:rPr>
                <w:rFonts w:ascii="Times New Roman" w:hAnsi="Times New Roman"/>
                <w:b w:val="false"/>
                <w:i w:val="false"/>
                <w:color w:val="000000"/>
                <w:sz w:val="20"/>
              </w:rPr>
              <w:t xml:space="preserve"> - µ</w:t>
            </w:r>
            <w:r>
              <w:rPr>
                <w:rFonts w:ascii="Times New Roman" w:hAnsi="Times New Roman"/>
                <w:b w:val="false"/>
                <w:i w:val="false"/>
                <w:color w:val="000000"/>
                <w:sz w:val="18"/>
                <w:vertAlign w:val="subscript"/>
              </w:rPr>
              <w:t>w</w:t>
            </w:r>
            <w:r>
              <w:rPr>
                <w:rFonts w:ascii="Times New Roman" w:hAnsi="Times New Roman"/>
                <w:b w:val="false"/>
                <w:i w:val="false"/>
                <w:color w:val="000000"/>
                <w:sz w:val="20"/>
              </w:rPr>
              <w:t>)</w:t>
            </w:r>
          </w:p>
        </w:tc>
      </w:tr>
      <w:tr>
        <w:trPr>
          <w:trHeight w:val="330" w:hRule="atLeast"/>
        </w:trPr>
        <w:tc>
          <w:tcPr>
            <w:tcW w:w="0" w:type="auto"/>
            <w:vMerge/>
            <w:tcBorders>
              <w:top w:val="nil"/>
            </w:tcBorders>
          </w:tcPr>
          <w:p/>
        </w:tc>
        <w:tc>
          <w:tcPr>
            <w:tcW w:w="0" w:type="auto"/>
            <w:vMerge/>
            <w:tcBorders>
              <w:top w:val="nil"/>
            </w:tcBorders>
          </w:tcPr>
          <w:p/>
        </w:tc>
        <w:tc>
          <w:tcPr>
            <w:tcW w:w="430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µ</w:t>
            </w:r>
            <w:r>
              <w:rPr>
                <w:rFonts w:ascii="Times New Roman" w:hAnsi="Times New Roman"/>
                <w:b w:val="false"/>
                <w:i w:val="false"/>
                <w:color w:val="000000"/>
                <w:sz w:val="18"/>
                <w:vertAlign w:val="subscript"/>
              </w:rPr>
              <w:t>w</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 xml:space="preserve">k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A constant. (The constant has a normal value of 1,000 when the Houndsfield scale of CTN is used.)</w:t>
      </w:r>
    </w:p>
    <w:p>
      <w:pPr>
        <w:spacing w:before="0" w:after="0"/>
        <w:ind w:left="120"/>
        <w:jc w:val="both"/>
      </w:pPr>
      <w:r>
        <w:rPr>
          <w:rFonts w:ascii="Times New Roman" w:hAnsi="Times New Roman"/>
          <w:b w:val="false"/>
          <w:i w:val="false"/>
          <w:color w:val="000000"/>
          <w:sz w:val="22"/>
        </w:rPr>
        <w:t>µ</w:t>
      </w:r>
      <w:r>
        <w:rPr>
          <w:rFonts w:ascii="Times New Roman" w:hAnsi="Times New Roman"/>
          <w:b w:val="false"/>
          <w:i w:val="false"/>
          <w:color w:val="000000"/>
          <w:sz w:val="18"/>
          <w:vertAlign w:val="subscript"/>
        </w:rPr>
        <w:t xml:space="preserve">x </w:t>
      </w:r>
      <w:r>
        <w:rPr>
          <w:rFonts w:ascii="Times New Roman" w:hAnsi="Times New Roman"/>
          <w:b w:val="false"/>
          <w:i w:val="false"/>
          <w:color w:val="000000"/>
          <w:sz w:val="18"/>
        </w:rPr>
        <w:t> </w:t>
      </w:r>
    </w:p>
    <w:p>
      <w:pPr>
        <w:spacing w:before="0" w:after="0"/>
        <w:ind w:left="0"/>
        <w:jc w:val="both"/>
      </w:pPr>
      <w:r>
        <w:rPr>
          <w:rFonts w:ascii="Times New Roman" w:hAnsi="Times New Roman"/>
          <w:b w:val="false"/>
          <w:i w:val="false"/>
          <w:color w:val="000000"/>
          <w:sz w:val="22"/>
        </w:rPr>
        <w:t>= Linear attenuation coefficient of the material of interest.</w:t>
      </w:r>
    </w:p>
    <w:p>
      <w:pPr>
        <w:spacing w:before="0" w:after="0"/>
        <w:ind w:left="120"/>
        <w:jc w:val="both"/>
      </w:pPr>
      <w:r>
        <w:rPr>
          <w:rFonts w:ascii="Times New Roman" w:hAnsi="Times New Roman"/>
          <w:b w:val="false"/>
          <w:i w:val="false"/>
          <w:color w:val="000000"/>
          <w:sz w:val="22"/>
        </w:rPr>
        <w:t>µ</w:t>
      </w:r>
      <w:r>
        <w:rPr>
          <w:rFonts w:ascii="Times New Roman" w:hAnsi="Times New Roman"/>
          <w:b w:val="false"/>
          <w:i w:val="false"/>
          <w:color w:val="000000"/>
          <w:sz w:val="18"/>
          <w:vertAlign w:val="subscript"/>
        </w:rPr>
        <w:t xml:space="preserve">w </w:t>
      </w:r>
      <w:r>
        <w:rPr>
          <w:rFonts w:ascii="Times New Roman" w:hAnsi="Times New Roman"/>
          <w:b w:val="false"/>
          <w:i w:val="false"/>
          <w:color w:val="000000"/>
          <w:sz w:val="22"/>
        </w:rPr>
        <w:t>= Linear attenuation coefficient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“Dose profile” </w:t>
      </w:r>
      <w:r>
        <w:rPr>
          <w:rFonts w:ascii="Times New Roman" w:hAnsi="Times New Roman"/>
          <w:b w:val="false"/>
          <w:i w:val="false"/>
          <w:color w:val="000000"/>
          <w:sz w:val="22"/>
        </w:rPr>
        <w:t>means the dose as a function of position along a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“Elemental area” </w:t>
      </w:r>
      <w:r>
        <w:rPr>
          <w:rFonts w:ascii="Times New Roman" w:hAnsi="Times New Roman"/>
          <w:b w:val="false"/>
          <w:i w:val="false"/>
          <w:color w:val="000000"/>
          <w:sz w:val="22"/>
        </w:rPr>
        <w:t>means the smallest area within a tomogram for which the X-ray attenuation properties of a body are depicted (see also “Picture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tomogram system” </w:t>
      </w:r>
      <w:r>
        <w:rPr>
          <w:rFonts w:ascii="Times New Roman" w:hAnsi="Times New Roman"/>
          <w:b w:val="false"/>
          <w:i w:val="false"/>
          <w:color w:val="000000"/>
          <w:sz w:val="22"/>
        </w:rPr>
        <w:t>means a computed tomography X-ray system which obtains X-ray transmission data simultaneously during a single scan to produce more than one tomogram.</w:t>
      </w:r>
    </w:p>
    <w:p>
      <w:pPr>
        <w:spacing w:before="0" w:after="0"/>
        <w:ind w:left="120"/>
        <w:jc w:val="both"/>
      </w:pPr>
      <w:r>
        <w:rPr>
          <w:rFonts w:ascii="Times New Roman" w:hAnsi="Times New Roman"/>
          <w:b w:val="false"/>
          <w:i/>
          <w:color w:val="000000"/>
          <w:sz w:val="22"/>
        </w:rPr>
        <w:t>“Noise”</w:t>
      </w:r>
      <w:r>
        <w:rPr>
          <w:rFonts w:ascii="Times New Roman" w:hAnsi="Times New Roman"/>
          <w:b w:val="false"/>
          <w:i w:val="false"/>
          <w:color w:val="000000"/>
          <w:sz w:val="22"/>
        </w:rPr>
        <w:t xml:space="preserve"> means the standard deviation of the fluctuation in CTN expressed as a percentage of the attenuation coefficient of water. Its estimate (S</w:t>
      </w:r>
      <w:r>
        <w:rPr>
          <w:rFonts w:ascii="Times New Roman" w:hAnsi="Times New Roman"/>
          <w:b w:val="false"/>
          <w:i w:val="false"/>
          <w:color w:val="000000"/>
          <w:sz w:val="18"/>
          <w:vertAlign w:val="subscript"/>
        </w:rPr>
        <w:t>s</w:t>
      </w:r>
      <w:r>
        <w:rPr>
          <w:rFonts w:ascii="Times New Roman" w:hAnsi="Times New Roman"/>
          <w:b w:val="false"/>
          <w:i w:val="false"/>
          <w:color w:val="000000"/>
          <w:sz w:val="22"/>
        </w:rPr>
        <w:t>) is calculated using the following expression:</w:t>
      </w:r>
    </w:p>
    <w:tbl>
      <w:tblPr>
        <w:tblW w:w="5000" w:type="pct"/>
        <w:tblCellSpacing w:w="0" w:type="auto"/>
        <w:tblBorders>
          <w:top w:val="none"/>
          <w:left w:val="none"/>
          <w:bottom w:val="none"/>
          <w:right w:val="none"/>
          <w:insideH w:val="none"/>
          <w:insideV w:val="none"/>
        </w:tblBorders>
        <w:tblLayout w:type="fixed"/>
      </w:tblPr>
      <w:tblGrid>
        <w:gridCol w:w="3360"/>
        <w:gridCol w:w="3268"/>
        <w:gridCol w:w="4562"/>
      </w:tblGrid>
      <w:tr>
        <w:trPr>
          <w:trHeight w:val="270" w:hRule="atLeast"/>
        </w:trPr>
        <w:tc>
          <w:tcPr>
            <w:tcW w:w="336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S</w:t>
            </w:r>
            <w:r>
              <w:rPr>
                <w:rFonts w:ascii="Times New Roman" w:hAnsi="Times New Roman"/>
                <w:b w:val="false"/>
                <w:i w:val="false"/>
                <w:color w:val="000000"/>
                <w:sz w:val="18"/>
                <w:vertAlign w:val="subscript"/>
              </w:rPr>
              <w:t>n</w:t>
            </w:r>
          </w:p>
        </w:tc>
        <w:tc>
          <w:tcPr>
            <w:tcW w:w="326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456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 xml:space="preserve">100 </w:t>
            </w:r>
            <w:r>
              <w:rPr>
                <w:rFonts w:ascii="Times New Roman" w:hAnsi="Times New Roman"/>
                <w:b/>
                <w:i w:val="false"/>
                <w:color w:val="000000"/>
                <w:sz w:val="20"/>
              </w:rPr>
              <w:t>·</w:t>
            </w:r>
            <w:r>
              <w:rPr>
                <w:rFonts w:ascii="Times New Roman" w:hAnsi="Times New Roman"/>
                <w:b w:val="false"/>
                <w:i w:val="false"/>
                <w:color w:val="000000"/>
                <w:sz w:val="20"/>
              </w:rPr>
              <w:t>CS</w:t>
            </w:r>
            <w:r>
              <w:rPr>
                <w:rFonts w:ascii="Times New Roman" w:hAnsi="Times New Roman"/>
                <w:b/>
                <w:i w:val="false"/>
                <w:color w:val="000000"/>
                <w:sz w:val="20"/>
              </w:rPr>
              <w:t>·</w:t>
            </w:r>
            <w:r>
              <w:rPr>
                <w:rFonts w:ascii="Times New Roman" w:hAnsi="Times New Roman"/>
                <w:b w:val="false"/>
                <w:i w:val="false"/>
                <w:color w:val="000000"/>
                <w:sz w:val="20"/>
              </w:rPr>
              <w:t xml:space="preserve"> s</w:t>
            </w:r>
          </w:p>
        </w:tc>
      </w:tr>
      <w:tr>
        <w:trPr>
          <w:trHeight w:val="330" w:hRule="atLeast"/>
        </w:trPr>
        <w:tc>
          <w:tcPr>
            <w:tcW w:w="0" w:type="auto"/>
            <w:vMerge/>
            <w:tcBorders>
              <w:top w:val="nil"/>
            </w:tcBorders>
          </w:tcPr>
          <w:p/>
        </w:tc>
        <w:tc>
          <w:tcPr>
            <w:tcW w:w="0" w:type="auto"/>
            <w:vMerge/>
            <w:tcBorders>
              <w:top w:val="nil"/>
            </w:tcBorders>
          </w:tcPr>
          <w:p/>
        </w:tc>
        <w:tc>
          <w:tcPr>
            <w:tcW w:w="456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µ</w:t>
            </w:r>
            <w:r>
              <w:rPr>
                <w:rFonts w:ascii="Times New Roman" w:hAnsi="Times New Roman"/>
                <w:b w:val="false"/>
                <w:i w:val="false"/>
                <w:color w:val="000000"/>
                <w:sz w:val="18"/>
                <w:vertAlign w:val="subscript"/>
              </w:rPr>
              <w:t>w</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CS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Linear attenuation coefficient of the material of interest.</w:t>
      </w:r>
    </w:p>
    <w:p>
      <w:pPr>
        <w:spacing w:before="0" w:after="0"/>
        <w:ind w:left="120"/>
        <w:jc w:val="both"/>
      </w:pPr>
      <w:r>
        <w:rPr>
          <w:rFonts w:ascii="Times New Roman" w:hAnsi="Times New Roman"/>
          <w:b w:val="false"/>
          <w:i w:val="false"/>
          <w:color w:val="000000"/>
          <w:sz w:val="22"/>
        </w:rPr>
        <w:t>µ</w:t>
      </w:r>
      <w:r>
        <w:rPr>
          <w:rFonts w:ascii="Times New Roman" w:hAnsi="Times New Roman"/>
          <w:b w:val="false"/>
          <w:i w:val="false"/>
          <w:color w:val="000000"/>
          <w:sz w:val="18"/>
          <w:vertAlign w:val="subscript"/>
        </w:rPr>
        <w:t xml:space="preserve">w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Linear attenuation coefficient of water.</w:t>
      </w:r>
    </w:p>
    <w:p>
      <w:pPr>
        <w:spacing w:before="0" w:after="0"/>
        <w:ind w:left="120"/>
        <w:jc w:val="both"/>
      </w:pPr>
      <w:r>
        <w:rPr>
          <w:rFonts w:ascii="Times New Roman" w:hAnsi="Times New Roman"/>
          <w:b w:val="false"/>
          <w:i w:val="false"/>
          <w:color w:val="000000"/>
          <w:sz w:val="22"/>
        </w:rPr>
        <w:t xml:space="preserv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Estimated standard deviation of the CTN of picture elements in a specified area of the CT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“Nominal tomographic section thickness” </w:t>
      </w:r>
      <w:r>
        <w:rPr>
          <w:rFonts w:ascii="Times New Roman" w:hAnsi="Times New Roman"/>
          <w:b w:val="false"/>
          <w:i w:val="false"/>
          <w:color w:val="000000"/>
          <w:sz w:val="22"/>
        </w:rPr>
        <w:t>means the full width at half-maximum of the sensitivity profile taken at the center of the cross-sectional volume over which X-ray transmission data are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“Picture element” </w:t>
      </w:r>
      <w:r>
        <w:rPr>
          <w:rFonts w:ascii="Times New Roman" w:hAnsi="Times New Roman"/>
          <w:b w:val="false"/>
          <w:i w:val="false"/>
          <w:color w:val="000000"/>
          <w:sz w:val="22"/>
        </w:rPr>
        <w:t>means an elemental area of a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plane” </w:t>
      </w:r>
      <w:r>
        <w:rPr>
          <w:rFonts w:ascii="Times New Roman" w:hAnsi="Times New Roman"/>
          <w:b w:val="false"/>
          <w:i w:val="false"/>
          <w:color w:val="000000"/>
          <w:sz w:val="22"/>
        </w:rPr>
        <w:t>means a plane which is displaced from and parallel to the tomographic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“Scan” </w:t>
      </w:r>
      <w:r>
        <w:rPr>
          <w:rFonts w:ascii="Times New Roman" w:hAnsi="Times New Roman"/>
          <w:b w:val="false"/>
          <w:i w:val="false"/>
          <w:color w:val="000000"/>
          <w:sz w:val="22"/>
        </w:rPr>
        <w:t>means the complete process of collecting X-ray transmission data for the production of a tomogram. Data can be collected simultaneously during a single scan for the production of one or more tomograms.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“Scan increment” </w:t>
      </w:r>
      <w:r>
        <w:rPr>
          <w:rFonts w:ascii="Times New Roman" w:hAnsi="Times New Roman"/>
          <w:b w:val="false"/>
          <w:i w:val="false"/>
          <w:color w:val="000000"/>
          <w:sz w:val="22"/>
        </w:rPr>
        <w:t>means the amount of relative displacement of the patient with respect to the CT X-ray system between successive scans measured along the direction of such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“Scan sequence” </w:t>
      </w:r>
      <w:r>
        <w:rPr>
          <w:rFonts w:ascii="Times New Roman" w:hAnsi="Times New Roman"/>
          <w:b w:val="false"/>
          <w:i w:val="false"/>
          <w:color w:val="000000"/>
          <w:sz w:val="22"/>
        </w:rPr>
        <w:t>means a preselected set of two or more scans performed consecutively under preselected CT conditions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“Scan time” </w:t>
      </w:r>
      <w:r>
        <w:rPr>
          <w:rFonts w:ascii="Times New Roman" w:hAnsi="Times New Roman"/>
          <w:b w:val="false"/>
          <w:i w:val="false"/>
          <w:color w:val="000000"/>
          <w:sz w:val="22"/>
        </w:rPr>
        <w:t>means the period of time between the beginning and end of X-ray transmission data accumulation for a single scan.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tomogram system” </w:t>
      </w:r>
      <w:r>
        <w:rPr>
          <w:rFonts w:ascii="Times New Roman" w:hAnsi="Times New Roman"/>
          <w:b w:val="false"/>
          <w:i w:val="false"/>
          <w:color w:val="000000"/>
          <w:sz w:val="22"/>
        </w:rPr>
        <w:t>means a CT X-ray system which obtains X-ray transmission data during a scan to produce a single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“Tomographic plane” </w:t>
      </w:r>
      <w:r>
        <w:rPr>
          <w:rFonts w:ascii="Times New Roman" w:hAnsi="Times New Roman"/>
          <w:b w:val="false"/>
          <w:i w:val="false"/>
          <w:color w:val="000000"/>
          <w:sz w:val="22"/>
        </w:rPr>
        <w:t>means that geometric plane which is identified as corresponding to the output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“Tomographic section” </w:t>
      </w:r>
      <w:r>
        <w:rPr>
          <w:rFonts w:ascii="Times New Roman" w:hAnsi="Times New Roman"/>
          <w:b w:val="false"/>
          <w:i w:val="false"/>
          <w:color w:val="000000"/>
          <w:sz w:val="22"/>
        </w:rPr>
        <w:t>means the volume of an object whose X-ray attenuation properties are imaged in a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of exposure.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Means shall be provided to terminate the X-ray exposure automatically by either deenergizing the X-ray source or shuttering the X-ray beam in the event of equipment failure affecting data collection. Such termination shall occur within an interval that limits the total scan time to no more than 110 percent of its preset value through the use of either a backup timer or devices which monitor equipment function.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visible signal shall indicate when the X-ray exposure has been terminated through the means required by </w:t>
      </w:r>
      <w:hyperlink r:id="rId93">
        <w:r>
          <w:rPr>
            <w:rStyle w:val="Hyperlink"/>
            <w:rFonts w:ascii="Times New Roman" w:hAnsi="Times New Roman"/>
            <w:b w:val="false"/>
            <w:i w:val="false"/>
            <w:color w:val="000000"/>
            <w:sz w:val="22"/>
          </w:rPr>
          <w:t>41.1(11)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operator shall be able to terminate the X-ray exposure at any time during a scan, or series of scans under CT X-ray system control, of greater than one-half second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Tomographic plane indication and alignment.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any single tomogram system, means shall be provided to permit visual determination of the tomographic plane or a reference plane offset from the tomographic plane.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any multiple tomogram system, means shall be provided to permit visual determination of the location of a reference plane. This reference plane can be offset from the location of the tomographic planes.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 device using a light source is used to satisfy </w:t>
      </w:r>
      <w:hyperlink r:id="rId94">
        <w:r>
          <w:rPr>
            <w:rStyle w:val="Hyperlink"/>
            <w:rFonts w:ascii="Times New Roman" w:hAnsi="Times New Roman"/>
            <w:b w:val="false"/>
            <w:i w:val="false"/>
            <w:color w:val="000000"/>
            <w:sz w:val="22"/>
          </w:rPr>
          <w:t>41.1(11)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“1” or “2,” the light source shall provide illumination levels sufficient to permit visual determination of the location of the tomographic plane or reference plane under ambient light conditions of up to 500 lux.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Beam-on and shutter status indicators and control switches.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CT X-ray control and gantry shall provide visual indication whenever X-rays are produced and, if applicable, whether the shutter is open or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emergency button or switch shall be clearly labeled as to its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Indication of CT conditions of operation. The CT X-ray system shall be designed such that the CT conditions of operation to be used during a scan or a scan sequence shall be indicated prior to the initiation of a scan or a scan sequence. On equipment having all or some of these conditions of operation at fixed values, this requirement may be met by permanent markings. Indication of CT conditions of operation shall be visible from any position from which scan initiation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Extraneous radiation. When data are not being collected for image production, the radiation adjacent to the tube port shall not exceed that permitted by </w:t>
      </w:r>
      <w:hyperlink r:id="rId95">
        <w:r>
          <w:rPr>
            <w:rStyle w:val="Hyperlink"/>
            <w:rFonts w:ascii="Times New Roman" w:hAnsi="Times New Roman"/>
            <w:b w:val="false"/>
            <w:i w:val="false"/>
            <w:color w:val="000000"/>
            <w:sz w:val="22"/>
          </w:rPr>
          <w:t>41.1(4)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Maximum surface CTDI identification. The angular position where the maximum surface CTDI occurs shall be identified to allow for reproducible positioning of a CT dosimetry phantom.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applicable to CT X-ray systems containing a gantry manufactured after September 3, 1985.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error in the indicated location of the tomographic plane or reference plane shall not exceed 5 millimeters.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X-ray production period is less than one-half second, the indication of X-ray production shall be actuated for at least one-half second. Indicators at or near the gantry shall be discernible from any point external to the patient opening where insertion of any part of the human body into the primary beam is possible.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deviation of indicated scan increment versus actual increment shall not exceed plus or minus 1 millimeter with any mass from 0 to 100 kilograms resting on the support device. The patient support device shall be incremented from a typical starting position to the maximum incremented distance or 30 centimeters, whichever is less, and then returned to the starting position. Measurement of actual versus indicated scan increment may be taken anywhere along this travel.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Premature termination of the X-ray exposure by the operator shall necessitate resetting of the CT conditions of operation prior to the initiation of another scan.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Facility design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Aural communication. Provision shall be made for two-way aural communication between the patient and the operator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Viewing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Windows, mirrors, closed-circuit television, or an equivalent shall be provided to permit continuous observation of the patient during irradiation and shall be so located that the operator can observe the patient from the control panel.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primary viewing system is by electronic means, an alternate viewing system (which may be electronic) shall be available for use in the event of failure of the primary viewing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Surveys, calibrations, spot checks, and operating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Surveys.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CT X-ray systems shall have a survey made by, or under the direction of, a qualified expert. In addition, such surveys shall be done after any change in the facility or equipment which might cause a significant increase in radiation hazard.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registrant shall obtain a written report of the survey from the qualified expert, and a copy of the report shall be made available to the agency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calibrations.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calibration of the radiation output of the CT X-ray system shall be performed by, or under the direction of, a qualified expert who is physically present at the facility during such calibration.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calibration of a CT X-ray system shall be performed at intervals specified by a qualified expert and after any change or replacement of components which, in the opinion of the qualified expert, could cause a change in the radiation output.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calibration of the radiation output of a CT X-ray system shall be performed with a calibrated dosimetry system. The calibration of such system shall be traceable to a national standard. The dosimetry system shall have been calibrated within the preceding two years.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CT dosimetry phantom(s) shall be used in determining the radiation output of a CT X-ray system. Such phantom(s) shall meet the following specifications and conditions of use: CT dosimetry phantom(s) shall be right circular cylinders of polymethyl methacrylate of density 1.19 plus or minus 0.01 grams per cubic centimeter. The phantom(s) shall be at least 14 centimeters in length and shall have diameters of 32.0 centimeters for testing CT X-ray systems designed to image any section of the body and 16.0 centimeters for systems designed to image the head or for whole body scanners operated in the head scanning mode; CT dosimetry phantom(s) shall provide means for the placement of a dosimeter(s) along the axis of rotation and along a line parallel to the axis of rotation 1.0 centimeter from the outer surface and within the phantom. Means for the placement of dosimeters or alignment devices at other locations may be provided; any effects on the doses measured due to the removal of phantom material to accommodate dosimeters shall be accounted for through appropriate corrections to the reported data or included in the statement of maximum deviation for the values obtained using the phantom; and all dose measurements shall be performed with the CT dosimetry phantom placed on the patient couch or support device without additional attenuation materials present.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calibration shall be required for each type of head, body, or whole-body scan performed at the facility.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Calibration shall meet the following requirements: The dose profile along the center axis of the CT dosimetry phantom for the minimum, maximum, and midrange values of the nominal tomographic section thickness used by the registrant shall be measurable. Where less than three nominal tomographic thicknesses can be selected, the dose profile determination shall be performed for each available nominal tomographic section thickness; the CTDI</w:t>
      </w:r>
    </w:p>
    <w:p>
      <w:pPr>
        <w:spacing w:before="0" w:after="0"/>
        <w:ind w:left="120"/>
        <w:jc w:val="both"/>
      </w:pPr>
      <w:r>
        <w:rPr>
          <w:rFonts w:ascii="Times New Roman" w:hAnsi="Times New Roman"/>
          <w:b w:val="false"/>
          <w:i w:val="false"/>
          <w:color w:val="000000"/>
          <w:sz w:val="18"/>
        </w:rPr>
        <w:t>3</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along the two axes specified in </w:t>
      </w:r>
      <w:hyperlink r:id="rId96">
        <w:r>
          <w:rPr>
            <w:rStyle w:val="Hyperlink"/>
            <w:rFonts w:ascii="Times New Roman" w:hAnsi="Times New Roman"/>
            <w:b w:val="false"/>
            <w:i w:val="false"/>
            <w:color w:val="000000"/>
            <w:sz w:val="22"/>
          </w:rPr>
          <w:t>41.1(11)</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“4” shall be measured. (For the purpose of determining the CTDI, the manufacturer’s statement as to the nominal tomographic section thickness for that particular system may be utilized.) The CT dosimetry phantom shall be oriented so that the measurement point 1.0 centimeter from the outer surface and within the phantom is in the same angular position within the gantry as the point of maximum surface CTDI identified. The CT conditions of operation shall correspond to typical values used by the registrant; and the spot checks specified in </w:t>
      </w:r>
      <w:hyperlink r:id="rId97">
        <w:r>
          <w:rPr>
            <w:rStyle w:val="Hyperlink"/>
            <w:rFonts w:ascii="Times New Roman" w:hAnsi="Times New Roman"/>
            <w:b w:val="false"/>
            <w:i w:val="false"/>
            <w:color w:val="000000"/>
            <w:sz w:val="22"/>
          </w:rPr>
          <w:t>41.1(11)</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be made.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Calibration procedures shall be in writing. Records of calibrations performed shall be maintained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Spot checks.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spot-check procedures shall be in writing and shall have been developed by a qualified expert.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spot-check procedures shall incorporate the use of a CT dosimetry phantom which has a capability of providing an indication of contrast scale, noise, nominal tomographic section thickness, the resolution capability of the system for low and high contrast objects, and measuring the mean CTN for water or other reference material.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spot checks shall be included in the calibration required by </w:t>
      </w:r>
      <w:hyperlink r:id="rId98">
        <w:r>
          <w:rPr>
            <w:rStyle w:val="Hyperlink"/>
            <w:rFonts w:ascii="Times New Roman" w:hAnsi="Times New Roman"/>
            <w:b w:val="false"/>
            <w:i w:val="false"/>
            <w:color w:val="000000"/>
            <w:sz w:val="22"/>
          </w:rPr>
          <w:t>41.1(11)</w:t>
        </w:r>
      </w:hyperlink>
      <w:r>
        <w:rPr>
          <w:rFonts w:ascii="Times New Roman" w:hAnsi="Times New Roman"/>
          <w:b w:val="false"/>
          <w:i/>
          <w:color w:val="000000"/>
          <w:sz w:val="22"/>
        </w:rPr>
        <w:t>“d”</w:t>
      </w:r>
      <w:r>
        <w:rPr>
          <w:rFonts w:ascii="Times New Roman" w:hAnsi="Times New Roman"/>
          <w:b w:val="false"/>
          <w:i w:val="false"/>
          <w:color w:val="000000"/>
          <w:sz w:val="22"/>
        </w:rPr>
        <w:t>(2) and at time intervals and under system conditions specified by a qualified expert.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Spot checks shall include acquisition of images obtained with the CT dosimetry phantom(s) using the same processing mode and CT conditions of operation as are used to perform calibrations required by </w:t>
      </w:r>
      <w:hyperlink r:id="rId99">
        <w:r>
          <w:rPr>
            <w:rStyle w:val="Hyperlink"/>
            <w:rFonts w:ascii="Times New Roman" w:hAnsi="Times New Roman"/>
            <w:b w:val="false"/>
            <w:i w:val="false"/>
            <w:color w:val="000000"/>
            <w:sz w:val="22"/>
          </w:rPr>
          <w:t>41.1(11)</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The images shall be retained, until a new calibration is performed, in two forms as follows: photographic copies of the images obtained from the image display device; and images stored in digital form on a storage medium compatible with the CT X-ray system.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Written records of the spot checks performed shall be maintained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CT X-ray system shall not be operated except by a licensed practitioner or an individual who has been specifically trained in its operation and holds a current permit to practice as a general radiologic technologist as defined under the provisions of </w:t>
      </w:r>
      <w:hyperlink r:id="rId100">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8659B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3103C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5683C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641—41.2</w:t>
      </w:r>
      <w:r>
        <w:rPr>
          <w:rFonts w:ascii="Times New Roman" w:hAnsi="Times New Roman"/>
          <w:b/>
          <w:i w:val="false"/>
          <w:color w:val="000000"/>
          <w:sz w:val="22"/>
        </w:rPr>
        <w:t xml:space="preserve">(136C) </w:t>
      </w:r>
      <w:r>
        <w:rPr>
          <w:rFonts w:ascii="Times New Roman" w:hAnsi="Times New Roman"/>
          <w:b/>
          <w:i w:val="false"/>
          <w:color w:val="000000"/>
          <w:sz w:val="22"/>
        </w:rPr>
        <w:t xml:space="preserve">Use of radionuclides in the healing 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establishes requirements and provisions for the use of radionuclides in the healing arts and for issuance of licenses authorizing the medical use of this material. These requirements and provisions provide for the protection of the public health and safety. The requirements and provisions of this rule are in addition to, and not in substitution for, the applicable portions of </w:t>
      </w:r>
      <w:hyperlink r:id="rId101">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102">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The requirements and provisions of these rules apply to applicants and licensees subject to this rule unless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chapter, the definitions of </w:t>
      </w:r>
      <w:hyperlink r:id="rId103">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104">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may also apply. As used in </w:t>
      </w:r>
      <w:hyperlink r:id="rId105">
        <w:r>
          <w:rPr>
            <w:rStyle w:val="Hyperlink"/>
            <w:rFonts w:ascii="Times New Roman" w:hAnsi="Times New Roman"/>
            <w:b w:val="false"/>
            <w:i w:val="false"/>
            <w:color w:val="000000"/>
            <w:sz w:val="22"/>
          </w:rPr>
          <w:t>41.2(136C)</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of use” </w:t>
      </w:r>
      <w:r>
        <w:rPr>
          <w:rFonts w:ascii="Times New Roman" w:hAnsi="Times New Roman"/>
          <w:b w:val="false"/>
          <w:i w:val="false"/>
          <w:color w:val="000000"/>
          <w:sz w:val="22"/>
        </w:rPr>
        <w:t>means a portion of a physical structure that has been set aside for the purpose of receiving, using, or storing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 radiation safety officer” </w:t>
      </w:r>
      <w:r>
        <w:rPr>
          <w:rFonts w:ascii="Times New Roman" w:hAnsi="Times New Roman"/>
          <w:b w:val="false"/>
          <w:i w:val="false"/>
          <w:color w:val="000000"/>
          <w:sz w:val="22"/>
        </w:rPr>
        <w:t>means an individual who:</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Meets the requirements of 41.2(65) and 41.2(77); and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Is currently identified as an associate radiation safety officer for the types of use of byproduct material for which the duties and tasks by the radiation safety officer on:</w:t>
      </w:r>
    </w:p>
    <w:p>
      <w:pPr>
        <w:spacing w:before="0" w:after="0"/>
        <w:ind w:left="120"/>
        <w:jc w:val="both"/>
      </w:pPr>
      <w:r>
        <w:rPr>
          <w:rFonts w:ascii="Times New Roman" w:hAnsi="Times New Roman"/>
          <w:b w:val="false"/>
          <w:i w:val="false"/>
          <w:color w:val="000000"/>
          <w:sz w:val="22"/>
        </w:rPr>
        <w:t>1. A specific medical use license issued by the NRC or an agreement state; or</w:t>
      </w:r>
    </w:p>
    <w:p>
      <w:pPr>
        <w:spacing w:before="0" w:after="0"/>
        <w:ind w:left="120"/>
        <w:jc w:val="both"/>
      </w:pPr>
      <w:r>
        <w:rPr>
          <w:rFonts w:ascii="Times New Roman" w:hAnsi="Times New Roman"/>
          <w:b w:val="false"/>
          <w:i w:val="false"/>
          <w:color w:val="000000"/>
          <w:sz w:val="22"/>
        </w:rPr>
        <w:t>2. A medical use permit issued by an NRC master material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medical physicist” </w:t>
      </w:r>
      <w:r>
        <w:rPr>
          <w:rFonts w:ascii="Times New Roman" w:hAnsi="Times New Roman"/>
          <w:b w:val="false"/>
          <w:i w:val="false"/>
          <w:color w:val="000000"/>
          <w:sz w:val="22"/>
        </w:rPr>
        <w:t>means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w:t>
      </w:r>
      <w:hyperlink r:id="rId106">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41.2(77)</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identified as an authorized medical physicist or teletherapy physicist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specific medical use license issued by this agency, the NRC, or an agreement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medical use permit issued by an NRC master material licensee;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permit issued by an NRC or agreement state broad scope medical use licensee;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permit issued by an NRC master material license broad scope medical use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means a pharmacist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met the appropriate requirements of </w:t>
      </w:r>
      <w:hyperlink r:id="rId108">
        <w:r>
          <w:rPr>
            <w:rStyle w:val="Hyperlink"/>
            <w:rFonts w:ascii="Times New Roman" w:hAnsi="Times New Roman"/>
            <w:b w:val="false"/>
            <w:i w:val="false"/>
            <w:color w:val="000000"/>
            <w:sz w:val="22"/>
          </w:rPr>
          <w:t>41.2(77)</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or before May 3, 2006, meets the requirements in 10 CFR 35.980(a) and 10 CFR 35.59;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identified as an authorized nuclear pharmacist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specific license issued by the agency, NRC or agreement state that authorizes medical use or the practice of nuclear pharmacy;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permit issued by an NRC master material licensee that authorizes medical use or the practice of nuclear pharmacy;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permit issued by the NRC or agreement state broad scope medical use licensee that authorizes medical use or the practice of nuclear pharmacy;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permit issued by an NRC master material license broad scope medical use permittee that authorizes medical use or the practice of nuclear pharmacy;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identified as an authorized nuclear pharmacist by a commercial nuclear pharmacy that has been authorized to identify authorized nuclear pharmacists;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designated as an authorized nuclear pharmacist in accordance with </w:t>
      </w:r>
      <w:hyperlink r:id="rId110">
        <w:r>
          <w:rPr>
            <w:rStyle w:val="Hyperlink"/>
            <w:rFonts w:ascii="Times New Roman" w:hAnsi="Times New Roman"/>
            <w:b w:val="false"/>
            <w:i w:val="false"/>
            <w:color w:val="000000"/>
            <w:sz w:val="22"/>
          </w:rPr>
          <w:t>641—39.4(29)</w:t>
        </w:r>
      </w:hyperlink>
      <w:r>
        <w:rPr>
          <w:rFonts w:ascii="Times New Roman" w:hAnsi="Times New Roman"/>
          <w:b w:val="false"/>
          <w:i/>
          <w:color w:val="000000"/>
          <w:sz w:val="22"/>
        </w:rPr>
        <w:t>“j”</w:t>
      </w: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user” </w:t>
      </w:r>
      <w:r>
        <w:rPr>
          <w:rFonts w:ascii="Times New Roman" w:hAnsi="Times New Roman"/>
          <w:b w:val="false"/>
          <w:i w:val="false"/>
          <w:color w:val="000000"/>
          <w:sz w:val="22"/>
        </w:rPr>
        <w:t xml:space="preserve">means a physician, dentist, or podiatrist who has met the appropriate requirements of </w:t>
      </w:r>
      <w:hyperlink r:id="rId111">
        <w:r>
          <w:rPr>
            <w:rStyle w:val="Hyperlink"/>
            <w:rFonts w:ascii="Times New Roman" w:hAnsi="Times New Roman"/>
            <w:b w:val="false"/>
            <w:i w:val="false"/>
            <w:color w:val="000000"/>
            <w:sz w:val="22"/>
          </w:rPr>
          <w:t>41.2(67)</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112">
        <w:r>
          <w:rPr>
            <w:rStyle w:val="Hyperlink"/>
            <w:rFonts w:ascii="Times New Roman" w:hAnsi="Times New Roman"/>
            <w:b w:val="false"/>
            <w:i w:val="false"/>
            <w:color w:val="000000"/>
            <w:sz w:val="22"/>
          </w:rPr>
          <w:t>41.2(68)</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113">
        <w:r>
          <w:rPr>
            <w:rStyle w:val="Hyperlink"/>
            <w:rFonts w:ascii="Times New Roman" w:hAnsi="Times New Roman"/>
            <w:b w:val="false"/>
            <w:i w:val="false"/>
            <w:color w:val="000000"/>
            <w:sz w:val="22"/>
          </w:rPr>
          <w:t>41.2(69)</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114">
        <w:r>
          <w:rPr>
            <w:rStyle w:val="Hyperlink"/>
            <w:rFonts w:ascii="Times New Roman" w:hAnsi="Times New Roman"/>
            <w:b w:val="false"/>
            <w:i w:val="false"/>
            <w:color w:val="000000"/>
            <w:sz w:val="22"/>
          </w:rPr>
          <w:t>41.2(70)</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115">
        <w:r>
          <w:rPr>
            <w:rStyle w:val="Hyperlink"/>
            <w:rFonts w:ascii="Times New Roman" w:hAnsi="Times New Roman"/>
            <w:b w:val="false"/>
            <w:i w:val="false"/>
            <w:color w:val="000000"/>
            <w:sz w:val="22"/>
          </w:rPr>
          <w:t>41.2(72)</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116">
        <w:r>
          <w:rPr>
            <w:rStyle w:val="Hyperlink"/>
            <w:rFonts w:ascii="Times New Roman" w:hAnsi="Times New Roman"/>
            <w:b w:val="false"/>
            <w:i w:val="false"/>
            <w:color w:val="000000"/>
            <w:sz w:val="22"/>
          </w:rPr>
          <w:t>41.2(73)</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117">
        <w:r>
          <w:rPr>
            <w:rStyle w:val="Hyperlink"/>
            <w:rFonts w:ascii="Times New Roman" w:hAnsi="Times New Roman"/>
            <w:b w:val="false"/>
            <w:i w:val="false"/>
            <w:color w:val="000000"/>
            <w:sz w:val="22"/>
          </w:rPr>
          <w:t>41.2(81)</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118">
        <w:r>
          <w:rPr>
            <w:rStyle w:val="Hyperlink"/>
            <w:rFonts w:ascii="Times New Roman" w:hAnsi="Times New Roman"/>
            <w:b w:val="false"/>
            <w:i w:val="false"/>
            <w:color w:val="000000"/>
            <w:sz w:val="22"/>
          </w:rPr>
          <w:t>41.2(82)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before May 3, 2006, meets the requirements in 10 CFR 35.910(a), 35.920(a), 35.930(c), 35.940(a), 35.950(a), or 35.960(a) and 10 CFR 35.59; or who is identified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current Iowa, NRC, or agreement state license that authorizes the medical use of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permit issued by an NRC master material licensee that is authorized to permit the medical use of radioactive material;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permit issued by an NRC, agreement state, or Iowa-specific licensee of broad scope that is authorized to permit medical use of radioactive material;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permit issued by an NRC master material license broad scope permittee that is authorized to permit medical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“Dedicated check source” </w:t>
      </w:r>
      <w:r>
        <w:rPr>
          <w:rFonts w:ascii="Times New Roman" w:hAnsi="Times New Roman"/>
          <w:b w:val="false"/>
          <w:i w:val="false"/>
          <w:color w:val="000000"/>
          <w:sz w:val="22"/>
        </w:rPr>
        <w:t>means a radioactive source that is used to ensure the constant operation of a radiation detection or measurement device over several months or years. This source may also be used for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w:t>
      </w:r>
      <w:r>
        <w:rPr>
          <w:rFonts w:ascii="Times New Roman" w:hAnsi="Times New Roman"/>
          <w:b w:val="false"/>
          <w:i w:val="false"/>
          <w:color w:val="000000"/>
          <w:sz w:val="22"/>
        </w:rPr>
        <w:t>means the chief executive officer or that individual’s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an organization in which several medical disciplines are practiced.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nuclear medicine service” </w:t>
      </w:r>
      <w:r>
        <w:rPr>
          <w:rFonts w:ascii="Times New Roman" w:hAnsi="Times New Roman"/>
          <w:b w:val="false"/>
          <w:i w:val="false"/>
          <w:color w:val="000000"/>
          <w:sz w:val="22"/>
        </w:rPr>
        <w:t>means the transportation and medical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“Ophthalmic physicist” </w:t>
      </w:r>
      <w:r>
        <w:rPr>
          <w:rFonts w:ascii="Times New Roman" w:hAnsi="Times New Roman"/>
          <w:b w:val="false"/>
          <w:i w:val="false"/>
          <w:color w:val="000000"/>
          <w:sz w:val="22"/>
        </w:rPr>
        <w:t>means an individual who:</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Meets the requirements of 41.2(85)</w:t>
      </w:r>
      <w:r>
        <w:rPr>
          <w:rFonts w:ascii="Times New Roman" w:hAnsi="Times New Roman"/>
          <w:b w:val="false"/>
          <w:i/>
          <w:color w:val="000000"/>
          <w:sz w:val="22"/>
        </w:rPr>
        <w:t>“a”</w:t>
      </w:r>
      <w:r>
        <w:rPr>
          <w:rFonts w:ascii="Times New Roman" w:hAnsi="Times New Roman"/>
          <w:b w:val="false"/>
          <w:i w:val="false"/>
          <w:color w:val="000000"/>
          <w:sz w:val="22"/>
        </w:rPr>
        <w:t>(2) and 41.2(77); and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Is identified as an ophthalmic physicist on a:</w:t>
      </w:r>
    </w:p>
    <w:p>
      <w:pPr>
        <w:spacing w:before="0" w:after="0"/>
        <w:ind w:left="120"/>
        <w:jc w:val="both"/>
      </w:pPr>
      <w:r>
        <w:rPr>
          <w:rFonts w:ascii="Times New Roman" w:hAnsi="Times New Roman"/>
          <w:b w:val="false"/>
          <w:i w:val="false"/>
          <w:color w:val="000000"/>
          <w:sz w:val="22"/>
        </w:rPr>
        <w:t>1. Specific medical use license issued by an NRC or an agreement state;</w:t>
      </w:r>
    </w:p>
    <w:p>
      <w:pPr>
        <w:spacing w:before="0" w:after="0"/>
        <w:ind w:left="120"/>
        <w:jc w:val="both"/>
      </w:pPr>
      <w:r>
        <w:rPr>
          <w:rFonts w:ascii="Times New Roman" w:hAnsi="Times New Roman"/>
          <w:b w:val="false"/>
          <w:i w:val="false"/>
          <w:color w:val="000000"/>
          <w:sz w:val="22"/>
        </w:rPr>
        <w:t>2. Permit issued by an NRC or agreement state broad scope medical use licensee;</w:t>
      </w:r>
    </w:p>
    <w:p>
      <w:pPr>
        <w:spacing w:before="0" w:after="0"/>
        <w:ind w:left="120"/>
        <w:jc w:val="both"/>
      </w:pPr>
      <w:r>
        <w:rPr>
          <w:rFonts w:ascii="Times New Roman" w:hAnsi="Times New Roman"/>
          <w:b w:val="false"/>
          <w:i w:val="false"/>
          <w:color w:val="000000"/>
          <w:sz w:val="22"/>
        </w:rPr>
        <w:t>3. Medical use permit issued by an NRC master material licensee; or</w:t>
      </w:r>
    </w:p>
    <w:p>
      <w:pPr>
        <w:spacing w:before="0" w:after="0"/>
        <w:ind w:left="120"/>
        <w:jc w:val="both"/>
      </w:pPr>
      <w:r>
        <w:rPr>
          <w:rFonts w:ascii="Times New Roman" w:hAnsi="Times New Roman"/>
          <w:b w:val="false"/>
          <w:i w:val="false"/>
          <w:color w:val="000000"/>
          <w:sz w:val="22"/>
        </w:rPr>
        <w:t>4. Permit issued by an NRC master material licensee broad scope medical use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“Output” </w:t>
      </w:r>
      <w:r>
        <w:rPr>
          <w:rFonts w:ascii="Times New Roman" w:hAnsi="Times New Roman"/>
          <w:b w:val="false"/>
          <w:i w:val="false"/>
          <w:color w:val="000000"/>
          <w:sz w:val="22"/>
        </w:rPr>
        <w:t xml:space="preserve">means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rate, dose rate, or a quantity related in a known manner to these rates from a teletherapy unit for a specified set of exposure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w:t>
      </w:r>
      <w:r>
        <w:rPr>
          <w:rFonts w:ascii="Times New Roman" w:hAnsi="Times New Roman"/>
          <w:b w:val="false"/>
          <w:i w:val="false"/>
          <w:color w:val="000000"/>
          <w:sz w:val="22"/>
        </w:rPr>
        <w:t>means an individual licensed by a state or territory of the United States, the District of Columbia, or the Commonwealth of Puerto Rico to practice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safety officer” </w:t>
      </w:r>
      <w:r>
        <w:rPr>
          <w:rFonts w:ascii="Times New Roman" w:hAnsi="Times New Roman"/>
          <w:b w:val="false"/>
          <w:i w:val="false"/>
          <w:color w:val="000000"/>
          <w:sz w:val="22"/>
        </w:rPr>
        <w:t xml:space="preserve">means an individual who, in addition to the definition in </w:t>
      </w:r>
      <w:hyperlink r:id="rId119">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Meets the requirements of 41.2(65) and 41.2(77); and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Is identified as a radiation safety officer on:</w:t>
      </w:r>
    </w:p>
    <w:p>
      <w:pPr>
        <w:spacing w:before="0" w:after="0"/>
        <w:ind w:left="120"/>
        <w:jc w:val="both"/>
      </w:pPr>
      <w:r>
        <w:rPr>
          <w:rFonts w:ascii="Times New Roman" w:hAnsi="Times New Roman"/>
          <w:b w:val="false"/>
          <w:i w:val="false"/>
          <w:color w:val="000000"/>
          <w:sz w:val="22"/>
        </w:rPr>
        <w:t>1. A specific medical use license issued by the NRC or an agreement state; or</w:t>
      </w:r>
    </w:p>
    <w:p>
      <w:pPr>
        <w:spacing w:before="0" w:after="0"/>
        <w:ind w:left="120"/>
        <w:jc w:val="both"/>
      </w:pPr>
      <w:r>
        <w:rPr>
          <w:rFonts w:ascii="Times New Roman" w:hAnsi="Times New Roman"/>
          <w:b w:val="false"/>
          <w:i w:val="false"/>
          <w:color w:val="000000"/>
          <w:sz w:val="22"/>
        </w:rPr>
        <w:t>2. A medical use permit issued by an NRC master material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“Stereotactic radiosurgery” </w:t>
      </w:r>
      <w:r>
        <w:rPr>
          <w:rFonts w:ascii="Times New Roman" w:hAnsi="Times New Roman"/>
          <w:b w:val="false"/>
          <w:i w:val="false"/>
          <w:color w:val="000000"/>
          <w:sz w:val="22"/>
        </w:rPr>
        <w:t>means the use of external radiation in conjunction with a stereotactic guidance device to very precisely deliver a therapeutic dose to a tissue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“Teletherapy” </w:t>
      </w:r>
      <w:r>
        <w:rPr>
          <w:rFonts w:ascii="Times New Roman" w:hAnsi="Times New Roman"/>
          <w:b w:val="false"/>
          <w:i w:val="false"/>
          <w:color w:val="000000"/>
          <w:sz w:val="22"/>
        </w:rPr>
        <w:t>means therapeutic irradiation in which the source of radiation is at a distance from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dosage” </w:t>
      </w:r>
      <w:r>
        <w:rPr>
          <w:rFonts w:ascii="Times New Roman" w:hAnsi="Times New Roman"/>
          <w:b w:val="false"/>
          <w:i w:val="false"/>
          <w:color w:val="000000"/>
          <w:sz w:val="22"/>
        </w:rPr>
        <w:t>means a dosage prepared for medical use for administration as a single dosage to a patient or human research subject without any further manipulation of the dosage after it is initially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“Visiting authorized user” </w:t>
      </w:r>
      <w:r>
        <w:rPr>
          <w:rFonts w:ascii="Times New Roman" w:hAnsi="Times New Roman"/>
          <w:b w:val="false"/>
          <w:i w:val="false"/>
          <w:color w:val="000000"/>
          <w:sz w:val="22"/>
        </w:rPr>
        <w:t>means an authorized user who is not identified on the license of the licensee being visited.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manufacture, produce, acquire, receive, possess, use, or transfer radioactive material for medical use except in accordance with a specific license issued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prohibited by license condition, an individual may receive, possess, use, or transfer radioactive material in accordance with these rules under the supervision of an authorized user as provided in </w:t>
      </w:r>
      <w:hyperlink r:id="rId120">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may prepare unsealed radioactive material for medical use in accordance with these rules under the supervision of an authorized nuclear pharmacist or authorized user as provided in </w:t>
      </w:r>
      <w:hyperlink r:id="rId121">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unless prohibited by license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may conduct research involving human subjects using radioactive material provided that the research is conducted, funded, supported, or regulated by another federal agency which has implemented the Federal Policy for the Protection of Human Subjects. Otherwise, a licensee shall apply for and receive approval of a specific amendment to its license before conducting such research. Both types of licensees shall, at a minimum, obtain informed consent from the human subjects and obtain prior review and approval of the research activities by an Institutional Review Board in accordance with the meaning of these terms as defined and described in the Federal Policy for the Protection of Human Subjects.</w:t>
      </w:r>
    </w:p>
    <w:p>
      <w:pPr>
        <w:spacing w:before="0" w:after="0"/>
        <w:ind w:left="120"/>
        <w:jc w:val="both"/>
      </w:pPr>
      <w:r>
        <w:rPr>
          <w:rFonts w:ascii="Times New Roman" w:hAnsi="Times New Roman"/>
          <w:b w:val="false"/>
          <w:i w:val="false"/>
          <w:color w:val="000000"/>
          <w:sz w:val="22"/>
        </w:rPr>
        <w:t>Nothing in this subrule relieves the licensee from complying with applicable FDA, federal, and other state requirements governing radioactive drugs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that satisfies the requirements of 641—paragraph </w:t>
      </w:r>
      <w:hyperlink r:id="rId122">
        <w:r>
          <w:rPr>
            <w:rStyle w:val="Hyperlink"/>
            <w:rFonts w:ascii="Times New Roman" w:hAnsi="Times New Roman"/>
            <w:b w:val="false"/>
            <w:i w:val="false"/>
            <w:color w:val="000000"/>
            <w:sz w:val="22"/>
          </w:rPr>
          <w:t>39.4(28)</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apply for a Type A specific license of broad scope.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License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apply for and receive a license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using byproduct material for a method or type of medical use not permitted by the license issued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Before permitting anyone to work as an authorized user or authorized nuclear pharmacist under the license unless the individual meets “visiting” status in accordance with 41.2(12);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Before changing a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permitting anyone to work as an associate radiation safety officer, or before the radiation safety officer assigns duties and tasks to an associate radiation safety officer that differ from those for which this individual is authorized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Before receiving byproduct material in excess of the amount authorized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Before adding to or changing the address or addresses of use identified in the application or on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Before it receives a sealed source from a different manufacturer or of a different model number than authorized by its license unless the sealed source is used for manual brachytherapy, is listed in the Sealed Source and Device Registry, and is in a quantity and for an isotope authorized by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amendment exemptions regarding Type A specific licenses of broad scope. A licensee possessing a Type A specific license of broad scope for medical use is exempt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41.2(4)</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provisions of 41.2(4)</w:t>
      </w:r>
      <w:r>
        <w:rPr>
          <w:rFonts w:ascii="Times New Roman" w:hAnsi="Times New Roman"/>
          <w:b w:val="false"/>
          <w:i/>
          <w:color w:val="000000"/>
          <w:sz w:val="22"/>
        </w:rPr>
        <w:t>“a”</w:t>
      </w:r>
      <w:r>
        <w:rPr>
          <w:rFonts w:ascii="Times New Roman" w:hAnsi="Times New Roman"/>
          <w:b w:val="false"/>
          <w:i w:val="false"/>
          <w:color w:val="000000"/>
          <w:sz w:val="22"/>
        </w:rPr>
        <w:t>(6) regarding additions to or changes in the areas of use only at the addresses specified 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agency no later than 30 days 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user, an authorized nuclear pharmacist, a radiation safety officer, an associate radiation safety officer, an authorized medical physicist, or an ophthalmic physicist permanently discontinues performance of duties under the license or has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permits an individual qualified to be a radiation safety officer under 41.2(65) and 41.2(77) to function as a temporary radiation safety officer and to perform the functions of a radiation safety officer in accordance with 41.2(10)</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licensee’s mailing address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licensee’s name changes but the name change does not constitute a transfer of control of the license as described in 641—paragraph 39.4(32)</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licensee has added to or changed the areas of use identified in the application or on the license where byproduct material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Notifications requiring agency approval prior to implementation for remote afterloader units, teletherapy units, and gamma stereotactic radiosurgery units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Revisions to procedures required by 41.2(52), 41.2(59)</w:t>
      </w:r>
      <w:r>
        <w:rPr>
          <w:rFonts w:ascii="Times New Roman" w:hAnsi="Times New Roman"/>
          <w:b w:val="false"/>
          <w:i/>
          <w:color w:val="000000"/>
          <w:sz w:val="22"/>
        </w:rPr>
        <w:t>“a,”</w:t>
      </w:r>
      <w:r>
        <w:rPr>
          <w:rFonts w:ascii="Times New Roman" w:hAnsi="Times New Roman"/>
          <w:b w:val="false"/>
          <w:i w:val="false"/>
          <w:color w:val="000000"/>
          <w:sz w:val="22"/>
        </w:rPr>
        <w:t xml:space="preserve"> 41.2(59)</w:t>
      </w:r>
      <w:r>
        <w:rPr>
          <w:rFonts w:ascii="Times New Roman" w:hAnsi="Times New Roman"/>
          <w:b w:val="false"/>
          <w:i/>
          <w:color w:val="000000"/>
          <w:sz w:val="22"/>
        </w:rPr>
        <w:t>“b,”</w:t>
      </w:r>
      <w:r>
        <w:rPr>
          <w:rFonts w:ascii="Times New Roman" w:hAnsi="Times New Roman"/>
          <w:b w:val="false"/>
          <w:i w:val="false"/>
          <w:color w:val="000000"/>
          <w:sz w:val="22"/>
        </w:rPr>
        <w:t xml:space="preserve"> and 41.2(59)</w:t>
      </w:r>
      <w:r>
        <w:rPr>
          <w:rFonts w:ascii="Times New Roman" w:hAnsi="Times New Roman"/>
          <w:b w:val="false"/>
          <w:i/>
          <w:color w:val="000000"/>
          <w:sz w:val="22"/>
        </w:rPr>
        <w:t>“c”</w:t>
      </w:r>
      <w:r>
        <w:rPr>
          <w:rFonts w:ascii="Times New Roman" w:hAnsi="Times New Roman"/>
          <w:b w:val="false"/>
          <w:i w:val="false"/>
          <w:color w:val="000000"/>
          <w:sz w:val="22"/>
        </w:rPr>
        <w:t xml:space="preserve"> as applicable, where such revision reduces radiation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that could impact radiation levels in adjacent spaces, such as shielding or location of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mail the documents required in this subrule to the agency in accordance with 641—38.7(136C).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Notification exemptions regarding Type A specific licenses of broad scope. A licensee possessing a Type A specific license of broad scope for medical use is exempt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provisions of 41.2(5)</w:t>
      </w:r>
      <w:r>
        <w:rPr>
          <w:rFonts w:ascii="Times New Roman" w:hAnsi="Times New Roman"/>
          <w:b w:val="false"/>
          <w:i/>
          <w:color w:val="000000"/>
          <w:sz w:val="22"/>
        </w:rPr>
        <w:t>“a”</w:t>
      </w:r>
      <w:r>
        <w:rPr>
          <w:rFonts w:ascii="Times New Roman" w:hAnsi="Times New Roman"/>
          <w:b w:val="false"/>
          <w:i w:val="false"/>
          <w:color w:val="000000"/>
          <w:sz w:val="22"/>
        </w:rPr>
        <w:t>(1) for an authorized user, an authorized nuclear pharmacist, an authorized medical physicist, or an ophthalmic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provisions of 41.2(5)</w:t>
      </w:r>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record required by this rule must be legible throughout the retention period specified by each subrule. The record may be original or reproduced copy or a microform, provided that the copy or microform is authenticated by authorized personnel and that the microform is capable of producing a clear copy throughout the required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may also be stored on electronic media with the capability for producing legible, accurate, and complete records during the required retention period. Records such as letters, drawings, and specifications must include all pertinent information such as stamps, initials, and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adequate safeguards against tampering with and loss of records specified in </w:t>
      </w:r>
      <w:hyperlink r:id="rId123">
        <w:r>
          <w:rPr>
            <w:rStyle w:val="Hyperlink"/>
            <w:rFonts w:ascii="Times New Roman" w:hAnsi="Times New Roman"/>
            <w:b w:val="false"/>
            <w:i w:val="false"/>
            <w:color w:val="000000"/>
            <w:sz w:val="22"/>
          </w:rPr>
          <w:t>41.2(6)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w:t>
      </w:r>
      <w:r>
        <w:rPr>
          <w:rFonts w:ascii="Times New Roman" w:hAnsi="Times New Roman"/>
          <w:b w:val="false"/>
          <w:i w:val="false"/>
          <w:color w:val="000000"/>
          <w:sz w:val="22"/>
        </w:rPr>
        <w:t> </w:t>
      </w:r>
      <w:r>
        <w:rPr>
          <w:rFonts w:ascii="Times New Roman" w:hAnsi="Times New Roman"/>
          <w:b w:val="false"/>
          <w:i/>
          <w:color w:val="000000"/>
          <w:sz w:val="22"/>
        </w:rPr>
        <w:t xml:space="preserve">ALARA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shall develop and implement a written program to maintain radiation doses and releases of radioactive material in effluents to unrestricted areas as low as reasonably achievable in accordance with </w:t>
      </w:r>
      <w:hyperlink r:id="rId124">
        <w:r>
          <w:rPr>
            <w:rStyle w:val="Hyperlink"/>
            <w:rFonts w:ascii="Times New Roman" w:hAnsi="Times New Roman"/>
            <w:b w:val="false"/>
            <w:i w:val="false"/>
            <w:color w:val="000000"/>
            <w:sz w:val="22"/>
          </w:rPr>
          <w:t>641—subrule 40.1(3)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125">
        <w:r>
          <w:rPr>
            <w:rStyle w:val="Hyperlink"/>
            <w:rFonts w:ascii="Times New Roman" w:hAnsi="Times New Roman"/>
            <w:b w:val="false"/>
            <w:i w:val="false"/>
            <w:color w:val="000000"/>
            <w:sz w:val="22"/>
          </w:rPr>
          <w:t>41.2(7)</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management, radiation safety officer, and all authorized users shall participate in the establishment, implementation, and operation of the program as required by these rules or the radiation safety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licensees that are not medical institutions, management and all authorized users shall participate in the program as required by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ALARA program shall include an annual review by the radiation safety committee for licensees that are medical institutions, or management and the radiation safety officer for licensees that are not medical institutions, of summaries of the types and amounts of radioactive material used, occupational dose reports, and continuing education and training for all personnel who work with or in the vicinity of radioactive material. The purpose of the review is to ensure that individuals make every reasonable effort to maintain occupational doses, doses to the general public, and releases of radioactive material as low as reasonably achievable, taking into account the state of technology, and the cost of improvements in relation to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current written description of the ALARA program for the duration of the license. The written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commitment by management to keep occupational doses as low as reasonably achievable;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radiation safety officer brief management once each year on the radiation safety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exposure investigational levels as established in accordance with </w:t>
      </w:r>
      <w:hyperlink r:id="rId126">
        <w:r>
          <w:rPr>
            <w:rStyle w:val="Hyperlink"/>
            <w:rFonts w:ascii="Times New Roman" w:hAnsi="Times New Roman"/>
            <w:b w:val="false"/>
            <w:i w:val="false"/>
            <w:color w:val="000000"/>
            <w:sz w:val="22"/>
          </w:rPr>
          <w:t>41.2(9)</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that, when exceeded, will initiate an investigation by the radiation safety officer of the cause of the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Personnel exposure investigational levels that, when exceeded, will initiate a prompt investigation by the radiation safety officer of the cause of the exposure and a consideration of actions that might be taken to reduce the probability of recurrence.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w:t>
      </w:r>
      <w:r>
        <w:rPr>
          <w:rFonts w:ascii="Times New Roman" w:hAnsi="Times New Roman"/>
          <w:b w:val="false"/>
          <w:i w:val="false"/>
          <w:color w:val="000000"/>
          <w:sz w:val="22"/>
        </w:rPr>
        <w:t> </w:t>
      </w:r>
      <w:r>
        <w:rPr>
          <w:rFonts w:ascii="Times New Roman" w:hAnsi="Times New Roman"/>
          <w:b w:val="false"/>
          <w:i/>
          <w:color w:val="000000"/>
          <w:sz w:val="22"/>
        </w:rPr>
        <w:t xml:space="preserve">Radiation safety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appoint a radiation safety officer responsible for implementing the radiation safety program. The licensee, through the radiation safety officer, shall ensure that radiation safety activities are being performed in accordance with approved procedures and regulatory requirements in the daily operation of the licensee’s radioactive material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radiation safety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Investigate overexposures, accidents, spills, losses, thefts, unauthorized receipts, uses, transfers, and disposals, and other deviations from approved radiation safety practice and implement corrective actions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written policy and procedures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Authorizing the purchase of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Receiving and opening packages of radioactive material;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Storing radioactive material;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Keeping an inventory record of radioactive material;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Using radioactive material safely;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Taking emergency action if control of radioactive material is lost;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Performing periodic radiation surveys;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Performing checks and calibrations of survey instruments and other safety equipment;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Disposing of radioactive material;</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Training personnel who work in or frequent areas where radioactive material is used or stored; and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Keeping a copy of all records and reports required by the agency rules, a copy of these rules, a copy of each licensing request and license and amendments, and the written policy and procedures required by the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medical use not sited at a medical institution, approve or disapprove radiation safety program changes with the advice and consent of management prior to submittal to the agency for licensing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medical use sited at a medical institution, assist the radiation safety committee in the performance of its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w:t>
      </w:r>
      <w:r>
        <w:rPr>
          <w:rFonts w:ascii="Times New Roman" w:hAnsi="Times New Roman"/>
          <w:b w:val="false"/>
          <w:i w:val="false"/>
          <w:color w:val="000000"/>
          <w:sz w:val="22"/>
        </w:rPr>
        <w:t> </w:t>
      </w:r>
      <w:r>
        <w:rPr>
          <w:rFonts w:ascii="Times New Roman" w:hAnsi="Times New Roman"/>
          <w:b w:val="false"/>
          <w:i/>
          <w:color w:val="000000"/>
          <w:sz w:val="22"/>
        </w:rPr>
        <w:t xml:space="preserve">Radiation safety committee. </w:t>
      </w:r>
      <w:r>
        <w:rPr>
          <w:rFonts w:ascii="Times New Roman" w:hAnsi="Times New Roman"/>
          <w:b w:val="false"/>
          <w:i w:val="false"/>
          <w:color w:val="000000"/>
          <w:sz w:val="22"/>
        </w:rPr>
        <w:t>Each medical institution licensee shall establish a radiation safety committee to oversee the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the following administrative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Membership must consist of at least three individuals and shall include an authorized user of each type of use permitted by the license, the radiation safety officer, a representative of the nursing service, and a representative of management who is neither an authorized user nor a radiation safety officer. Other members may be included as the licensee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once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minutes of each radiation safety committee meeting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the meeting;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present;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absent;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Summary of deliberations and discussions;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Recommended actions and the numerical results of all ballots;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Document any reviews required in </w:t>
      </w:r>
      <w:hyperlink r:id="rId127">
        <w:r>
          <w:rPr>
            <w:rStyle w:val="Hyperlink"/>
            <w:rFonts w:ascii="Times New Roman" w:hAnsi="Times New Roman"/>
            <w:b w:val="false"/>
            <w:i w:val="false"/>
            <w:color w:val="000000"/>
            <w:sz w:val="22"/>
          </w:rPr>
          <w:t>41.2(7)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41.2(9)</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committee shall provide each member with a copy of the meeting minutes and retain one copy until the agency authorizes its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oversee the use of licensed material, the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responsible for monitoring the institutional program to maintain occupational doses as low as reasonably achievable;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Review, on the basis of safety and with regard to the training and experience standards of this rule, and approve or disapprove any individual who is to be listed as an authorized user, an authorized nuclear pharmacist, the radiation safety officer, or teletherapy physicist before submitting a license application or request for amendment or renewal;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Review on the basis of the board certification, the license, or the permit identifying an individual, and approve or disapprove any individual prior to allowing that individual to work as an authorized user or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on the basis of safety and approve or disapprove each proposed method of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on the basis of safety, and approve with the advice and consent of the radiation safety officer and the management representative, or disapprove procedures and radiation safety program changes prior to submittal to the agency for licensing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 quarterly, with the assistance of the radiation safety officer, occupational radiation exposure records of all personnel working with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Review quarterly, with the assistance of the radiation safety officer, all incidents involving radioactive material with respect to cause and subsequent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Review annually, with the assistance of the radiation safety officer, the radioactive material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 a table of investigational levels for occupational dose that, when exceeded, will initiate investigations and considerations of action by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w:t>
      </w:r>
      <w:r>
        <w:rPr>
          <w:rFonts w:ascii="Times New Roman" w:hAnsi="Times New Roman"/>
          <w:b w:val="false"/>
          <w:i w:val="false"/>
          <w:color w:val="000000"/>
          <w:sz w:val="22"/>
        </w:rPr>
        <w:t> </w:t>
      </w:r>
      <w:r>
        <w:rPr>
          <w:rFonts w:ascii="Times New Roman" w:hAnsi="Times New Roman"/>
          <w:b w:val="false"/>
          <w:i/>
          <w:color w:val="000000"/>
          <w:sz w:val="22"/>
        </w:rPr>
        <w:t xml:space="preserve">Authority and responsibilities for the radiation protection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radiation protection program requirements of </w:t>
      </w:r>
      <w:hyperlink r:id="rId129">
        <w:r>
          <w:rPr>
            <w:rStyle w:val="Hyperlink"/>
            <w:rFonts w:ascii="Times New Roman" w:hAnsi="Times New Roman"/>
            <w:b w:val="false"/>
            <w:i w:val="false"/>
            <w:color w:val="000000"/>
            <w:sz w:val="22"/>
          </w:rPr>
          <w:t>641—40.10(136C)</w:t>
        </w:r>
      </w:hyperlink>
      <w:r>
        <w:rPr>
          <w:rFonts w:ascii="Times New Roman" w:hAnsi="Times New Roman"/>
          <w:b w:val="false"/>
          <w:i w:val="false"/>
          <w:color w:val="000000"/>
          <w:sz w:val="22"/>
        </w:rPr>
        <w:t>, a licensee’s management shall approve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Requests for a license application, renewal, or amendment before submittal to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individual before allowing that individual to work as an authorized user, authorized nuclear pharmacist, or authorized medical physicist;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program changes that do not require a license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licensee’s management shall appoint a radiation safety officer, who agrees, in writing, to be responsible for implementing the radiation protection program. The licensee, through the radiation safety officer, shall ensure that the radiation safety activities are being performed in accordance with licensee-approved procedures and regulatory requirements. A licensee’s management may appoint, in writing, one or more associate radiation safety officers to support the radiation safety officer. The radiation safety officer, with written agreement of the licensee’s management, must assign the specific duties and tasks to each associate radiation safety officer. These duties and tasks are restricted to the types of use for which the associate radiation safety officer is listed on the license. The radiation safety officer may delegate duties and tasks to the associate radiation safety officer but shall not delegate the authority or responsibilities for implementing the radiation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up to 60 days each year, a licensee may permit an individual qualified to be a radiation safety officer under </w:t>
      </w:r>
      <w:hyperlink r:id="rId130">
        <w:r>
          <w:rPr>
            <w:rStyle w:val="Hyperlink"/>
            <w:rFonts w:ascii="Times New Roman" w:hAnsi="Times New Roman"/>
            <w:b w:val="false"/>
            <w:i w:val="false"/>
            <w:color w:val="000000"/>
            <w:sz w:val="22"/>
          </w:rPr>
          <w:t>41.2(65)</w:t>
        </w:r>
      </w:hyperlink>
      <w:r>
        <w:rPr>
          <w:rFonts w:ascii="Times New Roman" w:hAnsi="Times New Roman"/>
          <w:b w:val="false"/>
          <w:i w:val="false"/>
          <w:color w:val="000000"/>
          <w:sz w:val="22"/>
        </w:rPr>
        <w:t xml:space="preserve"> or </w:t>
      </w:r>
      <w:hyperlink r:id="rId13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to function as a temporary radiation safety officer to perform the functions of radiation safety officer, as provided in </w:t>
      </w:r>
      <w:hyperlink r:id="rId132">
        <w:r>
          <w:rPr>
            <w:rStyle w:val="Hyperlink"/>
            <w:rFonts w:ascii="Times New Roman" w:hAnsi="Times New Roman"/>
            <w:b w:val="false"/>
            <w:i w:val="false"/>
            <w:color w:val="000000"/>
            <w:sz w:val="22"/>
          </w:rPr>
          <w:t>41.2(10)</w:t>
        </w:r>
        <w:r>
          <w:rPr>
            <w:rFonts w:ascii="Times New Roman" w:hAnsi="Times New Roman"/>
            <w:b w:val="false"/>
            <w:i/>
            <w:color w:val="000000"/>
            <w:sz w:val="22"/>
          </w:rPr>
          <w:t>“g,”</w:t>
        </w:r>
      </w:hyperlink>
      <w:r>
        <w:rPr>
          <w:rFonts w:ascii="Times New Roman" w:hAnsi="Times New Roman"/>
          <w:b w:val="false"/>
          <w:i w:val="false"/>
          <w:color w:val="000000"/>
          <w:sz w:val="22"/>
        </w:rPr>
        <w:t xml:space="preserve"> if the licensee takes the actions required in </w:t>
      </w:r>
      <w:hyperlink r:id="rId133">
        <w:r>
          <w:rPr>
            <w:rStyle w:val="Hyperlink"/>
            <w:rFonts w:ascii="Times New Roman" w:hAnsi="Times New Roman"/>
            <w:b w:val="false"/>
            <w:i w:val="false"/>
            <w:color w:val="000000"/>
            <w:sz w:val="22"/>
          </w:rPr>
          <w:t>41.2(10)</w:t>
        </w:r>
      </w:hyperlink>
      <w:r>
        <w:rPr>
          <w:rFonts w:ascii="Times New Roman" w:hAnsi="Times New Roman"/>
          <w:b w:val="false"/>
          <w:i/>
          <w:color w:val="000000"/>
          <w:sz w:val="22"/>
        </w:rPr>
        <w:t>“b,” “e,” “g,”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and notifies this agency in accordance with </w:t>
      </w:r>
      <w:hyperlink r:id="rId134">
        <w:r>
          <w:rPr>
            <w:rStyle w:val="Hyperlink"/>
            <w:rFonts w:ascii="Times New Roman" w:hAnsi="Times New Roman"/>
            <w:b w:val="false"/>
            <w:i w:val="false"/>
            <w:color w:val="000000"/>
            <w:sz w:val="22"/>
          </w:rPr>
          <w:t>41.2(5)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simultaneously appoint more than one temporary radiation safety officer in accordance with </w:t>
      </w:r>
      <w:hyperlink r:id="rId135">
        <w:r>
          <w:rPr>
            <w:rStyle w:val="Hyperlink"/>
            <w:rFonts w:ascii="Times New Roman" w:hAnsi="Times New Roman"/>
            <w:b w:val="false"/>
            <w:i w:val="false"/>
            <w:color w:val="000000"/>
            <w:sz w:val="22"/>
          </w:rPr>
          <w:t>41.2(10)</w:t>
        </w:r>
        <w:r>
          <w:rPr>
            <w:rFonts w:ascii="Times New Roman" w:hAnsi="Times New Roman"/>
            <w:b w:val="false"/>
            <w:i/>
            <w:color w:val="000000"/>
            <w:sz w:val="22"/>
          </w:rPr>
          <w:t>“c”</w:t>
        </w:r>
      </w:hyperlink>
      <w:r>
        <w:rPr>
          <w:rFonts w:ascii="Times New Roman" w:hAnsi="Times New Roman"/>
          <w:b w:val="false"/>
          <w:i w:val="false"/>
          <w:color w:val="000000"/>
          <w:sz w:val="22"/>
        </w:rPr>
        <w:t xml:space="preserve"> if needed to ensure that the licensee has a temporary radiation safety officer who satisfies the requirements to be a radiation safety officer for each of the different types of byproduct material permitted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establish the authority, duties, and responsibilities of the radiation safety officer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that are authorized for two or more different types of uses of radioactive materials or two or more types of units under this rule shall establish a radiation safety committee to oversee all uses of radioactive material permitted by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shall provide the radiation safety officer sufficient authority, organizational freedom, time, resources, and management prerogative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radiation safety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Initiate, recommend, or provide corrective solutions;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Verify implementation of corrective 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Stop unsafe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of actions taken under </w:t>
      </w:r>
      <w:hyperlink r:id="rId136">
        <w:r>
          <w:rPr>
            <w:rStyle w:val="Hyperlink"/>
            <w:rFonts w:ascii="Times New Roman" w:hAnsi="Times New Roman"/>
            <w:b w:val="false"/>
            <w:i w:val="false"/>
            <w:color w:val="000000"/>
            <w:sz w:val="22"/>
          </w:rPr>
          <w:t>41.2(10)</w:t>
        </w:r>
      </w:hyperlink>
      <w:r>
        <w:rPr>
          <w:rFonts w:ascii="Times New Roman" w:hAnsi="Times New Roman"/>
          <w:b w:val="false"/>
          <w:i w:val="false"/>
          <w:color w:val="000000"/>
          <w:sz w:val="22"/>
        </w:rPr>
        <w:t xml:space="preserve"> in accordance with </w:t>
      </w:r>
      <w:hyperlink r:id="rId137">
        <w:r>
          <w:rPr>
            <w:rStyle w:val="Hyperlink"/>
            <w:rFonts w:ascii="Times New Roman" w:hAnsi="Times New Roman"/>
            <w:b w:val="false"/>
            <w:i w:val="false"/>
            <w:color w:val="000000"/>
            <w:sz w:val="22"/>
          </w:rPr>
          <w:t>641—40.80(136C)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that permits the receipt, possession, use, or transfer of radioactive material by an individual under the supervision of an authorized user as allowed by </w:t>
      </w:r>
      <w:hyperlink r:id="rId138">
        <w:r>
          <w:rPr>
            <w:rStyle w:val="Hyperlink"/>
            <w:rFonts w:ascii="Times New Roman" w:hAnsi="Times New Roman"/>
            <w:b w:val="false"/>
            <w:i w:val="false"/>
            <w:color w:val="000000"/>
            <w:sz w:val="22"/>
          </w:rPr>
          <w:t>41.2(3)</w:t>
        </w:r>
      </w:hyperlink>
      <w:r>
        <w:rPr>
          <w:rFonts w:ascii="Times New Roman" w:hAnsi="Times New Roman"/>
          <w:b w:val="false"/>
          <w:i w:val="false"/>
          <w:color w:val="000000"/>
          <w:sz w:val="22"/>
        </w:rPr>
        <w:t xml:space="preserve"> shall, in addition to the requirements in </w:t>
      </w:r>
      <w:hyperlink r:id="rId139">
        <w:r>
          <w:rPr>
            <w:rStyle w:val="Hyperlink"/>
            <w:rFonts w:ascii="Times New Roman" w:hAnsi="Times New Roman"/>
            <w:b w:val="false"/>
            <w:i w:val="false"/>
            <w:color w:val="000000"/>
            <w:sz w:val="22"/>
          </w:rPr>
          <w:t>641—40.111(136C)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 the supervised individual in the licensee’s written radiation protection procedures, written directive procedures, rules of this chapter, and license conditions appropriate to that individual’s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the supervised individual’s use of radioactive material, provide reinstruction as needed and review records kept to reflect this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the authorized user to be immediately available to communicate with the supervised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the authorized user to be able to be physically present and available to the supervised individual on one hour’s notice (the supervising authorized user need not be present for each use of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that only those individuals certified and issued a current permit to practice in accordance with </w:t>
      </w:r>
      <w:hyperlink r:id="rId140">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xml:space="preserve"> as a nuclear medicine technologist or a radiation therapist, as applicable, or an Iowa-licensed physician and designated by the authorized user, shall be permitted to administer radionuclides (sealed sources only for radiation therapists) or radiation to patients or human research subjects. For a nuclear medicine technologist or a radiation therapist, the individual’s permit to practice shall be made available at the individual’s place of employment. If the permit holder works at more than one facility, a duplicate of the permit shall be kept at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shall require the supervised individual receiving, possessing, using or transferring radioactive material under </w:t>
      </w:r>
      <w:hyperlink r:id="rId141">
        <w:r>
          <w:rPr>
            <w:rStyle w:val="Hyperlink"/>
            <w:rFonts w:ascii="Times New Roman" w:hAnsi="Times New Roman"/>
            <w:b w:val="false"/>
            <w:i w:val="false"/>
            <w:color w:val="000000"/>
            <w:sz w:val="22"/>
          </w:rPr>
          <w:t>41.2(3)</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the instructions of the supervising authorized user for the medical uses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 the written radiation protection and written directive procedures established by the radiation safety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Comply with these rules and the license conditions with respect to the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that permits the preparation of radioactive material for medical use by an individual under the supervision of an authorized nuclear pharmacist or physician who is an authorized user, as allowed by </w:t>
      </w:r>
      <w:hyperlink r:id="rId142">
        <w:r>
          <w:rPr>
            <w:rStyle w:val="Hyperlink"/>
            <w:rFonts w:ascii="Times New Roman" w:hAnsi="Times New Roman"/>
            <w:b w:val="false"/>
            <w:i w:val="false"/>
            <w:color w:val="000000"/>
            <w:sz w:val="22"/>
          </w:rPr>
          <w:t>41.2(3)</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in addition to the requirements in </w:t>
      </w:r>
      <w:hyperlink r:id="rId143">
        <w:r>
          <w:rPr>
            <w:rStyle w:val="Hyperlink"/>
            <w:rFonts w:ascii="Times New Roman" w:hAnsi="Times New Roman"/>
            <w:b w:val="false"/>
            <w:i w:val="false"/>
            <w:color w:val="000000"/>
            <w:sz w:val="22"/>
          </w:rPr>
          <w:t>641—40.111(136C)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 the supervised individual in the preparation of radioactive material for medical use and the principles of and procedures for radiation safety and in the licensee’s written procedures for maintaining written directives, as appropriate to that individual’s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the supervised individual to follow the instructions of the supervising authorized user or authorized nuclear pharmacist regarding the preparation of radioactive material for medical use, written radiation protection procedures established by the licensee, the regulations of this chapter and license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the supervising authorized nuclear pharmacist or physician who is an authorized user to periodically review the work of the supervised individual as it pertains to preparing radioactive material for medical use and the records kept to reflect that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that supervises an individual is responsible for the acts and omissions of the supervised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41.2(12)</w:t>
      </w:r>
      <w:r>
        <w:rPr>
          <w:rFonts w:ascii="Times New Roman" w:hAnsi="Times New Roman"/>
          <w:b w:val="false"/>
          <w:i w:val="false"/>
          <w:color w:val="000000"/>
          <w:sz w:val="22"/>
        </w:rPr>
        <w:t> </w:t>
      </w:r>
      <w:r>
        <w:rPr>
          <w:rFonts w:ascii="Times New Roman" w:hAnsi="Times New Roman"/>
          <w:b w:val="false"/>
          <w:i/>
          <w:color w:val="000000"/>
          <w:sz w:val="22"/>
        </w:rPr>
        <w:t xml:space="preserve">Visiting authorized user, visiting authorized medical physicist, visiting ophthalmic physicist, and visiting authorized nuclear pharmacist.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permit any visiting authorized user, visiting authorized medical physicist, visiting ophthalmic physicist, or visiting authorized nuclear pharmacist to use licensed material for medical use under the terms of the licensee’s license for 60 days each year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visiting authorized user, visiting authorized medical physicist, visiting ophthalmic physicist, or visiting authorized nuclear pharmacist has the prior written permission of the licensee’s management and, if the use occurs on behalf of an institution, the institution’s radiation safety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has a copy of the NRC or agreement state license that identifies the visiting authorized user, visiting authorized medical physicist, visiting ophthalmic physicist, or visiting authorized nuclear pharmacist by name for the medical use being utilized by the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Only those procedures for which the visiting authorized user, visiting authorized medical physicist, visiting ophthalmic physicist, or visiting authorized nuclear pharmacist is specifically authorized by an NRC or agreement state license are performed by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need not apply for a license amendment in order to permit a visiting authorized user, visiting authorized medical physicist, visiting ophthalmic physicist, or visiting authorized nuclear pharmacist to use licensed material as described in </w:t>
      </w:r>
      <w:hyperlink r:id="rId144">
        <w:r>
          <w:rPr>
            <w:rStyle w:val="Hyperlink"/>
            <w:rFonts w:ascii="Times New Roman" w:hAnsi="Times New Roman"/>
            <w:b w:val="false"/>
            <w:i w:val="false"/>
            <w:color w:val="000000"/>
            <w:sz w:val="22"/>
          </w:rPr>
          <w:t>41.2(12)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copies of the records specified in </w:t>
      </w:r>
      <w:hyperlink r:id="rId145">
        <w:r>
          <w:rPr>
            <w:rStyle w:val="Hyperlink"/>
            <w:rFonts w:ascii="Times New Roman" w:hAnsi="Times New Roman"/>
            <w:b w:val="false"/>
            <w:i w:val="false"/>
            <w:color w:val="000000"/>
            <w:sz w:val="22"/>
          </w:rPr>
          <w:t>41.2(12)</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five years from the date of the last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41.2(13)</w:t>
      </w:r>
      <w:r>
        <w:rPr>
          <w:rFonts w:ascii="Times New Roman" w:hAnsi="Times New Roman"/>
          <w:b w:val="false"/>
          <w:i w:val="false"/>
          <w:color w:val="000000"/>
          <w:sz w:val="22"/>
        </w:rPr>
        <w:t> </w:t>
      </w:r>
      <w:r>
        <w:rPr>
          <w:rFonts w:ascii="Times New Roman" w:hAnsi="Times New Roman"/>
          <w:b w:val="false"/>
          <w:i/>
          <w:color w:val="000000"/>
          <w:sz w:val="22"/>
        </w:rPr>
        <w:t xml:space="preserve">Mobile nuclear medicine service administrative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will only license mobile nuclear medicine services in accordance with this rule and other applicable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Mobile nuclear medicine service licensees shall retain for the duration of service a letter signed by the management of each location where services are rendered that authorizes use of radioactive material and clearly delineates the authority of the licensee and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mobile nuclear medicine service provides services that the client is also authorized to provide, the client is responsible for ensuring that services are conducted in accordance with the rules in this chapter while the mobile nuclear medicine service is under the client’s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mobile nuclear medicine service shall not have radioactive material delivered directly from the manufacturer or the distributor to the client’s address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Mobile nuclear medicine service licensees shall also perform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Check instruments used to measure the activity of unsealed radioactive material for proper function before use at each client’s address or on each day of use, whichever is more frequent. At a minimum, the check for proper function required by this rule must include a constancy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Check survey instruments for proper operation with a dedicated check source before use at each client’s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leaving a client’s address, survey all areas of use to ensure compliance with the requirements of </w:t>
      </w:r>
      <w:hyperlink r:id="rId146">
        <w:r>
          <w:rPr>
            <w:rStyle w:val="Hyperlink"/>
            <w:rFonts w:ascii="Times New Roman" w:hAnsi="Times New Roman"/>
            <w:b w:val="false"/>
            <w:i w:val="false"/>
            <w:color w:val="000000"/>
            <w:sz w:val="22"/>
          </w:rPr>
          <w:t>641—Chapters 40</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41.2(14)</w:t>
      </w:r>
      <w:r>
        <w:rPr>
          <w:rFonts w:ascii="Times New Roman" w:hAnsi="Times New Roman"/>
          <w:b w:val="false"/>
          <w:i w:val="false"/>
          <w:color w:val="000000"/>
          <w:sz w:val="22"/>
        </w:rPr>
        <w:t> </w:t>
      </w:r>
      <w:r>
        <w:rPr>
          <w:rFonts w:ascii="Times New Roman" w:hAnsi="Times New Roman"/>
          <w:b w:val="false"/>
          <w:i/>
          <w:color w:val="000000"/>
          <w:sz w:val="22"/>
        </w:rPr>
        <w:t xml:space="preserve">Records and reports of reportable medical events.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reportable medical event, as defined in </w:t>
      </w:r>
      <w:hyperlink r:id="rId148">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 occurs, the licensee shall notify the agency by telephone. The licensee shall also notify the referring physician of the affected patient or human research subject and the patient or human research subject or a responsible relative or guardian, unless the referring physician agrees to inform the patient or human research subject or believes, based on medical judgment, that telling the patient or human research subject or the patient’s or human research subject’s responsible relative or guardian would be harmful to one or the other, respectively. These notifications must be made within 24 hours after the licensee discovers the reportable medical event. If the referring physician, patient or human research subject, or the patient’s or human research subject’s responsible relative or guardian cannot be reached within 24 hours, the licensee shall notify them as soon as practicable. The licensee is not required to notify the patient or human research subject or the patient’s or human research subject’s responsible relative or guardian without first consulting the referring physician; however, the licensee shall not delay medical care for the patient or human research subject because of this notification requirement including remedial care as a result of the reportable medical event because of any delay in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submit a written report to the agency within 15 days after discovery of the reportable medical event. The written report must include the licensee’s name, the prescribing physician’s name, a brief description of the event, why the event occurred, the effect on the patient or the human research subject, what improvements are needed to prevent recurrence, actions taken to prevent recurrence, whether the licensee notified the patient or the human research subject or the patient’s or the human research subject’s responsible relative or guardian (this individual will subsequently be referred to as “the patient or the human research subject”), and if not, why not, and if the patient or the human research subject was notified, what information was provided to that individual. The report must not include the patient’s or the human research subject’s name or other information that could lead to identification of the patient or the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or the human research subject was notified, the licensee shall also furnish, within 15 days after discovery of the reportable medical event, a written report to the patient or the human research subject and the referring physician by sending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report that was submitted to the agency;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brief description of both the event and the consequences as they may affect the patient or the human research subject, provided a statement is included that the report submitted to the agency can be obtained from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licensee shall retain a record of each reportable medical event for three years. The record shall contain the names of all individuals involved in the event, including the physician, allied health personnel, the patient or human research subject, and the patient’s or human research subject’s referring physician, the patient’s or human research subject’s social security number or identification number if one has been assigned, a brief description of the event, why it occurred, the effect on the patient or human research subject, what improvements are needed to prevent recurrence, and the action taken, if any, to prevent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Aside from the notification requirement, nothing in </w:t>
      </w:r>
      <w:hyperlink r:id="rId149">
        <w:r>
          <w:rPr>
            <w:rStyle w:val="Hyperlink"/>
            <w:rFonts w:ascii="Times New Roman" w:hAnsi="Times New Roman"/>
            <w:b w:val="false"/>
            <w:i w:val="false"/>
            <w:color w:val="000000"/>
            <w:sz w:val="22"/>
          </w:rPr>
          <w:t>41.2(14)</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150">
        <w:r>
          <w:rPr>
            <w:rStyle w:val="Hyperlink"/>
            <w:rFonts w:ascii="Times New Roman" w:hAnsi="Times New Roman"/>
            <w:b w:val="false"/>
            <w:i w:val="false"/>
            <w:color w:val="000000"/>
            <w:sz w:val="22"/>
          </w:rPr>
          <w:t>41.2(14)</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affect any rights or duties of licensees and physicians in relation to each other, patients or human research subjects, or responsible relatives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Report and notification of a dose to an embryo/fetus or a nursing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shall report any dose to an embryo/fetus that is greater than 5 rem (50 mSv) dose equivalent that is a result of an administration of byproduct material or radiation from byproduct material to a pregnant individual unless the embryo/fetus was specifically approved, in advance, by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shall report any dose to a nursing child that is a result of an administration of byproduct material to a breast-feeding individual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greater than 5 rem (50 mSv) total effective dose equivalent;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resulted in unintended permanent functional damage to an organ or a physiological system of the child, as determined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notify this agency by telephone no later than the next calendar day after a dose to the embryo/fetus or nursing child that requires a report in </w:t>
      </w:r>
      <w:hyperlink r:id="rId151">
        <w:r>
          <w:rPr>
            <w:rStyle w:val="Hyperlink"/>
            <w:rFonts w:ascii="Times New Roman" w:hAnsi="Times New Roman"/>
            <w:b w:val="false"/>
            <w:i w:val="false"/>
            <w:color w:val="000000"/>
            <w:sz w:val="22"/>
          </w:rPr>
          <w:t>41.2(14)</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submit a written report to the agency within 15 days after discovery of a dose to the embryo/fetus or nursing child that requires a report in </w:t>
      </w:r>
      <w:hyperlink r:id="rId152">
        <w:r>
          <w:rPr>
            <w:rStyle w:val="Hyperlink"/>
            <w:rFonts w:ascii="Times New Roman" w:hAnsi="Times New Roman"/>
            <w:b w:val="false"/>
            <w:i w:val="false"/>
            <w:color w:val="000000"/>
            <w:sz w:val="22"/>
          </w:rPr>
          <w:t>41.2(14)</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written report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of the prescribing physician;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brief description of the event;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Why the event occurred;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effect, if any, on the embryo/fetus or the nursing child;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What actions, if any, have been taken or are planned to prevent recurrence;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Certification that the licensee notified the pregnant individual or mother (or the mother’s or child’s responsible relative or guardian), and if not, why not.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report must not contain the individual’s or child’s name or any other information that could lead to identification of the individual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provide notification of the event to the referring physician and also notify the pregnant individual or mother, both hereafter referred to as the mother, no later than 24 hours after discovery of an event that would require reporting under </w:t>
      </w:r>
      <w:hyperlink r:id="rId153">
        <w:r>
          <w:rPr>
            <w:rStyle w:val="Hyperlink"/>
            <w:rFonts w:ascii="Times New Roman" w:hAnsi="Times New Roman"/>
            <w:b w:val="false"/>
            <w:i w:val="false"/>
            <w:color w:val="000000"/>
            <w:sz w:val="22"/>
          </w:rPr>
          <w:t>41.2(14)</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(2), unless the referring physician personally informs the licensee either that the physician will inform the mother or that, based on medical judgment, telling the mother would be harmful. The licensee is not required to notify the mother without first consulting with the referring physician. If the referring physician or mother cannot be reached within 24 hours, the licensee shall make the appropriate notifications as soon as possible thereafter. The licensee may not delay any appropriate medical care for the embryo/fetus or for the nursing child, including any necessary remedial care as a result of the event, because of any delay in notification. To meet the requirements of this paragraph, the notification may be made to the mother’s or child’s responsible relative or guardian instead of the mother. If a verbal notification is made, the licensee shall inform the mother, or the mother’s or child’s responsible relative or guardian, that a written description of the event can be obtained from the licensee upon request. The licensee shall provide such a written description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Annotate a copy of the report provided to the agency with the: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of the pregnant individual or the nursing child who is the subject of the event;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Social security number or other identification number, if one has been assigned, of the pregnant individual or the nursing child who is the subject of the event;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 copy of the annotated report to the referring physician, if other than the licensee, no later than 15 days after the discovery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41.2(15)</w:t>
      </w:r>
      <w:r>
        <w:rPr>
          <w:rFonts w:ascii="Times New Roman" w:hAnsi="Times New Roman"/>
          <w:b w:val="false"/>
          <w:i w:val="false"/>
          <w:color w:val="000000"/>
          <w:sz w:val="22"/>
        </w:rPr>
        <w:t> </w:t>
      </w:r>
      <w:r>
        <w:rPr>
          <w:rFonts w:ascii="Times New Roman" w:hAnsi="Times New Roman"/>
          <w:b w:val="false"/>
          <w:i/>
          <w:color w:val="000000"/>
          <w:sz w:val="22"/>
        </w:rPr>
        <w:t xml:space="preserve">Suppliers. </w:t>
      </w:r>
      <w:r>
        <w:rPr>
          <w:rFonts w:ascii="Times New Roman" w:hAnsi="Times New Roman"/>
          <w:b w:val="false"/>
          <w:i w:val="false"/>
          <w:color w:val="000000"/>
          <w:sz w:val="22"/>
        </w:rPr>
        <w:t>A licensee shall use for medical use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Radioactive material manufactured, labeled, packaged, and distributed in accordance with a license issued pursuant to these rules or the equivalent regulations of another agreement state, a licensing state or the U.S. Nuclear Regulatory Commission;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Reagent kits that have been manufactured, labeled, packaged, and distributed in accordance with an approval issued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Teletherapy sources manufactured and distributed in accordance with a license issued pursuant to these rules, or the equivalent regulations of another agreement state, a licensing state, or the U.S. Nuclear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41.2(16)</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of imaging equipment. </w:t>
      </w:r>
      <w:r>
        <w:rPr>
          <w:rFonts w:ascii="Times New Roman" w:hAnsi="Times New Roman"/>
          <w:b w:val="false"/>
          <w:i w:val="false"/>
          <w:color w:val="000000"/>
          <w:sz w:val="22"/>
        </w:rPr>
        <w:t>Each licensee shall establish written quality control procedures for all equipment used to obtain images from radionuclide studies. As a minimum, the procedures shall include quality control procedures recommended by equipment manufacturers or procedures which have been approved by the agency. The licensee shall conduct quality control procedures in accordance with written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41.2(17)</w:t>
      </w:r>
      <w:r>
        <w:rPr>
          <w:rFonts w:ascii="Times New Roman" w:hAnsi="Times New Roman"/>
          <w:b w:val="false"/>
          <w:i w:val="false"/>
          <w:color w:val="000000"/>
          <w:sz w:val="22"/>
        </w:rPr>
        <w:t> </w:t>
      </w:r>
      <w:r>
        <w:rPr>
          <w:rFonts w:ascii="Times New Roman" w:hAnsi="Times New Roman"/>
          <w:b w:val="false"/>
          <w:i/>
          <w:color w:val="000000"/>
          <w:sz w:val="22"/>
        </w:rPr>
        <w:t xml:space="preserve">Possession, use, calibration, and check of dose calibrators.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use licensee authorized to administer radiopharmaceuticals shall possess a dose calibrator and use it to measure the amount of activity administered to each patient or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Check each dose calibrator for constancy with a dedicated check source at the beginning of each day of use. To satisfy the requirement of this section, the check shall be done on frequently used settings with a sealed source of not less than 10 microcuries (370 kBq) of radium-226 or 50 microcuries (1.85 MBq) of any other photon-emitting radionuclide with a half-life greater than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Test each dose calibrator for accuracy upon installation and at 12-month intervals thereafter by assaying at least two sealed sources containing different radionuclides, the activity of which the manufacturer has determined within 5 percent of the stated activity, with minimum activity of 10 microcuries (370 kBq) for radium-226 and 50 microcuries (1.85 MBq) for any other photon-emitting radionuclide, and at least one of which has a principal photon energy between 100 keV and 500 keV;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each dose calibrator for linearity upon installation and at 3-month intervals thereafter over the range of use between 30 microcuries (1.1 megabequerels) and the highest dosage that will be administered;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 each dose calibrator for geometry dependence upon installation over the range of volumes and volume configurations for which it will be used. The licensee shall keep a record of this test for the duration of the use of the dose calibrator.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mathematically correct dosage readings for any geometry or linearity error that exceeds 10 percent if the dosage is greater than 10 microcuries (370 kBq) and shall repair or replace the dose calibrator if the accuracy or constancy error exceeds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also perform checks and tests required by </w:t>
      </w:r>
      <w:hyperlink r:id="rId154">
        <w:r>
          <w:rPr>
            <w:rStyle w:val="Hyperlink"/>
            <w:rFonts w:ascii="Times New Roman" w:hAnsi="Times New Roman"/>
            <w:b w:val="false"/>
            <w:i w:val="false"/>
            <w:color w:val="000000"/>
            <w:sz w:val="22"/>
          </w:rPr>
          <w:t>41.2(17)</w:t>
        </w:r>
        <w:r>
          <w:rPr>
            <w:rFonts w:ascii="Times New Roman" w:hAnsi="Times New Roman"/>
            <w:b w:val="false"/>
            <w:i/>
            <w:color w:val="000000"/>
            <w:sz w:val="22"/>
          </w:rPr>
          <w:t>“b”</w:t>
        </w:r>
      </w:hyperlink>
      <w:r>
        <w:rPr>
          <w:rFonts w:ascii="Times New Roman" w:hAnsi="Times New Roman"/>
          <w:b w:val="false"/>
          <w:i w:val="false"/>
          <w:color w:val="000000"/>
          <w:sz w:val="22"/>
        </w:rPr>
        <w:t xml:space="preserve"> following adjustment or repair of the dose calibrator.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of each check and test required by </w:t>
      </w:r>
      <w:hyperlink r:id="rId155">
        <w:r>
          <w:rPr>
            <w:rStyle w:val="Hyperlink"/>
            <w:rFonts w:ascii="Times New Roman" w:hAnsi="Times New Roman"/>
            <w:b w:val="false"/>
            <w:i w:val="false"/>
            <w:color w:val="000000"/>
            <w:sz w:val="22"/>
          </w:rPr>
          <w:t>41.2(17)</w:t>
        </w:r>
      </w:hyperlink>
      <w:r>
        <w:rPr>
          <w:rFonts w:ascii="Times New Roman" w:hAnsi="Times New Roman"/>
          <w:b w:val="false"/>
          <w:i w:val="false"/>
          <w:color w:val="000000"/>
          <w:sz w:val="22"/>
        </w:rPr>
        <w:t xml:space="preserve"> for three years, except the geometry dependence test which shall be retained in accordance with 41.2(17)</w:t>
      </w:r>
      <w:r>
        <w:rPr>
          <w:rFonts w:ascii="Times New Roman" w:hAnsi="Times New Roman"/>
          <w:b w:val="false"/>
          <w:i/>
          <w:color w:val="000000"/>
          <w:sz w:val="22"/>
        </w:rPr>
        <w:t>“b”</w:t>
      </w:r>
      <w:r>
        <w:rPr>
          <w:rFonts w:ascii="Times New Roman" w:hAnsi="Times New Roman"/>
          <w:b w:val="false"/>
          <w:i w:val="false"/>
          <w:color w:val="000000"/>
          <w:sz w:val="22"/>
        </w:rPr>
        <w:t xml:space="preserve">(4). The records required by </w:t>
      </w:r>
      <w:hyperlink r:id="rId156">
        <w:r>
          <w:rPr>
            <w:rStyle w:val="Hyperlink"/>
            <w:rFonts w:ascii="Times New Roman" w:hAnsi="Times New Roman"/>
            <w:b w:val="false"/>
            <w:i w:val="false"/>
            <w:color w:val="000000"/>
            <w:sz w:val="22"/>
          </w:rPr>
          <w:t>41.2(17)</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hyperlink r:id="rId157">
        <w:r>
          <w:rPr>
            <w:rStyle w:val="Hyperlink"/>
            <w:rFonts w:ascii="Times New Roman" w:hAnsi="Times New Roman"/>
            <w:b w:val="false"/>
            <w:i w:val="false"/>
            <w:color w:val="000000"/>
            <w:sz w:val="22"/>
          </w:rPr>
          <w:t>41.2(17)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the model and serial number of the dose calibrator, the identity and calibrated activity of the radionuclide contained in the check source, the date of the check, the activity measured, the instrument settings, and the initials of the individual who performed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hyperlink r:id="rId158">
        <w:r>
          <w:rPr>
            <w:rStyle w:val="Hyperlink"/>
            <w:rFonts w:ascii="Times New Roman" w:hAnsi="Times New Roman"/>
            <w:b w:val="false"/>
            <w:i w:val="false"/>
            <w:color w:val="000000"/>
            <w:sz w:val="22"/>
          </w:rPr>
          <w:t>41.2(17)</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the model and serial number of the dose calibrator, the model and serial number of each source used and the identity of the radionuclide contained in the source and its activity, the date of the test, the results of the test, the instrument settings, the identity of the individual performing the test, and the signature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hyperlink r:id="rId159">
        <w:r>
          <w:rPr>
            <w:rStyle w:val="Hyperlink"/>
            <w:rFonts w:ascii="Times New Roman" w:hAnsi="Times New Roman"/>
            <w:b w:val="false"/>
            <w:i w:val="false"/>
            <w:color w:val="000000"/>
            <w:sz w:val="22"/>
          </w:rPr>
          <w:t>41.2(17)</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model and serial number of the dose calibrator, the calculated activities, the measured activities, the date of the test, the identity of the individual performing the test, and the signature of the radiation safety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w:t>
      </w:r>
      <w:hyperlink r:id="rId160">
        <w:r>
          <w:rPr>
            <w:rStyle w:val="Hyperlink"/>
            <w:rFonts w:ascii="Times New Roman" w:hAnsi="Times New Roman"/>
            <w:b w:val="false"/>
            <w:i w:val="false"/>
            <w:color w:val="000000"/>
            <w:sz w:val="22"/>
          </w:rPr>
          <w:t>41.2(17)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 model and serial number of the dose calibrator, the configuration calibrated activity of the source measured, the activity of the source, the activity measured and the instrument setting for each volume measured, the date of the test, the identity of the individual performing the test, and the signature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41.2(18)</w:t>
      </w:r>
      <w:r>
        <w:rPr>
          <w:rFonts w:ascii="Times New Roman" w:hAnsi="Times New Roman"/>
          <w:b w:val="false"/>
          <w:i w:val="false"/>
          <w:color w:val="000000"/>
          <w:sz w:val="22"/>
        </w:rPr>
        <w:t> </w:t>
      </w:r>
      <w:r>
        <w:rPr>
          <w:rFonts w:ascii="Times New Roman" w:hAnsi="Times New Roman"/>
          <w:b w:val="false"/>
          <w:i/>
          <w:color w:val="000000"/>
          <w:sz w:val="22"/>
        </w:rPr>
        <w:t xml:space="preserve">Calibration and check of survey instruments.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ensure that the survey instruments used to show compliance with this rule have been calibrated before first use, annually, and following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161">
        <w:r>
          <w:rPr>
            <w:rStyle w:val="Hyperlink"/>
            <w:rFonts w:ascii="Times New Roman" w:hAnsi="Times New Roman"/>
            <w:b w:val="false"/>
            <w:i w:val="false"/>
            <w:color w:val="000000"/>
            <w:sz w:val="22"/>
          </w:rPr>
          <w:t>41.2(18)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Calibrate all required scale readings up to 1000 millirems (10 mSv) per hour with a radiation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scale that shall be calibrated, calibrate two readings separated by at least 50 percent of scale rating;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Conspicuously note on the instrument the apparent dose rate from a dedicated check source as determined at the time of calibration, and the date of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162">
        <w:r>
          <w:rPr>
            <w:rStyle w:val="Hyperlink"/>
            <w:rFonts w:ascii="Times New Roman" w:hAnsi="Times New Roman"/>
            <w:b w:val="false"/>
            <w:i w:val="false"/>
            <w:color w:val="000000"/>
            <w:sz w:val="22"/>
          </w:rPr>
          <w:t>41.2(18)</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licensee shall consider a point as calibrated if the indicated exposure rate differs from the calculated exposure rate by not more than 20 percent and shall conspicuously attach a correction chart or graph to the instrument. A licensee may not use survey instruments if the difference between the indicated exposure rate and the calculated exposure rate is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check each survey instrument for proper operation with the dedicated check source before each use. The licensee is not required to keep records of these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retain a record of each calibration required in </w:t>
      </w:r>
      <w:hyperlink r:id="rId163">
        <w:r>
          <w:rPr>
            <w:rStyle w:val="Hyperlink"/>
            <w:rFonts w:ascii="Times New Roman" w:hAnsi="Times New Roman"/>
            <w:b w:val="false"/>
            <w:i w:val="false"/>
            <w:color w:val="000000"/>
            <w:sz w:val="22"/>
          </w:rPr>
          <w:t>41.2(18)</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three years.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calibration procedure;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source used and the certified dose rates from the source, the rates indicated by the instrument being calibrated, the correction factors deduced from the calibration data, the signature of the individual who performed the calibration, and the date of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requirements of </w:t>
      </w:r>
      <w:hyperlink r:id="rId164">
        <w:r>
          <w:rPr>
            <w:rStyle w:val="Hyperlink"/>
            <w:rFonts w:ascii="Times New Roman" w:hAnsi="Times New Roman"/>
            <w:b w:val="false"/>
            <w:i w:val="false"/>
            <w:color w:val="000000"/>
            <w:sz w:val="22"/>
          </w:rPr>
          <w:t>41.2(18)</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licensee may obtain the services of individuals licensed by the agency, the U.S. Nuclear Regulatory Commission, an agreement state, or a licensing state to perform calibrations of survey instruments. Records of calibrations which contain information required by </w:t>
      </w:r>
      <w:hyperlink r:id="rId165">
        <w:r>
          <w:rPr>
            <w:rStyle w:val="Hyperlink"/>
            <w:rFonts w:ascii="Times New Roman" w:hAnsi="Times New Roman"/>
            <w:b w:val="false"/>
            <w:i w:val="false"/>
            <w:color w:val="000000"/>
            <w:sz w:val="22"/>
          </w:rPr>
          <w:t>41.2(18)</w:t>
        </w:r>
        <w:r>
          <w:rPr>
            <w:rFonts w:ascii="Times New Roman" w:hAnsi="Times New Roman"/>
            <w:b w:val="false"/>
            <w:i/>
            <w:color w:val="000000"/>
            <w:sz w:val="22"/>
          </w:rPr>
          <w:t>“e”</w:t>
        </w:r>
      </w:hyperlink>
      <w:r>
        <w:rPr>
          <w:rFonts w:ascii="Times New Roman" w:hAnsi="Times New Roman"/>
          <w:b w:val="false"/>
          <w:i w:val="false"/>
          <w:color w:val="000000"/>
          <w:sz w:val="22"/>
        </w:rPr>
        <w:t xml:space="preserve"> shall be maintained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41.2(19)</w:t>
      </w:r>
      <w:r>
        <w:rPr>
          <w:rFonts w:ascii="Times New Roman" w:hAnsi="Times New Roman"/>
          <w:b w:val="false"/>
          <w:i w:val="false"/>
          <w:color w:val="000000"/>
          <w:sz w:val="22"/>
        </w:rPr>
        <w:t> </w:t>
      </w:r>
      <w:r>
        <w:rPr>
          <w:rFonts w:ascii="Times New Roman" w:hAnsi="Times New Roman"/>
          <w:b w:val="false"/>
          <w:i/>
          <w:color w:val="000000"/>
          <w:sz w:val="22"/>
        </w:rPr>
        <w:t xml:space="preserve">Assay of radiopharmaceutical dosages.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Assay, prior to medical use, the activity of each radiopharmaceutical dosage that contains a photon-emitting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 by direct measurement or by combination of measurements and calculations, the activity of each dosage of an alpha- or beta-emitting radionuclide prior to medical use, except for unit dosages obtained from a manufacturer or preparer licensed pursuant to 641—paragraph </w:t>
      </w:r>
      <w:hyperlink r:id="rId166">
        <w:r>
          <w:rPr>
            <w:rStyle w:val="Hyperlink"/>
            <w:rFonts w:ascii="Times New Roman" w:hAnsi="Times New Roman"/>
            <w:b w:val="false"/>
            <w:i w:val="false"/>
            <w:color w:val="000000"/>
            <w:sz w:val="22"/>
          </w:rPr>
          <w:t>39.4(29)</w:t>
        </w:r>
        <w:r>
          <w:rPr>
            <w:rFonts w:ascii="Times New Roman" w:hAnsi="Times New Roman"/>
            <w:b w:val="false"/>
            <w:i/>
            <w:color w:val="000000"/>
            <w:sz w:val="22"/>
          </w:rPr>
          <w:t>“j”</w:t>
        </w:r>
      </w:hyperlink>
      <w:r>
        <w:rPr>
          <w:rFonts w:ascii="Times New Roman" w:hAnsi="Times New Roman"/>
          <w:b w:val="false"/>
          <w:i w:val="false"/>
          <w:color w:val="000000"/>
          <w:sz w:val="22"/>
        </w:rPr>
        <w:t xml:space="preserve"> or equivalent NRC or agreement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use a dosage if the dosage does not fall within the prescribed dosage range or if the dosage differs from the prescribed dosage by more than 20 percent unless otherwise directed by the authorized user;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a record of the assays required by </w:t>
      </w:r>
      <w:hyperlink r:id="rId167">
        <w:r>
          <w:rPr>
            <w:rStyle w:val="Hyperlink"/>
            <w:rFonts w:ascii="Times New Roman" w:hAnsi="Times New Roman"/>
            <w:b w:val="false"/>
            <w:i w:val="false"/>
            <w:color w:val="000000"/>
            <w:sz w:val="22"/>
          </w:rPr>
          <w:t>41.2(19)</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three years. To satisfy this requirement, the record shall contain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Generic name, trade name, or abbreviation of the radiopharmaceutical, its lot number, and expiration dates and the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Patient’s or human research subject’s name and identification number if one has been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Prescribed dosage and activity of the dosage at the time of assay, or a notation that the total activity is less than 30 microcuries (1.1 megabecquerels);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and time of the assay and administration;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Initials of the individual who performed the assay.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w:t>
      </w:r>
      <w:r>
        <w:rPr>
          <w:rFonts w:ascii="Times New Roman" w:hAnsi="Times New Roman"/>
          <w:b w:val="false"/>
          <w:i w:val="false"/>
          <w:color w:val="000000"/>
          <w:sz w:val="22"/>
        </w:rPr>
        <w:t> </w:t>
      </w:r>
      <w:r>
        <w:rPr>
          <w:rFonts w:ascii="Times New Roman" w:hAnsi="Times New Roman"/>
          <w:b w:val="false"/>
          <w:i/>
          <w:color w:val="000000"/>
          <w:sz w:val="22"/>
        </w:rPr>
        <w:t xml:space="preserve">Authorization for calibration and reference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authorized by </w:t>
      </w:r>
      <w:hyperlink r:id="rId168">
        <w:r>
          <w:rPr>
            <w:rStyle w:val="Hyperlink"/>
            <w:rFonts w:ascii="Times New Roman" w:hAnsi="Times New Roman"/>
            <w:b w:val="false"/>
            <w:i w:val="false"/>
            <w:color w:val="000000"/>
            <w:sz w:val="22"/>
          </w:rPr>
          <w:t>41.2(3)</w:t>
        </w:r>
      </w:hyperlink>
      <w:r>
        <w:rPr>
          <w:rFonts w:ascii="Times New Roman" w:hAnsi="Times New Roman"/>
          <w:b w:val="false"/>
          <w:i w:val="false"/>
          <w:color w:val="000000"/>
          <w:sz w:val="22"/>
        </w:rPr>
        <w:t xml:space="preserve"> for medical use of byproduct material may receive, possess, and use the following byproduct material for check, calibration and reference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sources manufactured and distributed by persons specifically licensed pursuant to </w:t>
      </w:r>
      <w:hyperlink r:id="rId169">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or equivalent provisions of the NRC, agreement state or licensing state and that do not exceed 30 millicuries (1.11 GBq)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byproduct material listed in </w:t>
      </w:r>
      <w:hyperlink r:id="rId170">
        <w:r>
          <w:rPr>
            <w:rStyle w:val="Hyperlink"/>
            <w:rFonts w:ascii="Times New Roman" w:hAnsi="Times New Roman"/>
            <w:b w:val="false"/>
            <w:i w:val="false"/>
            <w:color w:val="000000"/>
            <w:sz w:val="22"/>
          </w:rPr>
          <w:t>41.2(31)</w:t>
        </w:r>
      </w:hyperlink>
      <w:r>
        <w:rPr>
          <w:rFonts w:ascii="Times New Roman" w:hAnsi="Times New Roman"/>
          <w:b w:val="false"/>
          <w:i w:val="false"/>
          <w:color w:val="000000"/>
          <w:sz w:val="22"/>
        </w:rPr>
        <w:t xml:space="preserve"> or </w:t>
      </w:r>
      <w:hyperlink r:id="rId171">
        <w:r>
          <w:rPr>
            <w:rStyle w:val="Hyperlink"/>
            <w:rFonts w:ascii="Times New Roman" w:hAnsi="Times New Roman"/>
            <w:b w:val="false"/>
            <w:i w:val="false"/>
            <w:color w:val="000000"/>
            <w:sz w:val="22"/>
          </w:rPr>
          <w:t>41.2(33)</w:t>
        </w:r>
      </w:hyperlink>
      <w:r>
        <w:rPr>
          <w:rFonts w:ascii="Times New Roman" w:hAnsi="Times New Roman"/>
          <w:b w:val="false"/>
          <w:i w:val="false"/>
          <w:color w:val="000000"/>
          <w:sz w:val="22"/>
        </w:rPr>
        <w:t xml:space="preserve"> with a half-life of 120 days or less in individual amounts not to exceed 15 millicuries (555 MBq);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byproduct material listed in </w:t>
      </w:r>
      <w:hyperlink r:id="rId172">
        <w:r>
          <w:rPr>
            <w:rStyle w:val="Hyperlink"/>
            <w:rFonts w:ascii="Times New Roman" w:hAnsi="Times New Roman"/>
            <w:b w:val="false"/>
            <w:i w:val="false"/>
            <w:color w:val="000000"/>
            <w:sz w:val="22"/>
          </w:rPr>
          <w:t>41.2(31)</w:t>
        </w:r>
      </w:hyperlink>
      <w:r>
        <w:rPr>
          <w:rFonts w:ascii="Times New Roman" w:hAnsi="Times New Roman"/>
          <w:b w:val="false"/>
          <w:i w:val="false"/>
          <w:color w:val="000000"/>
          <w:sz w:val="22"/>
        </w:rPr>
        <w:t xml:space="preserve"> or </w:t>
      </w:r>
      <w:hyperlink r:id="rId173">
        <w:r>
          <w:rPr>
            <w:rStyle w:val="Hyperlink"/>
            <w:rFonts w:ascii="Times New Roman" w:hAnsi="Times New Roman"/>
            <w:b w:val="false"/>
            <w:i w:val="false"/>
            <w:color w:val="000000"/>
            <w:sz w:val="22"/>
          </w:rPr>
          <w:t>41.2(33)</w:t>
        </w:r>
      </w:hyperlink>
      <w:r>
        <w:rPr>
          <w:rFonts w:ascii="Times New Roman" w:hAnsi="Times New Roman"/>
          <w:b w:val="false"/>
          <w:i w:val="false"/>
          <w:color w:val="000000"/>
          <w:sz w:val="22"/>
        </w:rPr>
        <w:t xml:space="preserve"> with a half-life greater than 120 days in individual amounts not to exceed 200 microcuries (7.4 MBq) or 1,000 times quantities in Appendix C of 641—Chapter 40 each;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Technetium-99m amounts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Byproduct material in sealed sources authorized by this provision shall not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Used for medical use as defined in 641—38.2(136C) except in accordance with the requirements in 41.2(41);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Combined (i.e., bundled or aggregated) to create an activity greater than the maximum activity of any single sealed source authorized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using calibration, transmission, and reference sources in accordance with the requirements in 41.2(20)</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need not list these sources on a specific medical use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possession of sealed sources and brachytherapy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in possession of any sealed source or brachytherapy source shall follow the radiation safety and handling instructions supplied by the manufacturer or equivalent instructions approved by the agency and shall maintain the instructions for the duration of source use in a legible form convenient to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in possession of a sealed source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is tested for leakage before its first use unless the licensee has a certificate from the supplier indicating that the source was tested within six months before transfer to the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source is tested for leakage at intervals not to exceed six months or at intervals approved by the agency, another agreement state, a licensing state or the U.S. Nuclear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leak test requirements of </w:t>
      </w:r>
      <w:hyperlink r:id="rId174">
        <w:r>
          <w:rPr>
            <w:rStyle w:val="Hyperlink"/>
            <w:rFonts w:ascii="Times New Roman" w:hAnsi="Times New Roman"/>
            <w:b w:val="false"/>
            <w:i w:val="false"/>
            <w:color w:val="000000"/>
            <w:sz w:val="22"/>
          </w:rPr>
          <w:t>41.2(21)</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licensee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 tests are capable of detecting the presence of 0.005 microcurie (185 Bq) of radioactive material on the test sample or, in the case of radium, the escape of radon at the rate of 0.001 microcurie (37 Bq) per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Test samples are taken from the source or from the surfaces of the device in which the source is mounted or stored on which radioactive contamination might be expected to accumulate;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samples are taken when the source is in the “off”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retain leak test records for five years. The records shall contain the model number, and serial number, if assigned, of each source tested, the identity of each source radionuclide and its estimated activity, the measured activity of each test sample expressed in microcuries (becquerels), a description of the method used to measure each test sample, the date of the test, the signature of the radiation safety officer and the signature of the individual performing the leak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leak test reveals the presence of 0.005 microcurie (185 Bq) or more of removable contamination,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withdraw the sealed source from use and store it in accordance with the requirements of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 a report with the agency within five days of receiving the leak test results. The report shall describe the equipment involved, the model and serial number of the leaking source, the radionuclide and its estimated activity, the test results, the date of the test, and the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need not perform a leak test on the following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Sources containing only radioactive material with a half-life of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Sources containing only radioactive material as a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Sources containing 100 microcuries (3.7 MBq) or less of beta or photon-emitting material or 10 microcuries (370 kBq) or less of alpha-emitting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Seeds of iridium-192 encased in nylon ribbon;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Sources stored and not being used. The licensee shall, however, test each such source for leakage before any use or transfer unless it has been tested for leakage within six months before the date of use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in possession of a sealed source or brachytherapy source shall conduct a physical inventory of all such sources at 6-month intervals. The licensee shall retain each inventory record for five years. The inventory records shall contain the model number of each source, and serial number if one has been assigned, the identity of each source radionuclide and its estimated activity, the location of each source, date of the inventory, the signature of the radiation safety officer and the signature of the individual performing the physical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in possession of a sealed source or brachytherapy source shall survey with a radiation survey instrument at intervals not to exceed three months all areas where such sources are stored. This does not apply to teletherapy sources in teletherapy units or sealed sources in diagnostic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of each survey required in </w:t>
      </w:r>
      <w:hyperlink r:id="rId175">
        <w:r>
          <w:rPr>
            <w:rStyle w:val="Hyperlink"/>
            <w:rFonts w:ascii="Times New Roman" w:hAnsi="Times New Roman"/>
            <w:b w:val="false"/>
            <w:i w:val="false"/>
            <w:color w:val="000000"/>
            <w:sz w:val="22"/>
          </w:rPr>
          <w:t>41.2(21)</w:t>
        </w:r>
        <w:r>
          <w:rPr>
            <w:rFonts w:ascii="Times New Roman" w:hAnsi="Times New Roman"/>
            <w:b w:val="false"/>
            <w:i/>
            <w:color w:val="000000"/>
            <w:sz w:val="22"/>
          </w:rPr>
          <w:t>“h”</w:t>
        </w:r>
      </w:hyperlink>
      <w:r>
        <w:rPr>
          <w:rFonts w:ascii="Times New Roman" w:hAnsi="Times New Roman"/>
          <w:b w:val="false"/>
          <w:i w:val="false"/>
          <w:color w:val="000000"/>
          <w:sz w:val="22"/>
        </w:rPr>
        <w:t xml:space="preserve"> for three years. The record shall include the date of the survey, a sketch of each area that was surveyed, the measured dose rate at several points in each area expressed in millirems (microsieverts) per hour, the model number and serial number of the survey instrument used to make the survey, and the signature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w:t>
      </w:r>
      <w:r>
        <w:rPr>
          <w:rFonts w:ascii="Times New Roman" w:hAnsi="Times New Roman"/>
          <w:b w:val="false"/>
          <w:i w:val="false"/>
          <w:color w:val="000000"/>
          <w:sz w:val="22"/>
        </w:rPr>
        <w:t> </w:t>
      </w:r>
      <w:r>
        <w:rPr>
          <w:rFonts w:ascii="Times New Roman" w:hAnsi="Times New Roman"/>
          <w:b w:val="false"/>
          <w:i/>
          <w:color w:val="000000"/>
          <w:sz w:val="22"/>
        </w:rPr>
        <w:t xml:space="preserve">Syringe shields.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keep syringes that contain radioactive material to be administered in a radiation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approved by this agency, a licensee shall require each individual who prepares or administers radiopharmaceuticals to use a syringe radiation shield unless the use of the shield is contraindicated for that patient or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w:t>
      </w:r>
      <w:r>
        <w:rPr>
          <w:rFonts w:ascii="Times New Roman" w:hAnsi="Times New Roman"/>
          <w:b w:val="false"/>
          <w:i w:val="false"/>
          <w:color w:val="000000"/>
          <w:sz w:val="22"/>
        </w:rPr>
        <w:t> </w:t>
      </w:r>
      <w:r>
        <w:rPr>
          <w:rFonts w:ascii="Times New Roman" w:hAnsi="Times New Roman"/>
          <w:b w:val="false"/>
          <w:i/>
          <w:color w:val="000000"/>
          <w:sz w:val="22"/>
        </w:rPr>
        <w:t xml:space="preserve">Syringe labels. </w:t>
      </w:r>
      <w:r>
        <w:rPr>
          <w:rFonts w:ascii="Times New Roman" w:hAnsi="Times New Roman"/>
          <w:b w:val="false"/>
          <w:i w:val="false"/>
          <w:color w:val="000000"/>
          <w:sz w:val="22"/>
        </w:rPr>
        <w:t>Unless utilized immediately, a licensee shall conspicuously label each syringe, or syringe radiation shield that contains a syringe with a radiopharmaceutical, with the radiopharmaceutical name or its abbreviation, the type of diagnostic study or therapy procedure to be performed, or the patient’s or human research subject’s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w:t>
      </w:r>
      <w:r>
        <w:rPr>
          <w:rFonts w:ascii="Times New Roman" w:hAnsi="Times New Roman"/>
          <w:b w:val="false"/>
          <w:i w:val="false"/>
          <w:color w:val="000000"/>
          <w:sz w:val="22"/>
        </w:rPr>
        <w:t> </w:t>
      </w:r>
      <w:r>
        <w:rPr>
          <w:rFonts w:ascii="Times New Roman" w:hAnsi="Times New Roman"/>
          <w:b w:val="false"/>
          <w:i/>
          <w:color w:val="000000"/>
          <w:sz w:val="22"/>
        </w:rPr>
        <w:t xml:space="preserve">Vial shields. </w:t>
      </w:r>
      <w:r>
        <w:rPr>
          <w:rFonts w:ascii="Times New Roman" w:hAnsi="Times New Roman"/>
          <w:b w:val="false"/>
          <w:i w:val="false"/>
          <w:color w:val="000000"/>
          <w:sz w:val="22"/>
        </w:rPr>
        <w:t>A licensee shall require each individual preparing or handling a vial that contains a radiopharmaceutical to keep the vial in a vial radiation shield.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41.2(25)</w:t>
      </w:r>
      <w:r>
        <w:rPr>
          <w:rFonts w:ascii="Times New Roman" w:hAnsi="Times New Roman"/>
          <w:b w:val="false"/>
          <w:i w:val="false"/>
          <w:color w:val="000000"/>
          <w:sz w:val="22"/>
        </w:rPr>
        <w:t> </w:t>
      </w:r>
      <w:r>
        <w:rPr>
          <w:rFonts w:ascii="Times New Roman" w:hAnsi="Times New Roman"/>
          <w:b w:val="false"/>
          <w:i/>
          <w:color w:val="000000"/>
          <w:sz w:val="22"/>
        </w:rPr>
        <w:t xml:space="preserve">Vial shield labels. </w:t>
      </w:r>
      <w:r>
        <w:rPr>
          <w:rFonts w:ascii="Times New Roman" w:hAnsi="Times New Roman"/>
          <w:b w:val="false"/>
          <w:i w:val="false"/>
          <w:color w:val="000000"/>
          <w:sz w:val="22"/>
        </w:rPr>
        <w:t>A licensee shall conspicuously label each vial radiation shield that contains a vial of a radiopharmaceutical with the radiopharmaceutical name or its abbreviation.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w:t>
      </w:r>
      <w:r>
        <w:rPr>
          <w:rFonts w:ascii="Times New Roman" w:hAnsi="Times New Roman"/>
          <w:b w:val="false"/>
          <w:i w:val="false"/>
          <w:color w:val="000000"/>
          <w:sz w:val="22"/>
        </w:rPr>
        <w:t> </w:t>
      </w:r>
      <w:r>
        <w:rPr>
          <w:rFonts w:ascii="Times New Roman" w:hAnsi="Times New Roman"/>
          <w:b w:val="false"/>
          <w:i/>
          <w:color w:val="000000"/>
          <w:sz w:val="22"/>
        </w:rPr>
        <w:t xml:space="preserve">Surveys for contamination and ambient radiation dose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survey with a radiation detection survey instrument at the end of each day of use all areas where radiopharmaceuticals are routinely prepared for use or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survey with a radiation detection survey instrument at least once each week all areas where radiopharmaceuticals or radioactive wastes are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conduct the surveys required by </w:t>
      </w:r>
      <w:hyperlink r:id="rId176">
        <w:r>
          <w:rPr>
            <w:rStyle w:val="Hyperlink"/>
            <w:rFonts w:ascii="Times New Roman" w:hAnsi="Times New Roman"/>
            <w:b w:val="false"/>
            <w:i w:val="false"/>
            <w:color w:val="000000"/>
            <w:sz w:val="22"/>
          </w:rPr>
          <w:t>41.2(26)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so as to be able to measure dose rates as low as 0.1 millirem (1 </w:t>
      </w:r>
      <w:r>
        <w:rPr>
          <w:rFonts w:ascii="Times New Roman" w:hAnsi="Times New Roman"/>
          <w:b w:val="false"/>
          <w:i/>
          <w:color w:val="000000"/>
          <w:sz w:val="22"/>
        </w:rPr>
        <w:t>µ</w:t>
      </w:r>
      <w:r>
        <w:rPr>
          <w:rFonts w:ascii="Times New Roman" w:hAnsi="Times New Roman"/>
          <w:b w:val="false"/>
          <w:i w:val="false"/>
          <w:color w:val="000000"/>
          <w:sz w:val="22"/>
        </w:rPr>
        <w:t>Sv)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establish dose rate action levels for the surveys required by </w:t>
      </w:r>
      <w:hyperlink r:id="rId177">
        <w:r>
          <w:rPr>
            <w:rStyle w:val="Hyperlink"/>
            <w:rFonts w:ascii="Times New Roman" w:hAnsi="Times New Roman"/>
            <w:b w:val="false"/>
            <w:i w:val="false"/>
            <w:color w:val="000000"/>
            <w:sz w:val="22"/>
          </w:rPr>
          <w:t>41.2(26)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shall require that the individual performing the survey immediately notify the radiation safety officer if a dose rate exceeds an action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survey for removable contamination each day of use all areas where radiopharmaceuticals are routinely prepared for use or administered and each week where radioactive materials are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conduct the surveys required by </w:t>
      </w:r>
      <w:hyperlink r:id="rId178">
        <w:r>
          <w:rPr>
            <w:rStyle w:val="Hyperlink"/>
            <w:rFonts w:ascii="Times New Roman" w:hAnsi="Times New Roman"/>
            <w:b w:val="false"/>
            <w:i w:val="false"/>
            <w:color w:val="000000"/>
            <w:sz w:val="22"/>
          </w:rPr>
          <w:t>41.2(26)</w:t>
        </w:r>
        <w:r>
          <w:rPr>
            <w:rFonts w:ascii="Times New Roman" w:hAnsi="Times New Roman"/>
            <w:b w:val="false"/>
            <w:i/>
            <w:color w:val="000000"/>
            <w:sz w:val="22"/>
          </w:rPr>
          <w:t>“e”</w:t>
        </w:r>
      </w:hyperlink>
      <w:r>
        <w:rPr>
          <w:rFonts w:ascii="Times New Roman" w:hAnsi="Times New Roman"/>
          <w:b w:val="false"/>
          <w:i w:val="false"/>
          <w:color w:val="000000"/>
          <w:sz w:val="22"/>
        </w:rPr>
        <w:t xml:space="preserve"> so as to be able to detect contamination on each wipe sample of 2000 disintegrations per minute (33.3 Bq).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establish removable contamination action levels for the surveys required by </w:t>
      </w:r>
      <w:hyperlink r:id="rId179">
        <w:r>
          <w:rPr>
            <w:rStyle w:val="Hyperlink"/>
            <w:rFonts w:ascii="Times New Roman" w:hAnsi="Times New Roman"/>
            <w:b w:val="false"/>
            <w:i w:val="false"/>
            <w:color w:val="000000"/>
            <w:sz w:val="22"/>
          </w:rPr>
          <w:t>41.2(26)</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shall require that the individual performing the survey immediately notify the radiation safety officer if contamination exceeds action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of each survey required by </w:t>
      </w:r>
      <w:hyperlink r:id="rId180">
        <w:r>
          <w:rPr>
            <w:rStyle w:val="Hyperlink"/>
            <w:rFonts w:ascii="Times New Roman" w:hAnsi="Times New Roman"/>
            <w:b w:val="false"/>
            <w:i w:val="false"/>
            <w:color w:val="000000"/>
            <w:sz w:val="22"/>
          </w:rPr>
          <w:t>41.2(26)</w:t>
        </w:r>
        <w:r>
          <w:rPr>
            <w:rFonts w:ascii="Times New Roman" w:hAnsi="Times New Roman"/>
            <w:b w:val="false"/>
            <w:i/>
            <w:color w:val="000000"/>
            <w:sz w:val="22"/>
          </w:rPr>
          <w:t>“a,” “b,”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for two years. The record must include the date of the survey, a sketch of each area surveyed, action levels established for each area, the measured dose rate at several points in each area expressed in millirems (microsieverts) per hour or the removable contamination in each area expressed in disintegrations per minute (becquerels) per 100 square centimeters, the serial number and the model number of the instrument used to make the survey or analyze the samples, and the initials of the individual who performed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does not need to perform the surveys required in this subrule in an area where the patient or human research subject is confined and cannot be released under </w:t>
      </w:r>
      <w:hyperlink r:id="rId181">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41.2(27)</w:t>
      </w:r>
      <w:r>
        <w:rPr>
          <w:rFonts w:ascii="Times New Roman" w:hAnsi="Times New Roman"/>
          <w:b w:val="false"/>
          <w:i w:val="false"/>
          <w:color w:val="000000"/>
          <w:sz w:val="22"/>
        </w:rPr>
        <w:t> </w:t>
      </w:r>
      <w:r>
        <w:rPr>
          <w:rFonts w:ascii="Times New Roman" w:hAnsi="Times New Roman"/>
          <w:b w:val="false"/>
          <w:i/>
          <w:color w:val="000000"/>
          <w:sz w:val="22"/>
        </w:rPr>
        <w:t xml:space="preserve">Release of patients or human research subjects containing radiopharmaceuticals or permanent implants.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authorize the release from its control of any individual who has been administered unsealed radioactive materials or permanent implants containing radioactive material if the total effective dose equivalent to any other individual from exposure to the released individual is not likely to exceed 0.5 rem (5 mSv). (NUREG-1556, Vol. 9, “Consolidated Guidance About Materials Licenses: Program-Specific Guidance About Medical Licenses,” describes methods for calculating doses to other individuals and contains tables of activities not likely to cause doses exceeding 0.5 rem (5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the released individual with instructions, including written instructions, on actions recommended to maintain doses to other individuals as low as is reasonably achievable if the total effective dose equivalent to any other individual is likely to exceed 0.1 rem (1 mSv). If the dose to a breast-feeding infant or child could exceed 0.1 rem (1 mSv) assuming there were no interruption of breast feeding, the instructions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Guidance on the interruption or discontinuation of breast feeding,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the consequences of failure to follow the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 record of the basis for authorizing the release of an individual, for three years after the date of release, if the total effective dose equivalent is calculated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the retained activity rather than the activity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an occupancy factor less than 0.25 at 1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Using the biological or effective half-life,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Considering the shielding by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 record for three years after the date of release that instructions were provided to a breast-feeding woman if the radiation dose to the infant or child from continued breast feeding could result in a total effective dose equivalent exceeding 0.5 rem (5 mSv). IDPH Regulatory Guide, Release of Patients Administered Radioactive Materials describes methods for calculating doses to other individuals and contains tables of activities not likely to cause doses exceeding 0.5 rem (5 mSv).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41.2(28)</w:t>
      </w:r>
      <w:r>
        <w:rPr>
          <w:rFonts w:ascii="Times New Roman" w:hAnsi="Times New Roman"/>
          <w:b w:val="false"/>
          <w:i w:val="false"/>
          <w:color w:val="000000"/>
          <w:sz w:val="22"/>
        </w:rPr>
        <w:t> </w:t>
      </w:r>
      <w:r>
        <w:rPr>
          <w:rFonts w:ascii="Times New Roman" w:hAnsi="Times New Roman"/>
          <w:b w:val="false"/>
          <w:i/>
          <w:color w:val="000000"/>
          <w:sz w:val="22"/>
        </w:rPr>
        <w:t xml:space="preserve">Mobile nuclear medicine service technical requirements. </w:t>
      </w:r>
      <w:r>
        <w:rPr>
          <w:rFonts w:ascii="Times New Roman" w:hAnsi="Times New Roman"/>
          <w:b w:val="false"/>
          <w:i w:val="false"/>
          <w:color w:val="000000"/>
          <w:sz w:val="22"/>
        </w:rPr>
        <w:t>A licensee providing mobile nuclear medicine service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 to each address of use only syringes or vials containing prepared radiopharmaceuticals or radiopharmaceuticals that are intended for reconstitution of radiopharmaceutical kits;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Bring into each location of use all radioactive material to be used and, before leaving, remove all unused radioactive material and associated radioactive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Secure or keep under constant surveillance and immediate control all radioactive material when in transit or at a location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Check survey instruments and dose calibrators as required in </w:t>
      </w:r>
      <w:hyperlink r:id="rId182">
        <w:r>
          <w:rPr>
            <w:rStyle w:val="Hyperlink"/>
            <w:rFonts w:ascii="Times New Roman" w:hAnsi="Times New Roman"/>
            <w:b w:val="false"/>
            <w:i w:val="false"/>
            <w:color w:val="000000"/>
            <w:sz w:val="22"/>
          </w:rPr>
          <w:t>41.2(17)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41.2(18)</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check all other transported equipment for proper function before medical use at each location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Carry a calibrated survey meter in each vehicle that is being used to transport radioactive material and, before leaving a client location of use, survey all areas of radiopharmaceutical use with a radiation detection survey instrument to ensure that all radiopharmaceuticals and all associated radioactive waste have been removed;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a record of each survey required by </w:t>
      </w:r>
      <w:hyperlink r:id="rId184">
        <w:r>
          <w:rPr>
            <w:rStyle w:val="Hyperlink"/>
            <w:rFonts w:ascii="Times New Roman" w:hAnsi="Times New Roman"/>
            <w:b w:val="false"/>
            <w:i w:val="false"/>
            <w:color w:val="000000"/>
            <w:sz w:val="22"/>
          </w:rPr>
          <w:t>41.2(28)</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three years. The record must include the date of the survey, a plan of each area that was surveyed, the measured dose rate at several points in each area of use expressed in millirems (microsieverts) per hour, the model and serial number of the instrument used to make the survey, and the initials of the individual who performed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w:t>
      </w:r>
      <w:r>
        <w:rPr>
          <w:rFonts w:ascii="Times New Roman" w:hAnsi="Times New Roman"/>
          <w:b w:val="false"/>
          <w:i w:val="false"/>
          <w:color w:val="000000"/>
          <w:sz w:val="22"/>
        </w:rPr>
        <w:t> </w:t>
      </w:r>
      <w:r>
        <w:rPr>
          <w:rFonts w:ascii="Times New Roman" w:hAnsi="Times New Roman"/>
          <w:b w:val="false"/>
          <w:i/>
          <w:color w:val="000000"/>
          <w:sz w:val="22"/>
        </w:rPr>
        <w:t xml:space="preserve">Storage of volatiles and gases.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store volatile radiopharmaceuticals and radioactive gases in the shippers’ radiation shield and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store and use a multidose container in a properly functioning fume hood.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41.2(30)</w:t>
      </w:r>
      <w:r>
        <w:rPr>
          <w:rFonts w:ascii="Times New Roman" w:hAnsi="Times New Roman"/>
          <w:b w:val="false"/>
          <w:i w:val="false"/>
          <w:color w:val="000000"/>
          <w:sz w:val="22"/>
        </w:rPr>
        <w:t> </w:t>
      </w:r>
      <w:r>
        <w:rPr>
          <w:rFonts w:ascii="Times New Roman" w:hAnsi="Times New Roman"/>
          <w:b w:val="false"/>
          <w:i/>
          <w:color w:val="000000"/>
          <w:sz w:val="22"/>
        </w:rPr>
        <w:t xml:space="preserve">Decay-in-storage.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hold radioactive material with a physical half-life of less than or equal to 120 days for decay-in-storage before disposal without regard to its radioactivity if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radioactive material for decay a minimum of ten half-lives;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Monitors radioactive material at the container surface before disposal as ordinary trash and determines that its radioactivity cannot be distinguished from the background radiation level with a radiation detection survey instrument set on its most sensitive scale and with no interposed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Removes or obliterates all radiation labels;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Separates and monitors each generator column individually with all radiation shielding removed to ensure that its contents have decayed to background radiation level before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radioactive material disposed in accordance with </w:t>
      </w:r>
      <w:hyperlink r:id="rId185">
        <w:r>
          <w:rPr>
            <w:rStyle w:val="Hyperlink"/>
            <w:rFonts w:ascii="Times New Roman" w:hAnsi="Times New Roman"/>
            <w:b w:val="false"/>
            <w:i w:val="false"/>
            <w:color w:val="000000"/>
            <w:sz w:val="22"/>
          </w:rPr>
          <w:t>41.2(30)</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licensee shall retain a record of each disposal for three years. The record must include the date of the disposal, the date on which the radioactive material was placed in storage, the radionuclides disposed, the model and serial number of the survey instrument used, the background dose rate, the radiation dose rate measured at the surface of each waste container, and the name of the individual who performed the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41.2(31)</w:t>
      </w:r>
      <w:r>
        <w:rPr>
          <w:rFonts w:ascii="Times New Roman" w:hAnsi="Times New Roman"/>
          <w:b w:val="false"/>
          <w:i w:val="false"/>
          <w:color w:val="000000"/>
          <w:sz w:val="22"/>
        </w:rPr>
        <w:t> </w:t>
      </w:r>
      <w:r>
        <w:rPr>
          <w:rFonts w:ascii="Times New Roman" w:hAnsi="Times New Roman"/>
          <w:b w:val="false"/>
          <w:i/>
          <w:color w:val="000000"/>
          <w:sz w:val="22"/>
        </w:rPr>
        <w:t xml:space="preserve">Use of unsealed radioactive material for uptake, dilution, or excretion studies for which a written directive is not required. </w:t>
      </w:r>
      <w:r>
        <w:rPr>
          <w:rFonts w:ascii="Times New Roman" w:hAnsi="Times New Roman"/>
          <w:b w:val="false"/>
          <w:i w:val="false"/>
          <w:color w:val="000000"/>
          <w:sz w:val="22"/>
        </w:rPr>
        <w:t xml:space="preserve">Except for quantities that require a written directive under </w:t>
      </w:r>
      <w:hyperlink r:id="rId186">
        <w:r>
          <w:rPr>
            <w:rStyle w:val="Hyperlink"/>
            <w:rFonts w:ascii="Times New Roman" w:hAnsi="Times New Roman"/>
            <w:b w:val="false"/>
            <w:i w:val="false"/>
            <w:color w:val="000000"/>
            <w:sz w:val="22"/>
          </w:rPr>
          <w:t>41.2(87)</w:t>
        </w:r>
      </w:hyperlink>
      <w:r>
        <w:rPr>
          <w:rFonts w:ascii="Times New Roman" w:hAnsi="Times New Roman"/>
          <w:b w:val="false"/>
          <w:i w:val="false"/>
          <w:color w:val="000000"/>
          <w:sz w:val="22"/>
        </w:rPr>
        <w:t>, a licensee may use for uptake, dilution, or excretion studies any unsealed radioactive material prepared for medical use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obtained from a manufacturer or preparer licensed pursuant to 641—paragraph </w:t>
      </w:r>
      <w:hyperlink r:id="rId187">
        <w:r>
          <w:rPr>
            <w:rStyle w:val="Hyperlink"/>
            <w:rFonts w:ascii="Times New Roman" w:hAnsi="Times New Roman"/>
            <w:b w:val="false"/>
            <w:i w:val="false"/>
            <w:color w:val="000000"/>
            <w:sz w:val="22"/>
          </w:rPr>
          <w:t>39.4(29)</w:t>
        </w:r>
        <w:r>
          <w:rPr>
            <w:rFonts w:ascii="Times New Roman" w:hAnsi="Times New Roman"/>
            <w:b w:val="false"/>
            <w:i/>
            <w:color w:val="000000"/>
            <w:sz w:val="22"/>
          </w:rPr>
          <w:t>“j”</w:t>
        </w:r>
      </w:hyperlink>
      <w:r>
        <w:rPr>
          <w:rFonts w:ascii="Times New Roman" w:hAnsi="Times New Roman"/>
          <w:b w:val="false"/>
          <w:i w:val="false"/>
          <w:color w:val="000000"/>
          <w:sz w:val="22"/>
        </w:rPr>
        <w:t xml:space="preserve"> or equivalent NRC or agreement state requirements or from a PET radioactive drug producer licensed pursuant to </w:t>
      </w:r>
      <w:hyperlink r:id="rId188">
        <w:r>
          <w:rPr>
            <w:rStyle w:val="Hyperlink"/>
            <w:rFonts w:ascii="Times New Roman" w:hAnsi="Times New Roman"/>
            <w:b w:val="false"/>
            <w:i w:val="false"/>
            <w:color w:val="000000"/>
            <w:sz w:val="22"/>
          </w:rPr>
          <w:t>641—paragraph 39.4(24)</w:t>
        </w:r>
        <w:r>
          <w:rPr>
            <w:rFonts w:ascii="Times New Roman" w:hAnsi="Times New Roman"/>
            <w:b w:val="false"/>
            <w:i/>
            <w:color w:val="000000"/>
            <w:sz w:val="22"/>
          </w:rPr>
          <w:t>“h”</w:t>
        </w:r>
      </w:hyperlink>
      <w:r>
        <w:rPr>
          <w:rFonts w:ascii="Times New Roman" w:hAnsi="Times New Roman"/>
          <w:b w:val="false"/>
          <w:i w:val="false"/>
          <w:color w:val="000000"/>
          <w:sz w:val="22"/>
        </w:rPr>
        <w:t xml:space="preserve">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Excludes production of PET radionuclides, prepared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is an authorized user and who meets the requirements specified in </w:t>
      </w:r>
      <w:hyperlink r:id="rId189">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or </w:t>
      </w:r>
      <w:hyperlink r:id="rId190">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and has work experience in eluting generator systems appropriate for preparation of radioactive drugs for imaging and localization studies, measuring and testing the eluate for radionuclidic purity, and processing the eluate with reagent kits to prepare labeled radioactive drugs;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under the supervision, as specified in </w:t>
      </w:r>
      <w:hyperlink r:id="rId191">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of the authorized nuclear pharmacist in </w:t>
      </w:r>
      <w:hyperlink r:id="rId192">
        <w:r>
          <w:rPr>
            <w:rStyle w:val="Hyperlink"/>
            <w:rFonts w:ascii="Times New Roman" w:hAnsi="Times New Roman"/>
            <w:b w:val="false"/>
            <w:i w:val="false"/>
            <w:color w:val="000000"/>
            <w:sz w:val="22"/>
          </w:rPr>
          <w:t>41.2(31)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the physician who is an authorized user in </w:t>
      </w:r>
      <w:hyperlink r:id="rId193">
        <w:r>
          <w:rPr>
            <w:rStyle w:val="Hyperlink"/>
            <w:rFonts w:ascii="Times New Roman" w:hAnsi="Times New Roman"/>
            <w:b w:val="false"/>
            <w:i w:val="false"/>
            <w:color w:val="000000"/>
            <w:sz w:val="22"/>
          </w:rPr>
          <w:t>41.2(31)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obtained from and prepared by an NRC or agreement state licensee for use in research in accordance with Radioactive Drug Research Committee-approved protocol or an Investigational New Drug (IND) protocol accepted by FDA;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prepared by the licensee for use in research in accordance with a Radioactive Drug Research Committee-approved application or an Investigational New Drug (IND) protocol accepted by FDA.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41.2(33)</w:t>
      </w:r>
      <w:r>
        <w:rPr>
          <w:rFonts w:ascii="Times New Roman" w:hAnsi="Times New Roman"/>
          <w:b w:val="false"/>
          <w:i w:val="false"/>
          <w:color w:val="000000"/>
          <w:sz w:val="22"/>
        </w:rPr>
        <w:t> </w:t>
      </w:r>
      <w:r>
        <w:rPr>
          <w:rFonts w:ascii="Times New Roman" w:hAnsi="Times New Roman"/>
          <w:b w:val="false"/>
          <w:i/>
          <w:color w:val="000000"/>
          <w:sz w:val="22"/>
        </w:rPr>
        <w:t xml:space="preserve">Use of unsealed byproduct material for imaging and localization studies for which a written directive is not required. </w:t>
      </w:r>
      <w:r>
        <w:rPr>
          <w:rFonts w:ascii="Times New Roman" w:hAnsi="Times New Roman"/>
          <w:b w:val="false"/>
          <w:i w:val="false"/>
          <w:color w:val="000000"/>
          <w:sz w:val="22"/>
        </w:rPr>
        <w:t xml:space="preserve">Except for quantities that require a written directive under </w:t>
      </w:r>
      <w:hyperlink r:id="rId194">
        <w:r>
          <w:rPr>
            <w:rStyle w:val="Hyperlink"/>
            <w:rFonts w:ascii="Times New Roman" w:hAnsi="Times New Roman"/>
            <w:b w:val="false"/>
            <w:i w:val="false"/>
            <w:color w:val="000000"/>
            <w:sz w:val="22"/>
          </w:rPr>
          <w:t>41.2(87)</w:t>
        </w:r>
      </w:hyperlink>
      <w:r>
        <w:rPr>
          <w:rFonts w:ascii="Times New Roman" w:hAnsi="Times New Roman"/>
          <w:b w:val="false"/>
          <w:i w:val="false"/>
          <w:color w:val="000000"/>
          <w:sz w:val="22"/>
        </w:rPr>
        <w:t>, a licensee may use for imaging and localization studies any unsealed byproduct material prepared for medical use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obtained from a manufacturer or preparer licensed pursuant to 641—paragraph </w:t>
      </w:r>
      <w:hyperlink r:id="rId195">
        <w:r>
          <w:rPr>
            <w:rStyle w:val="Hyperlink"/>
            <w:rFonts w:ascii="Times New Roman" w:hAnsi="Times New Roman"/>
            <w:b w:val="false"/>
            <w:i w:val="false"/>
            <w:color w:val="000000"/>
            <w:sz w:val="22"/>
          </w:rPr>
          <w:t>39.4(29)</w:t>
        </w:r>
        <w:r>
          <w:rPr>
            <w:rFonts w:ascii="Times New Roman" w:hAnsi="Times New Roman"/>
            <w:b w:val="false"/>
            <w:i/>
            <w:color w:val="000000"/>
            <w:sz w:val="22"/>
          </w:rPr>
          <w:t>“j”</w:t>
        </w:r>
      </w:hyperlink>
      <w:r>
        <w:rPr>
          <w:rFonts w:ascii="Times New Roman" w:hAnsi="Times New Roman"/>
          <w:b w:val="false"/>
          <w:i w:val="false"/>
          <w:color w:val="000000"/>
          <w:sz w:val="22"/>
        </w:rPr>
        <w:t xml:space="preserve"> or equivalent NRC or agreement state requirements or a PET radioactive drug producer licensed pursuant to </w:t>
      </w:r>
      <w:hyperlink r:id="rId196">
        <w:r>
          <w:rPr>
            <w:rStyle w:val="Hyperlink"/>
            <w:rFonts w:ascii="Times New Roman" w:hAnsi="Times New Roman"/>
            <w:b w:val="false"/>
            <w:i w:val="false"/>
            <w:color w:val="000000"/>
            <w:sz w:val="22"/>
          </w:rPr>
          <w:t>641—paragraph 39.4(24)</w:t>
        </w:r>
        <w:r>
          <w:rPr>
            <w:rFonts w:ascii="Times New Roman" w:hAnsi="Times New Roman"/>
            <w:b w:val="false"/>
            <w:i/>
            <w:color w:val="000000"/>
            <w:sz w:val="22"/>
          </w:rPr>
          <w:t>“h”</w:t>
        </w:r>
      </w:hyperlink>
      <w:r>
        <w:rPr>
          <w:rFonts w:ascii="Times New Roman" w:hAnsi="Times New Roman"/>
          <w:b w:val="false"/>
          <w:i w:val="false"/>
          <w:color w:val="000000"/>
          <w:sz w:val="22"/>
        </w:rPr>
        <w:t xml:space="preserve">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Excludes production of PET radionuclides, prepared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is an authorized user and who meets the requirements specified in </w:t>
      </w:r>
      <w:hyperlink r:id="rId197">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or </w:t>
      </w:r>
      <w:hyperlink r:id="rId198">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under the supervision, as specified in </w:t>
      </w:r>
      <w:hyperlink r:id="rId199">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of the authorized nuclear pharmacist in </w:t>
      </w:r>
      <w:hyperlink r:id="rId200">
        <w:r>
          <w:rPr>
            <w:rStyle w:val="Hyperlink"/>
            <w:rFonts w:ascii="Times New Roman" w:hAnsi="Times New Roman"/>
            <w:b w:val="false"/>
            <w:i w:val="false"/>
            <w:color w:val="000000"/>
            <w:sz w:val="22"/>
          </w:rPr>
          <w:t>41.2(33)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the physician who is an authorized user in </w:t>
      </w:r>
      <w:hyperlink r:id="rId201">
        <w:r>
          <w:rPr>
            <w:rStyle w:val="Hyperlink"/>
            <w:rFonts w:ascii="Times New Roman" w:hAnsi="Times New Roman"/>
            <w:b w:val="false"/>
            <w:i w:val="false"/>
            <w:color w:val="000000"/>
            <w:sz w:val="22"/>
          </w:rPr>
          <w:t>41.2(33)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obtained from and prepared by an NRC or agreement state licensee for use in research in accordance with Radioactive Drug Research Committee-approved protocol or an Investigational New Drug (IND) protocol accepted by FDA;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prepared by the licensee for use in research in accordance with a Radioactive Drug Research Committee-approved application or an Investigational New Drug (IND) protocol accepted by FDA.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41.2(34)</w:t>
      </w:r>
      <w:r>
        <w:rPr>
          <w:rFonts w:ascii="Times New Roman" w:hAnsi="Times New Roman"/>
          <w:b w:val="false"/>
          <w:i w:val="false"/>
          <w:color w:val="000000"/>
          <w:sz w:val="22"/>
        </w:rPr>
        <w:t> </w:t>
      </w:r>
      <w:r>
        <w:rPr>
          <w:rFonts w:ascii="Times New Roman" w:hAnsi="Times New Roman"/>
          <w:b w:val="false"/>
          <w:i/>
          <w:color w:val="000000"/>
          <w:sz w:val="22"/>
        </w:rPr>
        <w:t xml:space="preserve">Permissible molybdenum-99, strontium-82, and strontium-85 concentrations.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not administer to humans a radiopharmaceutical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More than 0.15 microcurie of molybdenum-99 per millicurie of technetium-99m (0.15 kilobecquerel of molybdenum-99 per megabecquerel of technetium-99m);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More than 0.02 microcurie of strontium-82 per millicurie of rubidium-82 chloride injection (0.02 kilobecquerel strontium-82 per megabecquerel rubidium-82 chloride); or more than 0.2 microcurie of strontium-85 per millicurie of rubidium-82 chloride injection (0.2 kilobecquerel strontium-85 per megabecquerel rubidium-82 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that uses molybdenum-99/technetium-99m generators for preparing a technetium-99m radiopharmaceutical shall measure the molybdenum-99 concentration in each eluate from a generator to demonstrate compliance with 41.2(34)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that uses a strontium-82/rubidium-82 generator for preparing a rubidium-82 radiopharmaceutical shall, before the first patient use of the day, measure the concentration of radionuclides strontium-82 and strontium-85 to demonstrate compliance with 41.2(34)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must measure molybdenum-99, strontium-82, or strontium-85 concentration shall retain a record of each measurement for three years.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elution or extraction of technetium-99m, the ratio of the measures expressed as microcuries of molybdenum per millicurie of technetium (kilobecquerels of molybdenum per megabecquerel of technetium), the date of the test, and the initials of the individual who performed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elution or extraction of rubidium-82, the ratio of the measures expressed as microcuries of strontium-82 per millicurie of rubidium-82 (kilobecquerels of strontium-82 per megabecquerel of rubidium-82), microcuries of strontium-85 per millicurie of rubidium-82 (kilobecquerels of strontium-85 per millicurie of rubidium-82), the date of the test, and the initials of the individual who performed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report any measurement that exceeds the limits in 41.2(34)</w:t>
      </w:r>
      <w:r>
        <w:rPr>
          <w:rFonts w:ascii="Times New Roman" w:hAnsi="Times New Roman"/>
          <w:b w:val="false"/>
          <w:i/>
          <w:color w:val="000000"/>
          <w:sz w:val="22"/>
        </w:rPr>
        <w:t>“a”</w:t>
      </w:r>
      <w:r>
        <w:rPr>
          <w:rFonts w:ascii="Times New Roman" w:hAnsi="Times New Roman"/>
          <w:b w:val="false"/>
          <w:i w:val="false"/>
          <w:color w:val="000000"/>
          <w:sz w:val="22"/>
        </w:rPr>
        <w:t xml:space="preserve"> at the time of generator elution,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by telephone the agency and the distributor of the generator within seven calendar days after discovery that an eluate exceeded the permissible concentration listed in 41.2(34)</w:t>
      </w:r>
      <w:r>
        <w:rPr>
          <w:rFonts w:ascii="Times New Roman" w:hAnsi="Times New Roman"/>
          <w:b w:val="false"/>
          <w:i/>
          <w:color w:val="000000"/>
          <w:sz w:val="22"/>
        </w:rPr>
        <w:t>“a”</w:t>
      </w:r>
      <w:r>
        <w:rPr>
          <w:rFonts w:ascii="Times New Roman" w:hAnsi="Times New Roman"/>
          <w:b w:val="false"/>
          <w:i w:val="false"/>
          <w:color w:val="000000"/>
          <w:sz w:val="22"/>
        </w:rPr>
        <w:t xml:space="preserve"> at the time of generator elution. The telephone report to the agency must include the manufacturer, model number, and serial number (or lot number) of the generator; the results of the measurement; the date of the measurement; whether dosages were administered to patients or human research subjects; when the distributor was notified; and the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an appropriate method listed in 641—38.7(136C), the licensee shall submit a written report to the agency within 30 calendar days after discovery of an eluate exceeding the permissible concentration at the time of generator elution. The written report must include the action taken by the licensee; the patient dose assessment; the methodology used to make this dose assessment if the eluate was administered to patients or human research subjects; and the probable cause and an assessment of failure in the licensee’s equipment, procedures or training that contributed to the excessive readings if an error occurred in the licensee’s breakthrough determination; and the information in the telephone report as required by 41.2(34)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41.2(35)</w:t>
      </w:r>
      <w:r>
        <w:rPr>
          <w:rFonts w:ascii="Times New Roman" w:hAnsi="Times New Roman"/>
          <w:b w:val="false"/>
          <w:i w:val="false"/>
          <w:color w:val="000000"/>
          <w:sz w:val="22"/>
        </w:rPr>
        <w:t> </w:t>
      </w:r>
      <w:r>
        <w:rPr>
          <w:rFonts w:ascii="Times New Roman" w:hAnsi="Times New Roman"/>
          <w:b w:val="false"/>
          <w:i/>
          <w:color w:val="000000"/>
          <w:sz w:val="22"/>
        </w:rPr>
        <w:t xml:space="preserve">Control of aerosols and gases.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administers radioactive aerosols or gases shall do so with a system that will keep airborne concentrations within the limits prescribed by </w:t>
      </w:r>
      <w:hyperlink r:id="rId202">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xml:space="preserve"> and </w:t>
      </w:r>
      <w:hyperlink r:id="rId203">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system shall either be directly vented to the atmosphere through an air exhaust or provide for collection and decay or disposal of the aerosol or gas in a shielded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only administer radioactive gases in rooms that are at negative pressure compared to surrounding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receiving, using, or storing a radioactive gas, the licensee shall calculate the amount of time needed after a release to reduce the concentration in the area of use to the occupational limit listed in Appendix B of </w:t>
      </w:r>
      <w:hyperlink r:id="rId204">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The calculation shall be based on the highest activity of gas handled in a single container and the measured available air exhaust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post the time calculated in </w:t>
      </w:r>
      <w:hyperlink r:id="rId205">
        <w:r>
          <w:rPr>
            <w:rStyle w:val="Hyperlink"/>
            <w:rFonts w:ascii="Times New Roman" w:hAnsi="Times New Roman"/>
            <w:b w:val="false"/>
            <w:i w:val="false"/>
            <w:color w:val="000000"/>
            <w:sz w:val="22"/>
          </w:rPr>
          <w:t>41.2(35)</w:t>
        </w:r>
        <w:r>
          <w:rPr>
            <w:rFonts w:ascii="Times New Roman" w:hAnsi="Times New Roman"/>
            <w:b w:val="false"/>
            <w:i/>
            <w:color w:val="000000"/>
            <w:sz w:val="22"/>
          </w:rPr>
          <w:t>“a”</w:t>
        </w:r>
      </w:hyperlink>
      <w:r>
        <w:rPr>
          <w:rFonts w:ascii="Times New Roman" w:hAnsi="Times New Roman"/>
          <w:b w:val="false"/>
          <w:i w:val="false"/>
          <w:color w:val="000000"/>
          <w:sz w:val="22"/>
        </w:rPr>
        <w:t xml:space="preserve"> at the area of use and require that, in case of a gas spill, individuals evacuate the room until the posted time has elapsed.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shall check the operation of collection systems monthly and measure the ventilation rates in areas of use at intervals not to exceed six months. Records of these checks and measurements shall be maintained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calculations required in </w:t>
      </w:r>
      <w:hyperlink r:id="rId206">
        <w:r>
          <w:rPr>
            <w:rStyle w:val="Hyperlink"/>
            <w:rFonts w:ascii="Times New Roman" w:hAnsi="Times New Roman"/>
            <w:b w:val="false"/>
            <w:i w:val="false"/>
            <w:color w:val="000000"/>
            <w:sz w:val="22"/>
          </w:rPr>
          <w:t>41.2(35)</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recorded and retained for the duration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41.2(37)</w:t>
      </w:r>
      <w:r>
        <w:rPr>
          <w:rFonts w:ascii="Times New Roman" w:hAnsi="Times New Roman"/>
          <w:b w:val="false"/>
          <w:i w:val="false"/>
          <w:color w:val="000000"/>
          <w:sz w:val="22"/>
        </w:rPr>
        <w:t> </w:t>
      </w:r>
      <w:r>
        <w:rPr>
          <w:rFonts w:ascii="Times New Roman" w:hAnsi="Times New Roman"/>
          <w:b w:val="false"/>
          <w:i/>
          <w:color w:val="000000"/>
          <w:sz w:val="22"/>
        </w:rPr>
        <w:t xml:space="preserve">Use of unsealed byproduct material for which a written directive is required. </w:t>
      </w:r>
      <w:r>
        <w:rPr>
          <w:rFonts w:ascii="Times New Roman" w:hAnsi="Times New Roman"/>
          <w:b w:val="false"/>
          <w:i w:val="false"/>
          <w:color w:val="000000"/>
          <w:sz w:val="22"/>
        </w:rPr>
        <w:t>A licensee may use any unsealed byproduct material identified in 41.2(69)</w:t>
      </w:r>
      <w:r>
        <w:rPr>
          <w:rFonts w:ascii="Times New Roman" w:hAnsi="Times New Roman"/>
          <w:b w:val="false"/>
          <w:i/>
          <w:color w:val="000000"/>
          <w:sz w:val="22"/>
        </w:rPr>
        <w:t>“b”</w:t>
      </w:r>
      <w:r>
        <w:rPr>
          <w:rFonts w:ascii="Times New Roman" w:hAnsi="Times New Roman"/>
          <w:b w:val="false"/>
          <w:i w:val="false"/>
          <w:color w:val="000000"/>
          <w:sz w:val="22"/>
        </w:rPr>
        <w:t>(1)“2,” seventh bulleted paragraph, prepared for medical use and for which a written directive is required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obtained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or preparer licensed under </w:t>
      </w:r>
      <w:hyperlink r:id="rId207">
        <w:r>
          <w:rPr>
            <w:rStyle w:val="Hyperlink"/>
            <w:rFonts w:ascii="Times New Roman" w:hAnsi="Times New Roman"/>
            <w:b w:val="false"/>
            <w:i w:val="false"/>
            <w:color w:val="000000"/>
            <w:sz w:val="22"/>
          </w:rPr>
          <w:t>641—paragraph 39.4(29)</w:t>
        </w:r>
        <w:r>
          <w:rPr>
            <w:rFonts w:ascii="Times New Roman" w:hAnsi="Times New Roman"/>
            <w:b w:val="false"/>
            <w:i/>
            <w:color w:val="000000"/>
            <w:sz w:val="22"/>
          </w:rPr>
          <w:t>“j”</w:t>
        </w:r>
      </w:hyperlink>
      <w:r>
        <w:rPr>
          <w:rFonts w:ascii="Times New Roman" w:hAnsi="Times New Roman"/>
          <w:b w:val="false"/>
          <w:i w:val="false"/>
          <w:color w:val="000000"/>
          <w:sz w:val="22"/>
        </w:rPr>
        <w:t xml:space="preserve">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PET radioactive drug producer licensed under </w:t>
      </w:r>
      <w:hyperlink r:id="rId208">
        <w:r>
          <w:rPr>
            <w:rStyle w:val="Hyperlink"/>
            <w:rFonts w:ascii="Times New Roman" w:hAnsi="Times New Roman"/>
            <w:b w:val="false"/>
            <w:i w:val="false"/>
            <w:color w:val="000000"/>
            <w:sz w:val="22"/>
          </w:rPr>
          <w:t>641—paragraph 39.4(24)</w:t>
        </w:r>
        <w:r>
          <w:rPr>
            <w:rFonts w:ascii="Times New Roman" w:hAnsi="Times New Roman"/>
            <w:b w:val="false"/>
            <w:i/>
            <w:color w:val="000000"/>
            <w:sz w:val="22"/>
          </w:rPr>
          <w:t>“h”</w:t>
        </w:r>
      </w:hyperlink>
      <w:r>
        <w:rPr>
          <w:rFonts w:ascii="Times New Roman" w:hAnsi="Times New Roman"/>
          <w:b w:val="false"/>
          <w:i w:val="false"/>
          <w:color w:val="000000"/>
          <w:sz w:val="22"/>
        </w:rPr>
        <w:t xml:space="preserve">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Excludes production of PET radionuclides, prepared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is an authorized user and who meets the requirements of </w:t>
      </w:r>
      <w:hyperlink r:id="rId209">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or </w:t>
      </w:r>
      <w:hyperlink r:id="rId210">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under the supervision, as specified in </w:t>
      </w:r>
      <w:hyperlink r:id="rId211">
        <w:r>
          <w:rPr>
            <w:rStyle w:val="Hyperlink"/>
            <w:rFonts w:ascii="Times New Roman" w:hAnsi="Times New Roman"/>
            <w:b w:val="false"/>
            <w:i w:val="false"/>
            <w:color w:val="000000"/>
            <w:sz w:val="22"/>
          </w:rPr>
          <w:t>41.2(11)</w:t>
        </w:r>
      </w:hyperlink>
      <w:r>
        <w:rPr>
          <w:rFonts w:ascii="Times New Roman" w:hAnsi="Times New Roman"/>
          <w:b w:val="false"/>
          <w:i w:val="false"/>
          <w:color w:val="000000"/>
          <w:sz w:val="22"/>
        </w:rPr>
        <w:t xml:space="preserve">, of the authorized nuclear pharmacist in </w:t>
      </w:r>
      <w:hyperlink r:id="rId212">
        <w:r>
          <w:rPr>
            <w:rStyle w:val="Hyperlink"/>
            <w:rFonts w:ascii="Times New Roman" w:hAnsi="Times New Roman"/>
            <w:b w:val="false"/>
            <w:i w:val="false"/>
            <w:color w:val="000000"/>
            <w:sz w:val="22"/>
          </w:rPr>
          <w:t>41.2(37)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the physician who is an authorized user in </w:t>
      </w:r>
      <w:hyperlink r:id="rId213">
        <w:r>
          <w:rPr>
            <w:rStyle w:val="Hyperlink"/>
            <w:rFonts w:ascii="Times New Roman" w:hAnsi="Times New Roman"/>
            <w:b w:val="false"/>
            <w:i w:val="false"/>
            <w:color w:val="000000"/>
            <w:sz w:val="22"/>
          </w:rPr>
          <w:t>41.2(37)</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obtained from and prepared by an NRC or agreement state licensee for use in research in accordance with the Investigational New Drug (IND) protocol accepted by FDA;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prepared by the licensee for use in research in accordance with an Investigational New Drug (IND) protocol accepted by FDA.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41.2(38)</w:t>
      </w:r>
      <w:r>
        <w:rPr>
          <w:rFonts w:ascii="Times New Roman" w:hAnsi="Times New Roman"/>
          <w:b w:val="false"/>
          <w:i w:val="false"/>
          <w:color w:val="000000"/>
          <w:sz w:val="22"/>
        </w:rPr>
        <w:t> </w:t>
      </w:r>
      <w:r>
        <w:rPr>
          <w:rFonts w:ascii="Times New Roman" w:hAnsi="Times New Roman"/>
          <w:b w:val="false"/>
          <w:i/>
          <w:color w:val="000000"/>
          <w:sz w:val="22"/>
        </w:rPr>
        <w:t xml:space="preserve">Safety instruction for radiopharmaceutical therapy and hospitalization.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provide oral and written radiation safety instruction for all personnel caring for patients or human research subjects undergoing radiopharmaceutical therapy and hospitalized for compliance with </w:t>
      </w:r>
      <w:hyperlink r:id="rId214">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Refresher training shall be provided initially and at 12-month intervals or as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w:t>
      </w:r>
      <w:hyperlink r:id="rId215">
        <w:r>
          <w:rPr>
            <w:rStyle w:val="Hyperlink"/>
            <w:rFonts w:ascii="Times New Roman" w:hAnsi="Times New Roman"/>
            <w:b w:val="false"/>
            <w:i w:val="false"/>
            <w:color w:val="000000"/>
            <w:sz w:val="22"/>
          </w:rPr>
          <w:t>41.2(38)</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instruction shall describe the licensee’s procedures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or human research subject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Contamination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Waste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Notification of the radiation safety officer, radiation safety officer designee, or authorized user in case of the patient’s or human research subject’s death or medical emergency;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requirements specified in </w:t>
      </w:r>
      <w:hyperlink r:id="rId216">
        <w:r>
          <w:rPr>
            <w:rStyle w:val="Hyperlink"/>
            <w:rFonts w:ascii="Times New Roman" w:hAnsi="Times New Roman"/>
            <w:b w:val="false"/>
            <w:i w:val="false"/>
            <w:color w:val="000000"/>
            <w:sz w:val="22"/>
          </w:rPr>
          <w:t>641—40.110(136C)</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641—40.116(136C)</w:t>
        </w:r>
      </w:hyperlink>
      <w:r>
        <w:rPr>
          <w:rFonts w:ascii="Times New Roman" w:hAnsi="Times New Roman"/>
          <w:b w:val="false"/>
          <w:i w:val="false"/>
          <w:color w:val="000000"/>
          <w:sz w:val="22"/>
        </w:rPr>
        <w:t xml:space="preserve"> and adopted by reference and included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 record of safety instructions required by 41.2(38) for three years. The records must include a description of the instruction, the date of instruction, and the name of the individual who gave the instruction. Such record shall be maintained for inspection by the agency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41.2(39)</w:t>
      </w:r>
      <w:r>
        <w:rPr>
          <w:rFonts w:ascii="Times New Roman" w:hAnsi="Times New Roman"/>
          <w:b w:val="false"/>
          <w:i w:val="false"/>
          <w:color w:val="000000"/>
          <w:sz w:val="22"/>
        </w:rPr>
        <w:t> </w:t>
      </w:r>
      <w:r>
        <w:rPr>
          <w:rFonts w:ascii="Times New Roman" w:hAnsi="Times New Roman"/>
          <w:b w:val="false"/>
          <w:i/>
          <w:color w:val="000000"/>
          <w:sz w:val="22"/>
        </w:rPr>
        <w:t xml:space="preserve">Safety precautions for radiopharmaceutical therapy and hospitalization.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patient or human research subject receiving radiopharmaceutical therapy and hospitalized for compliance with </w:t>
      </w:r>
      <w:hyperlink r:id="rId218">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private room with a private sanitary facility or a room, with a private sanitary facility, with another individual who also has received therapy with unsealed radioactive material and who also cannot be released under </w:t>
      </w:r>
      <w:hyperlink r:id="rId219">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 the patient’s or human research subject’s door with a “Caution: Radioactive Material” sign and note on the door or on the patient’s or human research subject’s chart where and how long visitors may stay in the patient’s or human research subject’s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Authorize visits by individuals under 18 years of age only on a case-by-case basis with the approval of the authorized user after consultation with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administration of the dosage, measure the dose rates in contiguous restricted and unrestricted areas with a radiation measurement survey instrument to demonstrate compliance with the requirements of </w:t>
      </w:r>
      <w:hyperlink r:id="rId220">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xml:space="preserve"> which is adopted by reference and included herein and retain for three years a record of each survey that includes the time and date of the survey, a plan of the area or list of points surveyed, the measured dose rate at several points expressed in millirems (</w:t>
      </w:r>
      <w:r>
        <w:rPr>
          <w:rFonts w:ascii="Times New Roman" w:hAnsi="Times New Roman"/>
          <w:b w:val="false"/>
          <w:i/>
          <w:color w:val="000000"/>
          <w:sz w:val="22"/>
        </w:rPr>
        <w:t>µ</w:t>
      </w:r>
      <w:r>
        <w:rPr>
          <w:rFonts w:ascii="Times New Roman" w:hAnsi="Times New Roman"/>
          <w:b w:val="false"/>
          <w:i w:val="false"/>
          <w:color w:val="000000"/>
          <w:sz w:val="22"/>
        </w:rPr>
        <w:t>Sv) per hour, the instrument used to make the survey, and the initials of the individual who made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Either monitor material and items removed from the patient’s or human research subject’s room to determine that any contamination cannot be distinguished from the natural background radiation level with a radiation detection survey instrument set on its most sensitive scale and with no interposed shielding, or handle these materials and items as radioactive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the patient or human research subject with radiation safety guidance that will help to keep radiation dose to household members and the public as low as reasonably achievable before authorizing release of the patient or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Survey the patient’s or human research subject’s room and private sanitary facility for removable contamination with a radiation detection survey instrument before assigning another patient or human research subject to the room. The room must not be reassigned until removable contamination is less than 200 disintegrations per minute (3.33 Bq) per 100 square centimeters;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radiation safety officer or the authorized user immediately if the patient or human research subject dies or has a medical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w:t>
      </w:r>
      <w:r>
        <w:rPr>
          <w:rFonts w:ascii="Times New Roman" w:hAnsi="Times New Roman"/>
          <w:b w:val="false"/>
          <w:i w:val="false"/>
          <w:color w:val="000000"/>
          <w:sz w:val="22"/>
        </w:rPr>
        <w:t> </w:t>
      </w:r>
      <w:r>
        <w:rPr>
          <w:rFonts w:ascii="Times New Roman" w:hAnsi="Times New Roman"/>
          <w:b w:val="false"/>
          <w:i/>
          <w:color w:val="000000"/>
          <w:sz w:val="22"/>
        </w:rPr>
        <w:t xml:space="preserve">Use of sealed sources for diagnosis.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must use only sealed sources that are not in medical devices for diagnostic medical uses if the sealed sources are approved in the Sealed Source and Device Registry for diagnostic medicine. The sealed sources may be used for diagnostic medical uses that are not explicitly listed in the Sealed Source and Device Registry but must be used in accordance with the radiation safety conditions and limitations described in the Sealed Source and Device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must only use medical devices containing sealed sources for diagnostic medical uses if both the sealed sources and medical devices are approved in the Sealed Source and Device Registry for diagnostic medical uses. The diagnostic medical devices may be used for diagnostic medical uses that are not explicitly listed in the Sealed Source and Device Registry but must be used in accordance with the radiation safety conditions and limitations described in the Sealed Source and Device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Sealed sources and devices for diagnostic medical uses may be used in research in accordance with an active Investigational Device Exemption (IDE) application accepted by the FDA provided the requirements in 41.2(15)</w:t>
      </w:r>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41.2(43)</w:t>
      </w:r>
      <w:r>
        <w:rPr>
          <w:rFonts w:ascii="Times New Roman" w:hAnsi="Times New Roman"/>
          <w:b w:val="false"/>
          <w:i w:val="false"/>
          <w:color w:val="000000"/>
          <w:sz w:val="22"/>
        </w:rPr>
        <w:t> </w:t>
      </w:r>
      <w:r>
        <w:rPr>
          <w:rFonts w:ascii="Times New Roman" w:hAnsi="Times New Roman"/>
          <w:b w:val="false"/>
          <w:i/>
          <w:color w:val="000000"/>
          <w:sz w:val="22"/>
        </w:rPr>
        <w:t xml:space="preserve">Use of sources for manual brachytherapy. </w:t>
      </w:r>
      <w:r>
        <w:rPr>
          <w:rFonts w:ascii="Times New Roman" w:hAnsi="Times New Roman"/>
          <w:b w:val="false"/>
          <w:i w:val="false"/>
          <w:color w:val="000000"/>
          <w:sz w:val="22"/>
        </w:rPr>
        <w:t>A licensee shall use only brachytherapy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approved in the Sealed Source and Device Registry for manual brachytherapy medical use. The manual brachytherapy sources may be used for manual brachytherapy uses that are not explicitly listed in the Sealed Source and Device Registry but must be used in accordance with the radiation safety conditions and limitations described in the Sealed Source and Device Registry;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research to deliver therapeutic doses for medical use in accordance with an active Investigational Device Exemption (IDE) application accepted by the FDA provided the requirements of </w:t>
      </w:r>
      <w:hyperlink r:id="rId221">
        <w:r>
          <w:rPr>
            <w:rStyle w:val="Hyperlink"/>
            <w:rFonts w:ascii="Times New Roman" w:hAnsi="Times New Roman"/>
            <w:b w:val="false"/>
            <w:i w:val="false"/>
            <w:color w:val="000000"/>
            <w:sz w:val="22"/>
          </w:rPr>
          <w:t>41.2(15)</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41.2(44)</w:t>
      </w:r>
      <w:r>
        <w:rPr>
          <w:rFonts w:ascii="Times New Roman" w:hAnsi="Times New Roman"/>
          <w:b w:val="false"/>
          <w:i w:val="false"/>
          <w:color w:val="000000"/>
          <w:sz w:val="22"/>
        </w:rPr>
        <w:t> </w:t>
      </w:r>
      <w:r>
        <w:rPr>
          <w:rFonts w:ascii="Times New Roman" w:hAnsi="Times New Roman"/>
          <w:b w:val="false"/>
          <w:i/>
          <w:color w:val="000000"/>
          <w:sz w:val="22"/>
        </w:rPr>
        <w:t xml:space="preserve">Safety instruction for manual brachytherapy.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oral and written radiation safety instruction to all personnel caring for a patient or human research subject receiving manual brachytherapy and cannot be released under 41.2(27). Refresher training shall be provided initially and at 12-month intervals or as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w:t>
      </w:r>
      <w:hyperlink r:id="rId222">
        <w:r>
          <w:rPr>
            <w:rStyle w:val="Hyperlink"/>
            <w:rFonts w:ascii="Times New Roman" w:hAnsi="Times New Roman"/>
            <w:b w:val="false"/>
            <w:i w:val="false"/>
            <w:color w:val="000000"/>
            <w:sz w:val="22"/>
          </w:rPr>
          <w:t>41.2(44)</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instruction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Size and appearance of the brachytherapy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 handling and shielding instructions in case of a dislodged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patient or human research subject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visitor control, to include routine visitation of hospitalized individuals in accordance with </w:t>
      </w:r>
      <w:hyperlink r:id="rId223">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and visitation authorized in accordance with </w:t>
      </w:r>
      <w:hyperlink r:id="rId224">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notification of the radiation safety officer, radiation safety officer designee, or authorized user if the patient or human research subject dies or has a medical emergency;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requirements specified in </w:t>
      </w:r>
      <w:hyperlink r:id="rId225">
        <w:r>
          <w:rPr>
            <w:rStyle w:val="Hyperlink"/>
            <w:rFonts w:ascii="Times New Roman" w:hAnsi="Times New Roman"/>
            <w:b w:val="false"/>
            <w:i w:val="false"/>
            <w:color w:val="000000"/>
            <w:sz w:val="22"/>
          </w:rPr>
          <w:t>641—40.110(136C)</w:t>
        </w:r>
      </w:hyperlink>
      <w:r>
        <w:rPr>
          <w:rFonts w:ascii="Times New Roman" w:hAnsi="Times New Roman"/>
          <w:b w:val="false"/>
          <w:i w:val="false"/>
          <w:color w:val="000000"/>
          <w:sz w:val="22"/>
        </w:rPr>
        <w:t xml:space="preserve"> and </w:t>
      </w:r>
      <w:hyperlink r:id="rId226">
        <w:r>
          <w:rPr>
            <w:rStyle w:val="Hyperlink"/>
            <w:rFonts w:ascii="Times New Roman" w:hAnsi="Times New Roman"/>
            <w:b w:val="false"/>
            <w:i w:val="false"/>
            <w:color w:val="000000"/>
            <w:sz w:val="22"/>
          </w:rPr>
          <w:t>40.116(136C)</w:t>
        </w:r>
      </w:hyperlink>
      <w:r>
        <w:rPr>
          <w:rFonts w:ascii="Times New Roman" w:hAnsi="Times New Roman"/>
          <w:b w:val="false"/>
          <w:i w:val="false"/>
          <w:color w:val="000000"/>
          <w:sz w:val="22"/>
        </w:rPr>
        <w:t xml:space="preserve"> as adopted by reference and included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 record of safety instructions required by 41.2(44) for three years. The records must include a description of the instruction, the date of instruction, the name of the attendee(s), and the name of the individual who gave the instruction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41.2(45)</w:t>
      </w:r>
      <w:r>
        <w:rPr>
          <w:rFonts w:ascii="Times New Roman" w:hAnsi="Times New Roman"/>
          <w:b w:val="false"/>
          <w:i w:val="false"/>
          <w:color w:val="000000"/>
          <w:sz w:val="22"/>
        </w:rPr>
        <w:t> </w:t>
      </w:r>
      <w:r>
        <w:rPr>
          <w:rFonts w:ascii="Times New Roman" w:hAnsi="Times New Roman"/>
          <w:b w:val="false"/>
          <w:i/>
          <w:color w:val="000000"/>
          <w:sz w:val="22"/>
        </w:rPr>
        <w:t xml:space="preserve">Safety precautions for manual brachytherapy.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patient or human research subject receiving manual brachytherapy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 place the patient or human research subject in the same room with a patient who is not receiving radiation therapy unless the licensee can demonstrate compliance with the requirement of </w:t>
      </w:r>
      <w:hyperlink r:id="rId227">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as adopted by reference and included herein at a distance of 1 meter from the implant;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 the patient’s or human research subject’s door with a “Caution: Radioactive Materials” sign and note on the door or the patient’s or human research subject’s chart where and how long visitors may stay in the patient’s or human research subject’s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Authorize visits by individuals under 18 years of age only on a case-by-case basis with the approval of the authorized user after consultation with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implanting the sources, survey the dose rates in contiguous restricted and unrestricted areas with a radiation measurement survey instrument to demonstrate compliance with </w:t>
      </w:r>
      <w:hyperlink r:id="rId228">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as adopted by reference and included herein; and retain for three years a record of each survey that includes the time and date of the survey, a sketch of the area or list of points surveyed, the measured dose rate at several points expressed in millirems (mSv) per hour, the instrument used to make the survey, and the initials of the individual who made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the patient or human research subject with radiation safety guidance that will help keep the radiation dose to household members and the public as low as reasonably achievable before releasing the patient or human research subject if the patient or human research subject was administered a permanent implant;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applicable emergency response equipment available near each treatment room to respond to a source dislodged from the patient or lodged within the patient following removal of the source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radiation safety officer, radiation safety officer designee, or authorized user immediately if the patient or human research subject dies or has a medical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41.2(46)</w:t>
      </w:r>
      <w:r>
        <w:rPr>
          <w:rFonts w:ascii="Times New Roman" w:hAnsi="Times New Roman"/>
          <w:b w:val="false"/>
          <w:i w:val="false"/>
          <w:color w:val="000000"/>
          <w:sz w:val="22"/>
        </w:rPr>
        <w:t> </w:t>
      </w:r>
      <w:r>
        <w:rPr>
          <w:rFonts w:ascii="Times New Roman" w:hAnsi="Times New Roman"/>
          <w:b w:val="false"/>
          <w:i/>
          <w:color w:val="000000"/>
          <w:sz w:val="22"/>
        </w:rPr>
        <w:t xml:space="preserve">Brachytherapy sources inventory.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brachytherapy sources are returned to an area of storage from an area of use, the licensee shall immediately count or otherwise verify the number returned to ensure that all sources taken from the storage area have been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make a record of brachytherapy source utilization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of the individuals permitted to handle the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activity of sources removed from storage, the room number of use and patient’s or human research subject’s name, the time and date they were removed from storage, the number and activity of sources in storage after the removal, and the initials of the individual who removed the sources from storage;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and activity of sources returned to storage, the room number of use and patient’s or human research subject’s name, the time and date they were returned to storage, the number and activity of sources in storage after the return, and the initials of the individual who returned the sources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Immediately after implanting sources in a patient or human research subject and immediately after removal of sources from a patient or human research subject, the licensee shall make a radiation survey of the patient or human research subject and the area of use to confirm that no sources have been misplaced. The licensee shall make a record of each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maintain the records required in </w:t>
      </w:r>
      <w:hyperlink r:id="rId229">
        <w:r>
          <w:rPr>
            <w:rStyle w:val="Hyperlink"/>
            <w:rFonts w:ascii="Times New Roman" w:hAnsi="Times New Roman"/>
            <w:b w:val="false"/>
            <w:i w:val="false"/>
            <w:color w:val="000000"/>
            <w:sz w:val="22"/>
          </w:rPr>
          <w:t>41.2(46)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accountability at all times for all brachytherapy sources in storage or use. As soon as possible after removing sources from a patient or a human research subject, a licensee shall return brachytherapy sources to a secure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41.2(47)</w:t>
      </w:r>
      <w:r>
        <w:rPr>
          <w:rFonts w:ascii="Times New Roman" w:hAnsi="Times New Roman"/>
          <w:b w:val="false"/>
          <w:i w:val="false"/>
          <w:color w:val="000000"/>
          <w:sz w:val="22"/>
        </w:rPr>
        <w:t> </w:t>
      </w:r>
      <w:r>
        <w:rPr>
          <w:rFonts w:ascii="Times New Roman" w:hAnsi="Times New Roman"/>
          <w:b w:val="false"/>
          <w:i/>
          <w:color w:val="000000"/>
          <w:sz w:val="22"/>
        </w:rPr>
        <w:t xml:space="preserve">Release of patients or human research subjects treated with temporary implants.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Immediately after removing the last temporary implant source from a patient or human research subject, the licensee shall perform a radiation survey of the patient or human research subject with a radiation detection survey instrument to confirm that all sources have been removed and, for remote afterloaders, returned to the safe shielded position. The licensee shall not release from confinement for medical care a patient or human research subject treated by temporary implant until all sources have been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maintain a record of patient or human research subject surveys which demonstrate compliance with </w:t>
      </w:r>
      <w:hyperlink r:id="rId230">
        <w:r>
          <w:rPr>
            <w:rStyle w:val="Hyperlink"/>
            <w:rFonts w:ascii="Times New Roman" w:hAnsi="Times New Roman"/>
            <w:b w:val="false"/>
            <w:i w:val="false"/>
            <w:color w:val="000000"/>
            <w:sz w:val="22"/>
          </w:rPr>
          <w:t>41.2(47)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three years. Each record shall include the date of the survey, the name of the patient or human research subject, the dose rate from the patient or human research subject expressed as millirems (microsieverts) per hour and measured within 1 meter from the patient or human research subject, and the initials of the individual who made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41.2(49)</w:t>
      </w:r>
      <w:r>
        <w:rPr>
          <w:rFonts w:ascii="Times New Roman" w:hAnsi="Times New Roman"/>
          <w:b w:val="false"/>
          <w:i w:val="false"/>
          <w:color w:val="000000"/>
          <w:sz w:val="22"/>
        </w:rPr>
        <w:t> </w:t>
      </w:r>
      <w:r>
        <w:rPr>
          <w:rFonts w:ascii="Times New Roman" w:hAnsi="Times New Roman"/>
          <w:b w:val="false"/>
          <w:i/>
          <w:color w:val="000000"/>
          <w:sz w:val="22"/>
        </w:rPr>
        <w:t xml:space="preserve">Use of a sealed source in a remote afterloader unit, teletherapy unit, or gamma stereotactic radiosurgery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must only use sealed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Approved and as provided for in the Sealed Source and Device Registry in photon emitting remote afterloader units, teletherapy units, or gamma stereotactic radiosurgery units to deliver therapeutic doses for medical uses;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research involving photon emitting remote afterloader units, teletherapy units, or gamma stereotactic radiosurgery units in accordance with an active Investigational Device Exemption (IDE) application accepted by the FDA provided the requirements of 41.2(15)</w:t>
      </w:r>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must use photon emitting remote afterloader units, teletherapy units, or gamma stereotactic radiosurgery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Approved in the Sealed Source and Device Registry to deliver a therapeutic dose for medical use. These devices may be used for therapeutic medical treatments that are not explicitly provided for in the Sealed Source and Device Registry but must be used in accordance with radiation safety conditions and limitations described in the Sealed Source and Device Registry;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research in accordance with an active Investigational Device Exemption (IDE) application accepted by the FDA provided the requirements of 41.2(15)</w:t>
      </w:r>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41.2(50)</w:t>
      </w:r>
      <w:r>
        <w:rPr>
          <w:rFonts w:ascii="Times New Roman" w:hAnsi="Times New Roman"/>
          <w:b w:val="false"/>
          <w:i w:val="false"/>
          <w:color w:val="000000"/>
          <w:sz w:val="22"/>
        </w:rPr>
        <w:t> </w:t>
      </w:r>
      <w:r>
        <w:rPr>
          <w:rFonts w:ascii="Times New Roman" w:hAnsi="Times New Roman"/>
          <w:b w:val="false"/>
          <w:i/>
          <w:color w:val="000000"/>
          <w:sz w:val="22"/>
        </w:rPr>
        <w:t xml:space="preserve">Installation, maintenance, adjustment, and repair.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 person specifically licensed by the NRC or an agreement state shall install, maintain, adjust, or repair a remote afterloader unit, teletherapy unit, or gamma stereotactic radiosurgery unit that involves work on the source shielding, the source(s) driving unit, or other electronic or mechanical component that could expose the source(s), or reduce the shielding around the source(s), or compromise the radiation safety of the unit or the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low-dose-rate remote afterloader units, only a person specifically licensed by the NRC or an agreement state shall install, replace, relocate, or remove a sealed source or source contained in other remote afterloader units, teletherapy units, or gamma stereotactic radiosurgery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low-dose-rate remote afterloader units, only a person specifically licensed by the NRC or an agreement state or an authorized medical physicist shall install, replace, relocate, or remove a sealed source(s) contained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retain a record of the installation, maintenance, adjustment, and repair of remote afterloader units, teletherapy units and gamma stereotactic radiosurgery units for three years. The record must include the date, description of the service, and the name of the individual who performed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41.2(51)</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In addition to the requirements specified in </w:t>
      </w:r>
      <w:hyperlink r:id="rId231">
        <w:r>
          <w:rPr>
            <w:rStyle w:val="Hyperlink"/>
            <w:rFonts w:ascii="Times New Roman" w:hAnsi="Times New Roman"/>
            <w:b w:val="false"/>
            <w:i w:val="false"/>
            <w:color w:val="000000"/>
            <w:sz w:val="22"/>
          </w:rPr>
          <w:t>41.2(4)</w:t>
        </w:r>
      </w:hyperlink>
      <w:r>
        <w:rPr>
          <w:rFonts w:ascii="Times New Roman" w:hAnsi="Times New Roman"/>
          <w:b w:val="false"/>
          <w:i w:val="false"/>
          <w:color w:val="000000"/>
          <w:sz w:val="22"/>
        </w:rPr>
        <w:t>, a licensee shall apply for and receive a license amendment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any change in the treatment room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any change in the location of the teletherapy unit within the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Using the teletherapy unit in a manner that could result in increased radiation levels in areas outside the teletherapy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Relocating the teletherapy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Allowing an individual not listed on the licensee’s license to perform the duties of the teletherapy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41.2(52)</w:t>
      </w:r>
      <w:r>
        <w:rPr>
          <w:rFonts w:ascii="Times New Roman" w:hAnsi="Times New Roman"/>
          <w:b w:val="false"/>
          <w:i w:val="false"/>
          <w:color w:val="000000"/>
          <w:sz w:val="22"/>
        </w:rPr>
        <w:t> </w:t>
      </w:r>
      <w:r>
        <w:rPr>
          <w:rFonts w:ascii="Times New Roman" w:hAnsi="Times New Roman"/>
          <w:b w:val="false"/>
          <w:i/>
          <w:color w:val="000000"/>
          <w:sz w:val="22"/>
        </w:rPr>
        <w:t xml:space="preserve">Safety procedures and instructions for remote afterloader units, teletherapy units, and 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Secure the unit, the console, the console keys, and the treatment room when not in use or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only individuals approved by the authorized user, radiation safety officer, or authorized medical physicist to be present in the treatment room during treatment with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dual operation of more than one radiation producing device in a treatment room,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 implement, and maintain written procedures for responding to an abnormal situation when the operator is unable to place the source in the shielded position, or to remove the patient or human research subject from the radiation field with controls from outside the treatment room. These procedures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Instructions for responding to equipment failures and the names of the individuals responsible for implementing corrective actions;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process for restricting access to and posting of the treatment area to minimize the risk of inadvertent exposure;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names and telephone numbers of the authorized users, the authorized medical physicist, and the radiation safety officer to be contacted if the unit or console operates abnormally.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procedures required by </w:t>
      </w:r>
      <w:hyperlink r:id="rId232">
        <w:r>
          <w:rPr>
            <w:rStyle w:val="Hyperlink"/>
            <w:rFonts w:ascii="Times New Roman" w:hAnsi="Times New Roman"/>
            <w:b w:val="false"/>
            <w:i w:val="false"/>
            <w:color w:val="000000"/>
            <w:sz w:val="22"/>
          </w:rPr>
          <w:t>41.2(52)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must be physically located at the unit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post instructions at the unit console to inform the operator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the procedures required by </w:t>
      </w:r>
      <w:hyperlink r:id="rId233">
        <w:r>
          <w:rPr>
            <w:rStyle w:val="Hyperlink"/>
            <w:rFonts w:ascii="Times New Roman" w:hAnsi="Times New Roman"/>
            <w:b w:val="false"/>
            <w:i w:val="false"/>
            <w:color w:val="000000"/>
            <w:sz w:val="22"/>
          </w:rPr>
          <w:t>41.2(52)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and telephone numbers of the authorized users, the authorized medical physicist, and the radiation safety officer to be contacted if the unit or console operates abnormally.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vendor operational and safety training is provided to all individuals who will operate the unit prior to the first use for patient treatment of a new unit or an existing unit with a manufacturer upgrade that affects the operation and safety of the unit. The vendor operational and safety training must be provided by the device manufacturer or by an individual certified by the device manufacturer to provide the operational and safety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operational and safety instruction, initially and at least annually, to all individuals who operate the unit, appropriate to the individual’s assigned duties,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identified in </w:t>
      </w:r>
      <w:hyperlink r:id="rId234">
        <w:r>
          <w:rPr>
            <w:rStyle w:val="Hyperlink"/>
            <w:rFonts w:ascii="Times New Roman" w:hAnsi="Times New Roman"/>
            <w:b w:val="false"/>
            <w:i w:val="false"/>
            <w:color w:val="000000"/>
            <w:sz w:val="22"/>
          </w:rPr>
          <w:t>41.2(52)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operating procedures for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ensure that operators, authorized medical physicists, and authorized users participate in drills of emergency procedures, initially and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for three years of individuals receiving instruction required by 41.2(52), a description of the instruction, the date of instruction, the name of the attendee(s), and the name of the individual who gave the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procedures required in </w:t>
      </w:r>
      <w:hyperlink r:id="rId235">
        <w:r>
          <w:rPr>
            <w:rStyle w:val="Hyperlink"/>
            <w:rFonts w:ascii="Times New Roman" w:hAnsi="Times New Roman"/>
            <w:b w:val="false"/>
            <w:i w:val="false"/>
            <w:color w:val="000000"/>
            <w:sz w:val="22"/>
          </w:rPr>
          <w:t>41.2(52)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be retained until the licensee no longer possesses the remote afterloader, teletherapy unit, or gamma stereotactic radiosurgery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41.2(53)</w:t>
      </w:r>
      <w:r>
        <w:rPr>
          <w:rFonts w:ascii="Times New Roman" w:hAnsi="Times New Roman"/>
          <w:b w:val="false"/>
          <w:i w:val="false"/>
          <w:color w:val="000000"/>
          <w:sz w:val="22"/>
        </w:rPr>
        <w:t> </w:t>
      </w:r>
      <w:r>
        <w:rPr>
          <w:rFonts w:ascii="Times New Roman" w:hAnsi="Times New Roman"/>
          <w:b w:val="false"/>
          <w:i/>
          <w:color w:val="000000"/>
          <w:sz w:val="22"/>
        </w:rPr>
        <w:t xml:space="preserve">Safety precautions for remote afterloader units, teletherapy units, and 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control access to the teletherapy room by a door at each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equip each entrance to the teletherapy room with an electrical interlock system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 the operator from turning the primary beam of radiation “on” unless each treatment room entrance door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Turn the beam of radiation “off” immediately when an entrance door is opened;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the primary beam of radiation from being turned “on” following an interlock interruption until all treatment room entrance doors are closed and the beam “on-off” control is reset at the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require any individual entering the treatment room to ensure, through the use of appropriate monitors, that radiation levels have returned to ambient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for low-dose-rate remote afterloader units, a licensee shall construct or equip each treatment room with viewing and intercom systems to permit continuous observation of the patient or human research subject from the treatment console during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licensed activities where sources are placed within the patient’s or human research subject’s body, the licensee shall only conduct treatments which allow for expeditious removal of a decoupled or jammed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specified in </w:t>
      </w:r>
      <w:hyperlink r:id="rId236">
        <w:r>
          <w:rPr>
            <w:rStyle w:val="Hyperlink"/>
            <w:rFonts w:ascii="Times New Roman" w:hAnsi="Times New Roman"/>
            <w:b w:val="false"/>
            <w:i w:val="false"/>
            <w:color w:val="000000"/>
            <w:sz w:val="22"/>
          </w:rPr>
          <w:t>41.2(53)</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medium-dose-rate and pulsed-dose-rate remote afterloader units, require: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authorized medical physicist and either an authorized user or a physician, under the supervision of an authorized user, who have been trained in the operation of and emergency response for the unit to be physically present during the initiation of all patient treatments involving the unit;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authorized medical physicist and either an authorized user or an individual, under the supervision of an authorized user, who have been trained to remove the source applicator in the event of an emergency involving the unit to be immediately available during continuation of all patient treatments involving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high-dose-rate remote afterloader units, require: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authorized user and an authorized medical physicist to be physically present during the initiation of all patient treatments involving the unit;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authorized medical physicist and either an authorized user or a physician, under the supervision of an authorized user, who have been trained in the operation and emergency response for the unit, to be physically present during the continuation of all patient treatments involving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gamma stereotactic radiosurgery units, require an authorized user and an authorized medical physicist to be physically present throughout all patient treatments involving the unit. As used in this subparagraph, “physically present” means to be within hearing distance of normal 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radiation safety officer, or the radiation safety officer designee, and an authorized user as soon as possible if the patient or human research subject has a medical emergency 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shall have applicable emergency response equipment available near each treatment room to respond to a source remaining in the unshielded position or lodged within the patient following completion of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41.2(55)</w:t>
      </w:r>
      <w:r>
        <w:rPr>
          <w:rFonts w:ascii="Times New Roman" w:hAnsi="Times New Roman"/>
          <w:b w:val="false"/>
          <w:i w:val="false"/>
          <w:color w:val="000000"/>
          <w:sz w:val="22"/>
        </w:rPr>
        <w:t> </w:t>
      </w:r>
      <w:r>
        <w:rPr>
          <w:rFonts w:ascii="Times New Roman" w:hAnsi="Times New Roman"/>
          <w:b w:val="false"/>
          <w:i/>
          <w:color w:val="000000"/>
          <w:sz w:val="22"/>
        </w:rPr>
        <w:t xml:space="preserve">Radiation monitoring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have in each teletherapy room a permanent radiation monitor capable of continuously monitoring beam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radiation monitor shall be capable of providing visible notice of a teletherapy unit malfunction that results in an exposed or partially exposed source. The visible indicator of high radiation levels shall be observable by an individual entering the teletherapy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radiation monitor shall be equipped with a backup power supply separate from the power supply to the teletherapy unit. This backup power supply may be a battery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radiation monitor shall be checked with a dedicated check source for proper operation each day before the teletherapy unit is used for treatment of patients or human research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maintain a record of the check required by </w:t>
      </w:r>
      <w:hyperlink r:id="rId237">
        <w:r>
          <w:rPr>
            <w:rStyle w:val="Hyperlink"/>
            <w:rFonts w:ascii="Times New Roman" w:hAnsi="Times New Roman"/>
            <w:b w:val="false"/>
            <w:i w:val="false"/>
            <w:color w:val="000000"/>
            <w:sz w:val="22"/>
          </w:rPr>
          <w:t>41.2(55)</w:t>
        </w:r>
        <w:r>
          <w:rPr>
            <w:rFonts w:ascii="Times New Roman" w:hAnsi="Times New Roman"/>
            <w:b w:val="false"/>
            <w:i/>
            <w:color w:val="000000"/>
            <w:sz w:val="22"/>
          </w:rPr>
          <w:t>“d”</w:t>
        </w:r>
      </w:hyperlink>
      <w:r>
        <w:rPr>
          <w:rFonts w:ascii="Times New Roman" w:hAnsi="Times New Roman"/>
          <w:b w:val="false"/>
          <w:i w:val="false"/>
          <w:color w:val="000000"/>
          <w:sz w:val="22"/>
        </w:rPr>
        <w:t xml:space="preserve"> for three years. The record shall include the date of the check, notation that the monitor indicates when the source is exposed, and the initials of the individual who performed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radiation monitor is inoperable, the licensee shall require any individual entering the teletherapy room to use a survey instrument or audible alarm personal dosimeter to monitor for any malfunction of the source exposure mechanism. The instrument or dosimeter shall be checked with a dedicated check source for proper operation at the beginning of each day of use. The licensee shall keep a record as described in </w:t>
      </w:r>
      <w:hyperlink r:id="rId238">
        <w:r>
          <w:rPr>
            <w:rStyle w:val="Hyperlink"/>
            <w:rFonts w:ascii="Times New Roman" w:hAnsi="Times New Roman"/>
            <w:b w:val="false"/>
            <w:i w:val="false"/>
            <w:color w:val="000000"/>
            <w:sz w:val="22"/>
          </w:rPr>
          <w:t>41.2(55)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shall promptly repair or replace the radiation monitor if it is inoperable.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41.2(56)</w:t>
      </w:r>
      <w:r>
        <w:rPr>
          <w:rFonts w:ascii="Times New Roman" w:hAnsi="Times New Roman"/>
          <w:b w:val="false"/>
          <w:i w:val="false"/>
          <w:color w:val="000000"/>
          <w:sz w:val="22"/>
        </w:rPr>
        <w:t> </w:t>
      </w:r>
      <w:r>
        <w:rPr>
          <w:rFonts w:ascii="Times New Roman" w:hAnsi="Times New Roman"/>
          <w:b w:val="false"/>
          <w:i/>
          <w:color w:val="000000"/>
          <w:sz w:val="22"/>
        </w:rPr>
        <w:t xml:space="preserve">Viewing system. </w:t>
      </w:r>
      <w:r>
        <w:rPr>
          <w:rFonts w:ascii="Times New Roman" w:hAnsi="Times New Roman"/>
          <w:b w:val="false"/>
          <w:i w:val="false"/>
          <w:color w:val="000000"/>
          <w:sz w:val="22"/>
        </w:rPr>
        <w:t>A licensee shall construct or equip each teletherapy room to permit continuous observation of the patient or human research subject from the teletherapy unit console during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41.2(57)</w:t>
      </w:r>
      <w:r>
        <w:rPr>
          <w:rFonts w:ascii="Times New Roman" w:hAnsi="Times New Roman"/>
          <w:b w:val="false"/>
          <w:i w:val="false"/>
          <w:color w:val="000000"/>
          <w:sz w:val="22"/>
        </w:rPr>
        <w:t> </w:t>
      </w:r>
      <w:r>
        <w:rPr>
          <w:rFonts w:ascii="Times New Roman" w:hAnsi="Times New Roman"/>
          <w:b w:val="false"/>
          <w:i/>
          <w:color w:val="000000"/>
          <w:sz w:val="22"/>
        </w:rPr>
        <w:t xml:space="preserve">Dosimetry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low-dose-rate remote afterloader sources where the source output or activity is determined by the manufacturer, a licensee shall have a calibrated dosimetry system available for use. To satisfy this requirement, one of the following two conditions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must have been calibrated using a system or source traceable to the National Institute of Standards and Technology and published protocols accepted by nationally recognized bodies, or by a calibration laboratory accredited by the American Association of Physicists in Medicine. The calibration must have been performed within the previous two years and after any servicing that may have affected system calibration;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must have been calibrated within the previous four years; 18 to 30 months after that calibration, the system must have been intercompared with another dosimetry system that was calibrated within the past 24 months by the National Institute of Standards and Technology or by a calibration laboratory accredited by the American Association of Physicists in Medicine. The results of the intercomparison must indicate that the calibration factor of the licensee’s system has not changed by more than 2 percent. The licensee may not use the intercomparison result to change the calibration factor. When intercomparing dosimetry systems to be used for calibrating sealed sources for therapeutic units, the licensee shall use a comparable unit with beam attenuators or collimators, if applicable, and sources of the same radionuclide as the source used at the licensee’s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have available for use a dosimetry system for spot-check measurements. To meet this requirement, the system may be compared with a system that has been calibrated in accordance with </w:t>
      </w:r>
      <w:hyperlink r:id="rId239">
        <w:r>
          <w:rPr>
            <w:rStyle w:val="Hyperlink"/>
            <w:rFonts w:ascii="Times New Roman" w:hAnsi="Times New Roman"/>
            <w:b w:val="false"/>
            <w:i w:val="false"/>
            <w:color w:val="000000"/>
            <w:sz w:val="22"/>
          </w:rPr>
          <w:t>41.2(57)</w:t>
        </w:r>
        <w:r>
          <w:rPr>
            <w:rFonts w:ascii="Times New Roman" w:hAnsi="Times New Roman"/>
            <w:b w:val="false"/>
            <w:i/>
            <w:color w:val="000000"/>
            <w:sz w:val="22"/>
          </w:rPr>
          <w:t>“a.”</w:t>
        </w:r>
      </w:hyperlink>
      <w:r>
        <w:rPr>
          <w:rFonts w:ascii="Times New Roman" w:hAnsi="Times New Roman"/>
          <w:b w:val="false"/>
          <w:i w:val="false"/>
          <w:color w:val="000000"/>
          <w:sz w:val="22"/>
        </w:rPr>
        <w:t xml:space="preserve"> This comparison must have been performed within the previous year and after each servicing that may have affected system calibration. The spot-check system may be the same system used to meet the requirement in </w:t>
      </w:r>
      <w:hyperlink r:id="rId240">
        <w:r>
          <w:rPr>
            <w:rStyle w:val="Hyperlink"/>
            <w:rFonts w:ascii="Times New Roman" w:hAnsi="Times New Roman"/>
            <w:b w:val="false"/>
            <w:i w:val="false"/>
            <w:color w:val="000000"/>
            <w:sz w:val="22"/>
          </w:rPr>
          <w:t>41.2(57)</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 record of each calibration, intercomparison, and comparison for the duration of the license. For each calibration, intercomparison, or comparison, the record shall include the date, the model numbers and serial numbers of the instruments that were calibrated, intercompared, or compared as required by </w:t>
      </w:r>
      <w:hyperlink r:id="rId241">
        <w:r>
          <w:rPr>
            <w:rStyle w:val="Hyperlink"/>
            <w:rFonts w:ascii="Times New Roman" w:hAnsi="Times New Roman"/>
            <w:b w:val="false"/>
            <w:i w:val="false"/>
            <w:color w:val="000000"/>
            <w:sz w:val="22"/>
          </w:rPr>
          <w:t>41.2(57)</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correction factors that were determined, the names of the individuals who performed the calibration, intercomparison, or comparison, and evidence that the intercomparison meeting was sanctioned by a calibration laboratory or radiologic physics center accredited by the American Association of Physicists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41.2(58)</w:t>
      </w:r>
      <w:r>
        <w:rPr>
          <w:rFonts w:ascii="Times New Roman" w:hAnsi="Times New Roman"/>
          <w:b w:val="false"/>
          <w:i w:val="false"/>
          <w:color w:val="000000"/>
          <w:sz w:val="22"/>
        </w:rPr>
        <w:t> </w:t>
      </w:r>
      <w:r>
        <w:rPr>
          <w:rFonts w:ascii="Times New Roman" w:hAnsi="Times New Roman"/>
          <w:b w:val="false"/>
          <w:i/>
          <w:color w:val="000000"/>
          <w:sz w:val="22"/>
        </w:rPr>
        <w:t xml:space="preserve">Full calibration measurements on teletherapy units, remote afterloader units, and 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Teletherapy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a teletherapy unit for medical use shall perform full calibration measurements for each teletherapy unit: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Before the first medical use of the unit;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Before medical use under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Whenever spot-check measurements indicate that the output differs by more than 5 percent from the output of the last full calibration corrected mathematically for radioactive decay;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replacement of the source or following reinstallation of the teletherapy unit in a new location;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any repair of the teletherapy unit that includes removal of the source or major repair of the components associated with the source exposure assembly;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 intervals not exceeding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242">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full calibration measurements must include determination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output within ±3 percent for the range of field sizes and for the distance or range of distances used for medical 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coincidence of the radiation field and the field indicated by the light beam localizing device;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uniformity of the radiation field and its dependence on the orientation of the useful beam;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Timer accuracy and linearity over the range of 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On-off error;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accuracy of all distance measuring and localization devices in medical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use the dosimetry system described in </w:t>
      </w:r>
      <w:hyperlink r:id="rId243">
        <w:r>
          <w:rPr>
            <w:rStyle w:val="Hyperlink"/>
            <w:rFonts w:ascii="Times New Roman" w:hAnsi="Times New Roman"/>
            <w:b w:val="false"/>
            <w:i w:val="false"/>
            <w:color w:val="000000"/>
            <w:sz w:val="22"/>
          </w:rPr>
          <w:t>41.2(57)</w:t>
        </w:r>
      </w:hyperlink>
      <w:r>
        <w:rPr>
          <w:rFonts w:ascii="Times New Roman" w:hAnsi="Times New Roman"/>
          <w:b w:val="false"/>
          <w:i w:val="false"/>
          <w:color w:val="000000"/>
          <w:sz w:val="22"/>
        </w:rPr>
        <w:t xml:space="preserve"> to measure the output for one set of exposure conditions. The remaining radiation measurements required in </w:t>
      </w:r>
      <w:hyperlink r:id="rId244">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(2)“1”</w:t>
        </w:r>
      </w:hyperlink>
      <w:r>
        <w:rPr>
          <w:rFonts w:ascii="Times New Roman" w:hAnsi="Times New Roman"/>
          <w:b w:val="false"/>
          <w:i w:val="false"/>
          <w:color w:val="000000"/>
          <w:sz w:val="22"/>
        </w:rPr>
        <w:t xml:space="preserve"> may be made using the dosimetry system that indicates relative dose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make full calibration measurements required by </w:t>
      </w:r>
      <w:hyperlink r:id="rId245">
        <w:r>
          <w:rPr>
            <w:rStyle w:val="Hyperlink"/>
            <w:rFonts w:ascii="Times New Roman" w:hAnsi="Times New Roman"/>
            <w:b w:val="false"/>
            <w:i w:val="false"/>
            <w:color w:val="000000"/>
            <w:sz w:val="22"/>
          </w:rPr>
          <w:t>41.2(58)</w:t>
        </w:r>
        <w:r>
          <w:rPr>
            <w:rFonts w:ascii="Times New Roman" w:hAnsi="Times New Roman"/>
            <w:b w:val="false"/>
            <w:i/>
            <w:color w:val="000000"/>
            <w:sz w:val="22"/>
          </w:rPr>
          <w:t>“a”</w:t>
        </w:r>
      </w:hyperlink>
      <w:r>
        <w:rPr>
          <w:rFonts w:ascii="Times New Roman" w:hAnsi="Times New Roman"/>
          <w:b w:val="false"/>
          <w:i w:val="false"/>
          <w:color w:val="000000"/>
          <w:sz w:val="22"/>
        </w:rPr>
        <w:t xml:space="preserve"> in accordance with published protocols accepted by nationally recognized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mathematically correct the outputs determined in </w:t>
      </w:r>
      <w:hyperlink r:id="rId246">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(2)“1”</w:t>
        </w:r>
      </w:hyperlink>
      <w:r>
        <w:rPr>
          <w:rFonts w:ascii="Times New Roman" w:hAnsi="Times New Roman"/>
          <w:b w:val="false"/>
          <w:i w:val="false"/>
          <w:color w:val="000000"/>
          <w:sz w:val="22"/>
        </w:rPr>
        <w:t xml:space="preserve"> for physical decay for intervals not exceeding one month for cobalt-60, six months for cesium-137, or at intervals consistent with 1 percent of all other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Full calibration measurements required by </w:t>
      </w:r>
      <w:hyperlink r:id="rId247">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physical decay corrections required in </w:t>
      </w:r>
      <w:hyperlink r:id="rId248">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must be performed by the authorized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 record of each calibration for the duration of the license. The record shall include the date of the calibration; the manufacturer’s name, model number, and serial number for both the unit and the source; tables that describe the output of the unit over the range of field sizes and for the range of distances used in radiation therapy; a determination of the coincidence of the radiation field and the field indicated by the light beam localizing device; the measured timer accuracy for a typical treatment time; the calculated “on-off” error; the estimated accuracy of each distance measuring or localization device; and the signature of the authorized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Remote afterloader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a remote afterloader unit for medical use shall perform full calibration measurements for each unit: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Before the first medical use of the unit;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Before medical use under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replacement of the source or following reinstallation of the unit in a new location outside the facility;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any repair of the unit that includes removal of the source or major repair of the components associated with the source exposure assembly;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 intervals not exceeding one quarter of a year for high-dose-rate, medium-dose-rate, and pulsed-dose-rate remote afterloader units with sources whose half-life exceeds 75 days;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 intervals not exceeding one year for low-dose-rate remote afterloader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249">
        <w:r>
          <w:rPr>
            <w:rStyle w:val="Hyperlink"/>
            <w:rFonts w:ascii="Times New Roman" w:hAnsi="Times New Roman"/>
            <w:b w:val="false"/>
            <w:i w:val="false"/>
            <w:color w:val="000000"/>
            <w:sz w:val="22"/>
          </w:rPr>
          <w:t>41.2(58)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full calibration measurements must include, as applicable, determination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output within ±5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Source positioning accuracy to within ±1 millimeter;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Source retraction with backup battery upon power failure;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Length of the source transfer tubes;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Timer accuracy and linearity over the typical range of use;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Length of the applicators;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Function of the source transfer tubes, applicators, and transfer tube-applicator interfaces.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use the dosimetry system described in </w:t>
      </w:r>
      <w:hyperlink r:id="rId250">
        <w:r>
          <w:rPr>
            <w:rStyle w:val="Hyperlink"/>
            <w:rFonts w:ascii="Times New Roman" w:hAnsi="Times New Roman"/>
            <w:b w:val="false"/>
            <w:i w:val="false"/>
            <w:color w:val="000000"/>
            <w:sz w:val="22"/>
          </w:rPr>
          <w:t>41.2(57)</w:t>
        </w:r>
      </w:hyperlink>
      <w:r>
        <w:rPr>
          <w:rFonts w:ascii="Times New Roman" w:hAnsi="Times New Roman"/>
          <w:b w:val="false"/>
          <w:i w:val="false"/>
          <w:color w:val="000000"/>
          <w:sz w:val="22"/>
        </w:rPr>
        <w:t xml:space="preserve"> to measure the 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make full calibration measurements required by </w:t>
      </w:r>
      <w:hyperlink r:id="rId251">
        <w:r>
          <w:rPr>
            <w:rStyle w:val="Hyperlink"/>
            <w:rFonts w:ascii="Times New Roman" w:hAnsi="Times New Roman"/>
            <w:b w:val="false"/>
            <w:i w:val="false"/>
            <w:color w:val="000000"/>
            <w:sz w:val="22"/>
          </w:rPr>
          <w:t>41.2(58)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accordance with published protocols accepted by nationally recognized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for full calibrations for low-dose-rate remote afterloader units in </w:t>
      </w:r>
      <w:hyperlink r:id="rId252">
        <w:r>
          <w:rPr>
            <w:rStyle w:val="Hyperlink"/>
            <w:rFonts w:ascii="Times New Roman" w:hAnsi="Times New Roman"/>
            <w:b w:val="false"/>
            <w:i w:val="false"/>
            <w:color w:val="000000"/>
            <w:sz w:val="22"/>
          </w:rPr>
          <w:t>41.2(58)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a licensee shall perform an autoradiograph of the source to verify inventory and source arrangement at intervals not exceeding one quarter of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low-dose-rate remote afterloader units, a licensee may use measurements provided by the source manufacturer that are made in accordance with </w:t>
      </w:r>
      <w:hyperlink r:id="rId253">
        <w:r>
          <w:rPr>
            <w:rStyle w:val="Hyperlink"/>
            <w:rFonts w:ascii="Times New Roman" w:hAnsi="Times New Roman"/>
            <w:b w:val="false"/>
            <w:i w:val="false"/>
            <w:color w:val="000000"/>
            <w:sz w:val="22"/>
          </w:rPr>
          <w:t>41.2(58)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mathematically correct the outputs determined in </w:t>
      </w:r>
      <w:hyperlink r:id="rId254">
        <w:r>
          <w:rPr>
            <w:rStyle w:val="Hyperlink"/>
            <w:rFonts w:ascii="Times New Roman" w:hAnsi="Times New Roman"/>
            <w:b w:val="false"/>
            <w:i w:val="false"/>
            <w:color w:val="000000"/>
            <w:sz w:val="22"/>
          </w:rPr>
          <w:t>41.2(58)</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“1” for physical decay intervals consistent with 1 percent physical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Full calibration measurements required by </w:t>
      </w:r>
      <w:hyperlink r:id="rId255">
        <w:r>
          <w:rPr>
            <w:rStyle w:val="Hyperlink"/>
            <w:rFonts w:ascii="Times New Roman" w:hAnsi="Times New Roman"/>
            <w:b w:val="false"/>
            <w:i w:val="false"/>
            <w:color w:val="000000"/>
            <w:sz w:val="22"/>
          </w:rPr>
          <w:t>41.2(58)</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physical decay corrections required by </w:t>
      </w:r>
      <w:hyperlink r:id="rId256">
        <w:r>
          <w:rPr>
            <w:rStyle w:val="Hyperlink"/>
            <w:rFonts w:ascii="Times New Roman" w:hAnsi="Times New Roman"/>
            <w:b w:val="false"/>
            <w:i w:val="false"/>
            <w:color w:val="000000"/>
            <w:sz w:val="22"/>
          </w:rPr>
          <w:t>41.2(58)</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must be performed by the authorized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of each calibration in accordance with </w:t>
      </w:r>
      <w:hyperlink r:id="rId257">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a gamma stereotactic radiosurgery unit for medical use shall perform full calibration measurements on each unit: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Before the first medical use of the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Before medical use under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Whenever spot-check measurements indicate that the output differs by more than 5 percent from the output obtained at the last full calibration corrected mathematically for radioactive decay;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replacement of the sources or following reinstallation of the gamma stereotactic radiosurgery unit in a new location;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any repair of the gamma stereotactic radiosurgery unit that includes removal of the sources or major repair of the components associated with the source assembly;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 intervals not exceeding one year, with the exception that relative helmet factors need only be determined before the first medical use of a helmet and following any damage to a helmet.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258">
        <w:r>
          <w:rPr>
            <w:rStyle w:val="Hyperlink"/>
            <w:rFonts w:ascii="Times New Roman" w:hAnsi="Times New Roman"/>
            <w:b w:val="false"/>
            <w:i w:val="false"/>
            <w:color w:val="000000"/>
            <w:sz w:val="22"/>
          </w:rPr>
          <w:t>41.2(58)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full calibration measurements must include determination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output within ±3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Relative helmet factors;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Isocenter coincidence;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Timer accuracy and linearity over the range of 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On-off error;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Trunnion centricity;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Treatment table retraction mechanism, using backup battery power or hydraulic backups with the unit off;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Helmet microswitches;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Emergency timing circuits;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Stereotactic frames and localizing devices (trunnions).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use the dosimetry system described in </w:t>
      </w:r>
      <w:hyperlink r:id="rId259">
        <w:r>
          <w:rPr>
            <w:rStyle w:val="Hyperlink"/>
            <w:rFonts w:ascii="Times New Roman" w:hAnsi="Times New Roman"/>
            <w:b w:val="false"/>
            <w:i w:val="false"/>
            <w:color w:val="000000"/>
            <w:sz w:val="22"/>
          </w:rPr>
          <w:t>41.2(57)</w:t>
        </w:r>
      </w:hyperlink>
      <w:r>
        <w:rPr>
          <w:rFonts w:ascii="Times New Roman" w:hAnsi="Times New Roman"/>
          <w:b w:val="false"/>
          <w:i w:val="false"/>
          <w:color w:val="000000"/>
          <w:sz w:val="22"/>
        </w:rPr>
        <w:t xml:space="preserve"> to measure the output for one set of exposure conditions. The remaining radiation measurements required in </w:t>
      </w:r>
      <w:hyperlink r:id="rId260">
        <w:r>
          <w:rPr>
            <w:rStyle w:val="Hyperlink"/>
            <w:rFonts w:ascii="Times New Roman" w:hAnsi="Times New Roman"/>
            <w:b w:val="false"/>
            <w:i w:val="false"/>
            <w:color w:val="000000"/>
            <w:sz w:val="22"/>
          </w:rPr>
          <w:t>41.2(58)</w:t>
        </w:r>
        <w:r>
          <w:rPr>
            <w:rFonts w:ascii="Times New Roman" w:hAnsi="Times New Roman"/>
            <w:b w:val="false"/>
            <w:i/>
            <w:color w:val="000000"/>
            <w:sz w:val="22"/>
          </w:rPr>
          <w:t>“c”</w:t>
        </w:r>
        <w:r>
          <w:rPr>
            <w:rFonts w:ascii="Times New Roman" w:hAnsi="Times New Roman"/>
            <w:b w:val="false"/>
            <w:i w:val="false"/>
            <w:color w:val="000000"/>
            <w:sz w:val="22"/>
          </w:rPr>
          <w:t>(2)“1”</w:t>
        </w:r>
      </w:hyperlink>
      <w:r>
        <w:rPr>
          <w:rFonts w:ascii="Times New Roman" w:hAnsi="Times New Roman"/>
          <w:b w:val="false"/>
          <w:i w:val="false"/>
          <w:color w:val="000000"/>
          <w:sz w:val="22"/>
        </w:rPr>
        <w:t xml:space="preserve"> may be made using a dosimetry system that indicates relative dose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make full calibration measurements required by </w:t>
      </w:r>
      <w:hyperlink r:id="rId261">
        <w:r>
          <w:rPr>
            <w:rStyle w:val="Hyperlink"/>
            <w:rFonts w:ascii="Times New Roman" w:hAnsi="Times New Roman"/>
            <w:b w:val="false"/>
            <w:i w:val="false"/>
            <w:color w:val="000000"/>
            <w:sz w:val="22"/>
          </w:rPr>
          <w:t>41.2(58)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accordance with published protocols accepted by nationally recognized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mathematically correct the outputs determined in </w:t>
      </w:r>
      <w:hyperlink r:id="rId262">
        <w:r>
          <w:rPr>
            <w:rStyle w:val="Hyperlink"/>
            <w:rFonts w:ascii="Times New Roman" w:hAnsi="Times New Roman"/>
            <w:b w:val="false"/>
            <w:i w:val="false"/>
            <w:color w:val="000000"/>
            <w:sz w:val="22"/>
          </w:rPr>
          <w:t>41.2(58)</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“1” at intervals not exceeding one month for cobalt-60 and at intervals consistent with 1 percent physical decay for all other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Full calibration measurements required by </w:t>
      </w:r>
      <w:hyperlink r:id="rId263">
        <w:r>
          <w:rPr>
            <w:rStyle w:val="Hyperlink"/>
            <w:rFonts w:ascii="Times New Roman" w:hAnsi="Times New Roman"/>
            <w:b w:val="false"/>
            <w:i w:val="false"/>
            <w:color w:val="000000"/>
            <w:sz w:val="22"/>
          </w:rPr>
          <w:t>41.2(58)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physical decay corrections required in </w:t>
      </w:r>
      <w:hyperlink r:id="rId264">
        <w:r>
          <w:rPr>
            <w:rStyle w:val="Hyperlink"/>
            <w:rFonts w:ascii="Times New Roman" w:hAnsi="Times New Roman"/>
            <w:b w:val="false"/>
            <w:i w:val="false"/>
            <w:color w:val="000000"/>
            <w:sz w:val="22"/>
          </w:rPr>
          <w:t>41.2(58)</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must be performed by the authorized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record of each calibration in accordance with </w:t>
      </w:r>
      <w:hyperlink r:id="rId265">
        <w:r>
          <w:rPr>
            <w:rStyle w:val="Hyperlink"/>
            <w:rFonts w:ascii="Times New Roman" w:hAnsi="Times New Roman"/>
            <w:b w:val="false"/>
            <w:i w:val="false"/>
            <w:color w:val="000000"/>
            <w:sz w:val="22"/>
          </w:rPr>
          <w:t>41.2(58)</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41.2(59)</w:t>
      </w:r>
      <w:r>
        <w:rPr>
          <w:rFonts w:ascii="Times New Roman" w:hAnsi="Times New Roman"/>
          <w:b w:val="false"/>
          <w:i w:val="false"/>
          <w:color w:val="000000"/>
          <w:sz w:val="22"/>
        </w:rPr>
        <w:t> </w:t>
      </w:r>
      <w:r>
        <w:rPr>
          <w:rFonts w:ascii="Times New Roman" w:hAnsi="Times New Roman"/>
          <w:b w:val="false"/>
          <w:i/>
          <w:color w:val="000000"/>
          <w:sz w:val="22"/>
        </w:rPr>
        <w:t xml:space="preserve">Periodic spot checks for teletherapy units, remote afterloader units, and 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Teletherapy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teletherapy units for medical use shall perform output spot checks on each teletherapy unit once in each calendar month that include determination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Timer accuracy and timer linearity over the range of 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On-off error;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coincidence of the radiation field and the field indicated by the light beam localizing device;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accuracy of all distance measuring and localization devices used for medical 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output for one typical set of operating conditions measured with the dosimetry system described in </w:t>
      </w:r>
      <w:hyperlink r:id="rId266">
        <w:r>
          <w:rPr>
            <w:rStyle w:val="Hyperlink"/>
            <w:rFonts w:ascii="Times New Roman" w:hAnsi="Times New Roman"/>
            <w:b w:val="false"/>
            <w:i w:val="false"/>
            <w:color w:val="000000"/>
            <w:sz w:val="22"/>
          </w:rPr>
          <w:t>41.2(57)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difference between the measurement made in </w:t>
      </w:r>
      <w:hyperlink r:id="rId267">
        <w:r>
          <w:rPr>
            <w:rStyle w:val="Hyperlink"/>
            <w:rFonts w:ascii="Times New Roman" w:hAnsi="Times New Roman"/>
            <w:b w:val="false"/>
            <w:i w:val="false"/>
            <w:color w:val="000000"/>
            <w:sz w:val="22"/>
          </w:rPr>
          <w:t>41.2(59)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“5” and the anticipated output expressed as a percentage of the anticipated output (i.e., the value obtained at last full calibration corrected mathematically for physical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perform measurements required by </w:t>
      </w:r>
      <w:hyperlink r:id="rId268">
        <w:r>
          <w:rPr>
            <w:rStyle w:val="Hyperlink"/>
            <w:rFonts w:ascii="Times New Roman" w:hAnsi="Times New Roman"/>
            <w:b w:val="false"/>
            <w:i w:val="false"/>
            <w:color w:val="000000"/>
            <w:sz w:val="22"/>
          </w:rPr>
          <w:t>41.2(59)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accordance with written procedures established by the authorized medical physicist. That individual need not actually perform the spot-check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shall have the authorized medical physicist review the results of each spot check within 15 days. The authorized medical physicist shall notify the licensee as soon as possible in writing of the result of each spot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a teletherapy unit for medical use shall perform safety spot checks of each teletherapy facility once in each calendar month and after each source installation to ensure proper operation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Electrical interlocks at each teletherapy room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Electrical or mechanical stops installed for the purpose of limiting use of the primary beam of radiation (restriction of source housing angulation or elevation, carriage or stand travel and operation of the beam on-off mechanism);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Source exposure indicator lights on the teletherapy unit, on the control console, and in the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Viewing and intercom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Treatment room doors from inside and outside the treatment room;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Electrically assisted treatment room doors with the teletherapy unit electrical power turned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spot checks required in </w:t>
      </w:r>
      <w:hyperlink r:id="rId269">
        <w:r>
          <w:rPr>
            <w:rStyle w:val="Hyperlink"/>
            <w:rFonts w:ascii="Times New Roman" w:hAnsi="Times New Roman"/>
            <w:b w:val="false"/>
            <w:i w:val="false"/>
            <w:color w:val="000000"/>
            <w:sz w:val="22"/>
          </w:rPr>
          <w:t>41.2(59)</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indicate the malfunction of any system, the licensee shall lock the control console in the off position and not use the unit except as may be necessary to repair, replace, or check the malfunctioning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for three years a record of each spot check required in </w:t>
      </w:r>
      <w:hyperlink r:id="rId270">
        <w:r>
          <w:rPr>
            <w:rStyle w:val="Hyperlink"/>
            <w:rFonts w:ascii="Times New Roman" w:hAnsi="Times New Roman"/>
            <w:b w:val="false"/>
            <w:i w:val="false"/>
            <w:color w:val="000000"/>
            <w:sz w:val="22"/>
          </w:rPr>
          <w:t>41.2(59)</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record must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the spot check;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manufacturer’s name, model number, and serial number of the teletherapy unit, source and instrument used to measure the output of the teletherapy unit;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assessment of timer linearity and constancy;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calculated on-off error;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determination of the coincidence of the radiation field and the field indicated by the light beam localizing device;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determined accuracy of each distance measuring and localization device;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difference between the anticipated output and the measured output;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Notations indicating the operability of each entrance door electrical interlock, each electrical or mechanical source exposure indicator light, and the viewing and intercom system and doors;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of the individual who performed the periodic spot check and the signature of the authorized medical physicist who reviewed the record of the spot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copy of the procedures required by </w:t>
      </w:r>
      <w:hyperlink r:id="rId271">
        <w:r>
          <w:rPr>
            <w:rStyle w:val="Hyperlink"/>
            <w:rFonts w:ascii="Times New Roman" w:hAnsi="Times New Roman"/>
            <w:b w:val="false"/>
            <w:i w:val="false"/>
            <w:color w:val="000000"/>
            <w:sz w:val="22"/>
          </w:rPr>
          <w:t>41.2(59)</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until the licensee no longer possesses the teletherapy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Remote afterloader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a remote afterloader unit for medical use shall perform spot checks of each remote afterloader facility and on each unit: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Before the first use of a high-dose-rate, medium-dose-rate, or pulsed-dose-rate remote afterloader unit on a given 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Before each patient treatment with a low-dose-rate remote afterloader unit;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each source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perform the measurements required by </w:t>
      </w:r>
      <w:hyperlink r:id="rId272">
        <w:r>
          <w:rPr>
            <w:rStyle w:val="Hyperlink"/>
            <w:rFonts w:ascii="Times New Roman" w:hAnsi="Times New Roman"/>
            <w:b w:val="false"/>
            <w:i w:val="false"/>
            <w:color w:val="000000"/>
            <w:sz w:val="22"/>
          </w:rPr>
          <w:t>41.2(59)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accordance with written procedures established by the authorized medical physicist. That individual need not actually perform the spot-check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shall have the authorized medical physicist review the results of each spot check within 15 days. The authorized medical physicist shall notify the licensee as soon as possible in writing of the results of each spot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273">
        <w:r>
          <w:rPr>
            <w:rStyle w:val="Hyperlink"/>
            <w:rFonts w:ascii="Times New Roman" w:hAnsi="Times New Roman"/>
            <w:b w:val="false"/>
            <w:i w:val="false"/>
            <w:color w:val="000000"/>
            <w:sz w:val="22"/>
          </w:rPr>
          <w:t>41.2(59)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spot checks must, at a minimum, ensure proper operation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Electrical interlocks at each remote afterloader unit room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Source exposure indicator lights on the remote afterloader unit, on the control console, and in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Viewing and intercom systems in each high-dose-rate, medium-dose-rate, and pulsed-dose-rate remote afterloader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Emergency response equipment;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Radiation monitors used to indicate the source position;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Timer accuracy;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Clock (date and time) in the unit’s computer;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Decayed source(s) activity in the unit’s computer.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spot checks required in </w:t>
      </w:r>
      <w:hyperlink r:id="rId274">
        <w:r>
          <w:rPr>
            <w:rStyle w:val="Hyperlink"/>
            <w:rFonts w:ascii="Times New Roman" w:hAnsi="Times New Roman"/>
            <w:b w:val="false"/>
            <w:i w:val="false"/>
            <w:color w:val="000000"/>
            <w:sz w:val="22"/>
          </w:rPr>
          <w:t>41.2(59)</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indicate the malfunction of any system, the licensee shall lock the control console in the off position and not use the unit except as may be necessary to repair, replace, or spot check the malfunctioning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for three years a record of each spot check required in </w:t>
      </w:r>
      <w:hyperlink r:id="rId275">
        <w:r>
          <w:rPr>
            <w:rStyle w:val="Hyperlink"/>
            <w:rFonts w:ascii="Times New Roman" w:hAnsi="Times New Roman"/>
            <w:b w:val="false"/>
            <w:i w:val="false"/>
            <w:color w:val="000000"/>
            <w:sz w:val="22"/>
          </w:rPr>
          <w:t>41.2(59)</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 record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the spot check;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manufacturer’s name, model number, and serial number for the remote afterloader unit and source;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assessment of timer accuracy;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Notations indicating the operability of each entrance door electrical interlock, radiation monitors, source exposure indicator lights, viewing and intercom systems, and clock and decayed source activity in the unit’s computer;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of the individual who performed the periodic spot check and the signature of the authorized medical physicist who reviewed the record of the spot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copy of the procedures required in </w:t>
      </w:r>
      <w:hyperlink r:id="rId276">
        <w:r>
          <w:rPr>
            <w:rStyle w:val="Hyperlink"/>
            <w:rFonts w:ascii="Times New Roman" w:hAnsi="Times New Roman"/>
            <w:b w:val="false"/>
            <w:i w:val="false"/>
            <w:color w:val="000000"/>
            <w:sz w:val="22"/>
          </w:rPr>
          <w:t>41.2(59)</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until the licensee no longer possesses the remote afterloader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authorized to use a gamma stereotactic radiosurgery unit for medical use shall perform spot checks for the gamma stereotactic radiosurgery facility and on each unit: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Monthly;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Before the first use of the unit on a given day;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each source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Perform the measurements required by </w:t>
      </w:r>
      <w:hyperlink r:id="rId277">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accordance with written procedures established by the authorized medical physicist. That individual need not actually perform the spot-check measurements.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the authorized medical physicist review the results of each spot check within 15 days. The authorized medical physicist shall notify the licensee as soon as possible in writing of the results of each spot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278">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“1,” spot checks must,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Ensure proper operation of treatment table retraction mechanism, using backup battery power or hydraulic backups with the unit off; helmet microswitches; emergency timing circuits; and stereotactic frames and localizing devices (trunnions).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output for one typical set of operating conditions measured with the dosimetry system described in </w:t>
      </w:r>
      <w:hyperlink r:id="rId279">
        <w:r>
          <w:rPr>
            <w:rStyle w:val="Hyperlink"/>
            <w:rFonts w:ascii="Times New Roman" w:hAnsi="Times New Roman"/>
            <w:b w:val="false"/>
            <w:i w:val="false"/>
            <w:color w:val="000000"/>
            <w:sz w:val="22"/>
          </w:rPr>
          <w:t>41.2(57)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difference between the measurement made in the above bulleted point and the anticipated output expressed as a percentage of the anticipated output (i.e., the value obtained at last full calibration corrected mathematically for physical decay);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Source output against computer calculation;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Timer accuracy and linearity over the range of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On-off error;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Trunnion centricity.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280">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“2” and “3,” spot checks must ensure proper functioning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Electrical interlocks at each gamma stereotactic radiosurgery room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Source exposure indicator lights on the gamma stereotactic radiosurgery unit, on the control console, and in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Viewing and intercom systems;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Timer termination;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Radiation monitors used to indicate room exposures;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off buttons.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arrange as soon as possible for the repair of any system identified in </w:t>
      </w:r>
      <w:hyperlink r:id="rId281">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that is not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spot checks required in </w:t>
      </w:r>
      <w:hyperlink r:id="rId282">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indicate the malfunction of any system, the licensee shall lock the control console in the off position and not use the unit except as may be necessary to repair, replace, or check the malfunctioning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for three years a record of each spot check required by </w:t>
      </w:r>
      <w:hyperlink r:id="rId283">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(4). The record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of the spot check;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manufacturer’s name, model number, and serial number for the gamma stereotactic radiosurgery unit and the survey instrument used to measure the output of the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assessment of timer linearity and accuracy;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calculated on-off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determination of trunnion centricity;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difference between the anticipated output and the measured output;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assessment of source output against computer calculations;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Notations indicating the operability of radiation monitors, helmet microswitches, emergency timing circuits, on-off buttons, electrical interlocks, source exposure indicator lights, viewing and intercom systems, timer termination, treatment table retraction mechanism, and stereotactic frames and localizing devices (trunnions);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of the individual who performed the periodic spot check and the signature of the authorized medical physicist who reviewed the record of the spot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retain a copy of the procedures required in </w:t>
      </w:r>
      <w:hyperlink r:id="rId284">
        <w:r>
          <w:rPr>
            <w:rStyle w:val="Hyperlink"/>
            <w:rFonts w:ascii="Times New Roman" w:hAnsi="Times New Roman"/>
            <w:b w:val="false"/>
            <w:i w:val="false"/>
            <w:color w:val="000000"/>
            <w:sz w:val="22"/>
          </w:rPr>
          <w:t>41.2(59)</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until the licensee no longer possesses the gamma stereotactic radiosurgery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41.2(60)</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surveys for teletherapy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survey requirements in </w:t>
      </w:r>
      <w:hyperlink r:id="rId285">
        <w:r>
          <w:rPr>
            <w:rStyle w:val="Hyperlink"/>
            <w:rFonts w:ascii="Times New Roman" w:hAnsi="Times New Roman"/>
            <w:b w:val="false"/>
            <w:i w:val="false"/>
            <w:color w:val="000000"/>
            <w:sz w:val="22"/>
          </w:rPr>
          <w:t>641—40.36(136C)</w:t>
        </w:r>
      </w:hyperlink>
      <w:r>
        <w:rPr>
          <w:rFonts w:ascii="Times New Roman" w:hAnsi="Times New Roman"/>
          <w:b w:val="false"/>
          <w:i w:val="false"/>
          <w:color w:val="000000"/>
          <w:sz w:val="22"/>
        </w:rPr>
        <w:t xml:space="preserve">, a person licensed under </w:t>
      </w:r>
      <w:hyperlink r:id="rId286">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shall make surveys to ensure that the maximum radiation levels and average radiation levels from the surface of the main source safe with the source in the shielded position do not exceed the levels stated in the Sealed Source and Device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make the survey required in </w:t>
      </w:r>
      <w:hyperlink r:id="rId287">
        <w:r>
          <w:rPr>
            <w:rStyle w:val="Hyperlink"/>
            <w:rFonts w:ascii="Times New Roman" w:hAnsi="Times New Roman"/>
            <w:b w:val="false"/>
            <w:i w:val="false"/>
            <w:color w:val="000000"/>
            <w:sz w:val="22"/>
          </w:rPr>
          <w:t>41.2(60)</w:t>
        </w:r>
        <w:r>
          <w:rPr>
            <w:rFonts w:ascii="Times New Roman" w:hAnsi="Times New Roman"/>
            <w:b w:val="false"/>
            <w:i/>
            <w:color w:val="000000"/>
            <w:sz w:val="22"/>
          </w:rPr>
          <w:t>“a”</w:t>
        </w:r>
      </w:hyperlink>
      <w:r>
        <w:rPr>
          <w:rFonts w:ascii="Times New Roman" w:hAnsi="Times New Roman"/>
          <w:b w:val="false"/>
          <w:i w:val="false"/>
          <w:color w:val="000000"/>
          <w:sz w:val="22"/>
        </w:rPr>
        <w:t xml:space="preserve"> at installation of a new source, and following repairs to the source shielding, the source driving unit, or other electronic or mechanical component that could expose the source, reduce the shielding around the source, or compromise the radiation safety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 record of the radiation measurements made following installation of a source for the duration of the license. The record shall include the date of the measurements, the reason the survey is required, the manufacturer’s name, model number and serial number of the teletherapy unit, the source, and the instrument used to measure radiation levels, each dose rate measured around the teletherapy source while in the “off” position and the average of all measurements, a plan of the areas surrounding the treatment room that were surveyed, the measured dose rate at several points in each area expressed in millirems (</w:t>
      </w:r>
      <w:r>
        <w:rPr>
          <w:rFonts w:ascii="Times New Roman" w:hAnsi="Times New Roman"/>
          <w:b w:val="false"/>
          <w:i/>
          <w:color w:val="000000"/>
          <w:sz w:val="22"/>
        </w:rPr>
        <w:t>µ</w:t>
      </w:r>
      <w:r>
        <w:rPr>
          <w:rFonts w:ascii="Times New Roman" w:hAnsi="Times New Roman"/>
          <w:b w:val="false"/>
          <w:i w:val="false"/>
          <w:color w:val="000000"/>
          <w:sz w:val="22"/>
        </w:rPr>
        <w:t>Sv) per hour, the calculated maximum level of radiation over a period of one week for each restricted and unrestricted area, and the signature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41.2(61)</w:t>
      </w:r>
      <w:r>
        <w:rPr>
          <w:rFonts w:ascii="Times New Roman" w:hAnsi="Times New Roman"/>
          <w:b w:val="false"/>
          <w:i w:val="false"/>
          <w:color w:val="000000"/>
          <w:sz w:val="22"/>
        </w:rPr>
        <w:t> </w:t>
      </w:r>
      <w:r>
        <w:rPr>
          <w:rFonts w:ascii="Times New Roman" w:hAnsi="Times New Roman"/>
          <w:b w:val="false"/>
          <w:i/>
          <w:color w:val="000000"/>
          <w:sz w:val="22"/>
        </w:rPr>
        <w:t xml:space="preserve">Safety spot checks for teletherapy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promptly check all systems listed in </w:t>
      </w:r>
      <w:hyperlink r:id="rId288">
        <w:r>
          <w:rPr>
            <w:rStyle w:val="Hyperlink"/>
            <w:rFonts w:ascii="Times New Roman" w:hAnsi="Times New Roman"/>
            <w:b w:val="false"/>
            <w:i w:val="false"/>
            <w:color w:val="000000"/>
            <w:sz w:val="22"/>
          </w:rPr>
          <w:t>41.2(59)</w:t>
        </w:r>
        <w:r>
          <w:rPr>
            <w:rFonts w:ascii="Times New Roman" w:hAnsi="Times New Roman"/>
            <w:b w:val="false"/>
            <w:i/>
            <w:color w:val="000000"/>
            <w:sz w:val="22"/>
          </w:rPr>
          <w:t>“g”</w:t>
        </w:r>
      </w:hyperlink>
      <w:r>
        <w:rPr>
          <w:rFonts w:ascii="Times New Roman" w:hAnsi="Times New Roman"/>
          <w:b w:val="false"/>
          <w:i w:val="false"/>
          <w:color w:val="000000"/>
          <w:sz w:val="22"/>
        </w:rPr>
        <w:t xml:space="preserve"> for proper function after each installation of a teletherapy source and after making any change for which an amendment is required by </w:t>
      </w:r>
      <w:hyperlink r:id="rId289">
        <w:r>
          <w:rPr>
            <w:rStyle w:val="Hyperlink"/>
            <w:rFonts w:ascii="Times New Roman" w:hAnsi="Times New Roman"/>
            <w:b w:val="false"/>
            <w:i w:val="false"/>
            <w:color w:val="000000"/>
            <w:sz w:val="22"/>
          </w:rPr>
          <w:t>41.2(51)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safety spot checks required in </w:t>
      </w:r>
      <w:hyperlink r:id="rId290">
        <w:r>
          <w:rPr>
            <w:rStyle w:val="Hyperlink"/>
            <w:rFonts w:ascii="Times New Roman" w:hAnsi="Times New Roman"/>
            <w:b w:val="false"/>
            <w:i w:val="false"/>
            <w:color w:val="000000"/>
            <w:sz w:val="22"/>
          </w:rPr>
          <w:t>41.2(61)</w:t>
        </w:r>
        <w:r>
          <w:rPr>
            <w:rFonts w:ascii="Times New Roman" w:hAnsi="Times New Roman"/>
            <w:b w:val="false"/>
            <w:i/>
            <w:color w:val="000000"/>
            <w:sz w:val="22"/>
          </w:rPr>
          <w:t>“a”</w:t>
        </w:r>
      </w:hyperlink>
      <w:r>
        <w:rPr>
          <w:rFonts w:ascii="Times New Roman" w:hAnsi="Times New Roman"/>
          <w:b w:val="false"/>
          <w:i w:val="false"/>
          <w:color w:val="000000"/>
          <w:sz w:val="22"/>
        </w:rPr>
        <w:t xml:space="preserve"> indicate the malfunction of any system specified in </w:t>
      </w:r>
      <w:hyperlink r:id="rId291">
        <w:r>
          <w:rPr>
            <w:rStyle w:val="Hyperlink"/>
            <w:rFonts w:ascii="Times New Roman" w:hAnsi="Times New Roman"/>
            <w:b w:val="false"/>
            <w:i w:val="false"/>
            <w:color w:val="000000"/>
            <w:sz w:val="22"/>
          </w:rPr>
          <w:t>41.2(59)</w:t>
        </w:r>
      </w:hyperlink>
      <w:r>
        <w:rPr>
          <w:rFonts w:ascii="Times New Roman" w:hAnsi="Times New Roman"/>
          <w:b w:val="false"/>
          <w:i w:val="false"/>
          <w:color w:val="000000"/>
          <w:sz w:val="22"/>
        </w:rPr>
        <w:t>, the licensee shall lock the control console in the “off” position and not use the unit except as may be necessary to repair, replace, or check the malfunctioning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 record of the safety spot checks following installation of a source for three years. The record shall include notations indicating the operability of each entrance door interlock, each electrical or mechanical stop, each beam condition indicator light, the viewing system, doors, and the signature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teletherapy unit or room before beginning a treatment program. </w:t>
      </w:r>
      <w:r>
        <w:rPr>
          <w:rFonts w:ascii="Times New Roman" w:hAnsi="Times New Roman"/>
          <w:b w:val="false"/>
          <w:i w:val="false"/>
          <w:color w:val="000000"/>
          <w:sz w:val="22"/>
        </w:rPr>
        <w:t xml:space="preserve">If the survey required by </w:t>
      </w:r>
      <w:hyperlink r:id="rId292">
        <w:r>
          <w:rPr>
            <w:rStyle w:val="Hyperlink"/>
            <w:rFonts w:ascii="Times New Roman" w:hAnsi="Times New Roman"/>
            <w:b w:val="false"/>
            <w:i w:val="false"/>
            <w:color w:val="000000"/>
            <w:sz w:val="22"/>
          </w:rPr>
          <w:t>41.2(60)</w:t>
        </w:r>
      </w:hyperlink>
      <w:r>
        <w:rPr>
          <w:rFonts w:ascii="Times New Roman" w:hAnsi="Times New Roman"/>
          <w:b w:val="false"/>
          <w:i w:val="false"/>
          <w:color w:val="000000"/>
          <w:sz w:val="22"/>
        </w:rPr>
        <w:t xml:space="preserve"> indicates that any individual member of the public is likely to receive a dose greater than those permitted by </w:t>
      </w:r>
      <w:hyperlink r:id="rId293">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before beginning the treatment program,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equip the unit with stops or add additional radiation shielding to ensure compliance with </w:t>
      </w:r>
      <w:hyperlink r:id="rId294">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survey required by </w:t>
      </w:r>
      <w:hyperlink r:id="rId295">
        <w:r>
          <w:rPr>
            <w:rStyle w:val="Hyperlink"/>
            <w:rFonts w:ascii="Times New Roman" w:hAnsi="Times New Roman"/>
            <w:b w:val="false"/>
            <w:i w:val="false"/>
            <w:color w:val="000000"/>
            <w:sz w:val="22"/>
          </w:rPr>
          <w:t>41.2(60)</w:t>
        </w:r>
      </w:hyperlink>
      <w:r>
        <w:rPr>
          <w:rFonts w:ascii="Times New Roman" w:hAnsi="Times New Roman"/>
          <w:b w:val="false"/>
          <w:i w:val="false"/>
          <w:color w:val="000000"/>
          <w:sz w:val="22"/>
        </w:rPr>
        <w:t xml:space="preserv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 the report required by </w:t>
      </w:r>
      <w:hyperlink r:id="rId296">
        <w:r>
          <w:rPr>
            <w:rStyle w:val="Hyperlink"/>
            <w:rFonts w:ascii="Times New Roman" w:hAnsi="Times New Roman"/>
            <w:b w:val="false"/>
            <w:i w:val="false"/>
            <w:color w:val="000000"/>
            <w:sz w:val="22"/>
          </w:rPr>
          <w:t>41.2(63)</w:t>
        </w:r>
      </w:hyperlink>
      <w:r>
        <w:rPr>
          <w:rFonts w:ascii="Times New Roman" w:hAnsi="Times New Roman"/>
          <w:b w:val="false"/>
          <w:i w:val="false"/>
          <w:color w:val="000000"/>
          <w:sz w:val="22"/>
        </w:rPr>
        <w:t xml:space="preserve"> the results of the initial survey, a description of the modification made to comply with </w:t>
      </w:r>
      <w:hyperlink r:id="rId297">
        <w:r>
          <w:rPr>
            <w:rStyle w:val="Hyperlink"/>
            <w:rFonts w:ascii="Times New Roman" w:hAnsi="Times New Roman"/>
            <w:b w:val="false"/>
            <w:i w:val="false"/>
            <w:color w:val="000000"/>
            <w:sz w:val="22"/>
          </w:rPr>
          <w:t>41.2(62)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results of the second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and receive a license amendment under </w:t>
      </w:r>
      <w:hyperlink r:id="rId298">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xml:space="preserve"> that authorizes radiation levels in unrestricted areas greater than those permitted by </w:t>
      </w:r>
      <w:hyperlink r:id="rId299">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41.2(63)</w:t>
      </w:r>
      <w:r>
        <w:rPr>
          <w:rFonts w:ascii="Times New Roman" w:hAnsi="Times New Roman"/>
          <w:b w:val="false"/>
          <w:i w:val="false"/>
          <w:color w:val="000000"/>
          <w:sz w:val="22"/>
        </w:rPr>
        <w:t> </w:t>
      </w:r>
      <w:r>
        <w:rPr>
          <w:rFonts w:ascii="Times New Roman" w:hAnsi="Times New Roman"/>
          <w:b w:val="false"/>
          <w:i/>
          <w:color w:val="000000"/>
          <w:sz w:val="22"/>
        </w:rPr>
        <w:t xml:space="preserve">Reports of teletherapy surveys, checks, tests, and measurements. </w:t>
      </w:r>
      <w:r>
        <w:rPr>
          <w:rFonts w:ascii="Times New Roman" w:hAnsi="Times New Roman"/>
          <w:b w:val="false"/>
          <w:i w:val="false"/>
          <w:color w:val="000000"/>
          <w:sz w:val="22"/>
        </w:rPr>
        <w:t xml:space="preserve">A licensee shall furnish a copy of the records required in </w:t>
      </w:r>
      <w:hyperlink r:id="rId300">
        <w:r>
          <w:rPr>
            <w:rStyle w:val="Hyperlink"/>
            <w:rFonts w:ascii="Times New Roman" w:hAnsi="Times New Roman"/>
            <w:b w:val="false"/>
            <w:i w:val="false"/>
            <w:color w:val="000000"/>
            <w:sz w:val="22"/>
          </w:rPr>
          <w:t>41.2(60)</w:t>
        </w:r>
      </w:hyperlink>
      <w:r>
        <w:rPr>
          <w:rFonts w:ascii="Times New Roman" w:hAnsi="Times New Roman"/>
          <w:b w:val="false"/>
          <w:i w:val="false"/>
          <w:color w:val="000000"/>
          <w:sz w:val="22"/>
        </w:rPr>
        <w:t xml:space="preserve">, </w:t>
      </w:r>
      <w:hyperlink r:id="rId301">
        <w:r>
          <w:rPr>
            <w:rStyle w:val="Hyperlink"/>
            <w:rFonts w:ascii="Times New Roman" w:hAnsi="Times New Roman"/>
            <w:b w:val="false"/>
            <w:i w:val="false"/>
            <w:color w:val="000000"/>
            <w:sz w:val="22"/>
          </w:rPr>
          <w:t>41.2(61)</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41.2(62)</w:t>
        </w:r>
      </w:hyperlink>
      <w:r>
        <w:rPr>
          <w:rFonts w:ascii="Times New Roman" w:hAnsi="Times New Roman"/>
          <w:b w:val="false"/>
          <w:i w:val="false"/>
          <w:color w:val="000000"/>
          <w:sz w:val="22"/>
        </w:rPr>
        <w:t xml:space="preserve"> and the output from the teletherapy source expressed as rems (sieverts) per hour at 1 meter from the source as determined during the full calibration required in </w:t>
      </w:r>
      <w:hyperlink r:id="rId303">
        <w:r>
          <w:rPr>
            <w:rStyle w:val="Hyperlink"/>
            <w:rFonts w:ascii="Times New Roman" w:hAnsi="Times New Roman"/>
            <w:b w:val="false"/>
            <w:i w:val="false"/>
            <w:color w:val="000000"/>
            <w:sz w:val="22"/>
          </w:rPr>
          <w:t>41.2(58)</w:t>
        </w:r>
      </w:hyperlink>
      <w:r>
        <w:rPr>
          <w:rFonts w:ascii="Times New Roman" w:hAnsi="Times New Roman"/>
          <w:b w:val="false"/>
          <w:i w:val="false"/>
          <w:color w:val="000000"/>
          <w:sz w:val="22"/>
        </w:rPr>
        <w:t xml:space="preserve"> to the agency within 30 days following completion of the action that initiated the record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41.2(64)</w:t>
      </w:r>
      <w:r>
        <w:rPr>
          <w:rFonts w:ascii="Times New Roman" w:hAnsi="Times New Roman"/>
          <w:b w:val="false"/>
          <w:i w:val="false"/>
          <w:color w:val="000000"/>
          <w:sz w:val="22"/>
        </w:rPr>
        <w:t> </w:t>
      </w:r>
      <w:r>
        <w:rPr>
          <w:rFonts w:ascii="Times New Roman" w:hAnsi="Times New Roman"/>
          <w:b w:val="false"/>
          <w:i/>
          <w:color w:val="000000"/>
          <w:sz w:val="22"/>
        </w:rPr>
        <w:t xml:space="preserve"> Full-inspection servicing for teletherapy and gamma stereotactic radiosurgery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shall have each teletherapy unit and gamma stereotactic radiosurgery unit fully inspected and serviced during each source replacement to assure proper functioning of the source exposure mechanism and other safety components. The interval between each full inspection shall not exceed five years for each teletherapy unit and shall not exceed seven years for each gamma stereotactic radiosurgery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inspection and servicing shall be performed only by persons specifically licensed to do so by the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 record of the full inspection and servicing for the duration of the use of the unit. The record shall contain the inspector’s name, the inspector’s license number, the date of inspection, the manufacturer’s name and model number and serial number for both the teletherapy unit and gamma stereotactic radiosurgery unit and source, a list of components inspected, a list of components serviced and the type of service, a list of components replaced, and the signature of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41.2(65)</w:t>
      </w:r>
      <w:r>
        <w:rPr>
          <w:rFonts w:ascii="Times New Roman" w:hAnsi="Times New Roman"/>
          <w:b w:val="false"/>
          <w:i w:val="false"/>
          <w:color w:val="000000"/>
          <w:sz w:val="22"/>
        </w:rPr>
        <w:t> </w:t>
      </w:r>
      <w:r>
        <w:rPr>
          <w:rFonts w:ascii="Times New Roman" w:hAnsi="Times New Roman"/>
          <w:b w:val="false"/>
          <w:i/>
          <w:color w:val="000000"/>
          <w:sz w:val="22"/>
        </w:rPr>
        <w:t xml:space="preserve">Training for radiation safety officer. </w:t>
      </w:r>
      <w:r>
        <w:rPr>
          <w:rFonts w:ascii="Times New Roman" w:hAnsi="Times New Roman"/>
          <w:b w:val="false"/>
          <w:i w:val="false"/>
          <w:color w:val="000000"/>
          <w:sz w:val="22"/>
        </w:rPr>
        <w:t xml:space="preserve">Except as provided in </w:t>
      </w:r>
      <w:hyperlink r:id="rId304">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an individual fulfilling the responsibilities of the radiation safety officer or an individual assigned duties and tasks as an associate radiation safety officer as provided in 41.2(8) to be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specialty board whose certification process has been recognized by the NRC or an agreement state and who meets the requirements in </w:t>
      </w:r>
      <w:hyperlink r:id="rId305">
        <w:r>
          <w:rPr>
            <w:rStyle w:val="Hyperlink"/>
            <w:rFonts w:ascii="Times New Roman" w:hAnsi="Times New Roman"/>
            <w:b w:val="false"/>
            <w:i w:val="false"/>
            <w:color w:val="000000"/>
            <w:sz w:val="22"/>
          </w:rPr>
          <w:t>41.2(65)</w:t>
        </w:r>
        <w:r>
          <w:rPr>
            <w:rFonts w:ascii="Times New Roman" w:hAnsi="Times New Roman"/>
            <w:b w:val="false"/>
            <w:i/>
            <w:color w:val="000000"/>
            <w:sz w:val="22"/>
          </w:rPr>
          <w:t>“d.”</w:t>
        </w:r>
      </w:hyperlink>
      <w:r>
        <w:rPr>
          <w:rFonts w:ascii="Times New Roman" w:hAnsi="Times New Roman"/>
          <w:b w:val="false"/>
          <w:i w:val="false"/>
          <w:color w:val="000000"/>
          <w:sz w:val="22"/>
        </w:rPr>
        <w:t> The names of the board certifications that have been recognized by the NRC or an agreement state are posted on the NRC’s Medical Uses Licensee Toolkit web page. To have its certification process recognized, a specialty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all candidates for certification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 a bachelor’s or graduate degree from an accredited college or university in physical science or engineering or biological science with a minimum of 20 college credits in physical science;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five or more years of professional experience in health physics (graduate training may be substituted for no more than two years of the required experience) including at least three years in applied health physics;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Pass an examination administered by diplomats of the specialty board, which evaluates knowledge and competence in radiation physics and instrumentation, radiation protection, mathematics pertaining to the use and measurement of radioactivity, radiation biology, and radiation dosimetry;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all candidates for certification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 a master’s or doctor’s degree in physics, medical physics, other physical science, engineering, or applied mathematics from an accredited college or university;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Have two years of either full-time practical training or supervised experience in medical physics under the supervision of a medical physicist who is certified in medical physics by a specialty board recognized by the NRC or an agreement state, or in clinical nuclear medicine facilities providing either diagnostic or therapeutic services under the direction of physicians who meet the requirements for authorized users in </w:t>
      </w:r>
      <w:hyperlink r:id="rId306">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w:t>
      </w:r>
      <w:hyperlink r:id="rId307">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or </w:t>
      </w:r>
      <w:hyperlink r:id="rId308">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Pass an examination administered by diplomats of the specialty board that assesses knowledge and competence in clinical diagnostic radiological or nuclear medicine physics and in radiation safety;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 structured educational program consisting of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200 hours of classroom and laboratory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dosimetry;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year of full-time radiation safety experience under the supervision of the individual identified as the radiation safety officer on an NRC or agreement state license or permit issued by the NRC master material licensee that authorizes similar types of use of byproduct material. An associate radiation safety officer may provide supervision for those areas for which the associate radiation safety officer is authorized on an NRC or agreement state license or permit issued by an NRC master material licensee. The full-time radiation safety experience must involve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Shipping, receiving, and performing related radiation surveys;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and performing checks for proper operation of instruments used to determine the activity of dosages, survey meters, and instruments used to measure radionuclides;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Securing and controlling byproduct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administrative controls to avoid mistakes in the administration of byproduct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procedures to prevent or minimize radioactive contamination and using proper decontamination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emergency procedures to control byproduct material;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Disposing of byproduct material;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individual must obtain a written attestation signed by a preceptor radiation safety officer or associate radiation safety officer who has experience with the radiation safety aspects of similar types of use of byproduct material for which the individual is seeking approval as a radiation safety officer or an associate radiation safety officer. The written attestation must state that the individual has satisfactorily completed the requirements in 41.2(65)</w:t>
      </w:r>
      <w:r>
        <w:rPr>
          <w:rFonts w:ascii="Times New Roman" w:hAnsi="Times New Roman"/>
          <w:b w:val="false"/>
          <w:i/>
          <w:color w:val="000000"/>
          <w:sz w:val="22"/>
        </w:rPr>
        <w:t>“b”</w:t>
      </w:r>
      <w:r>
        <w:rPr>
          <w:rFonts w:ascii="Times New Roman" w:hAnsi="Times New Roman"/>
          <w:b w:val="false"/>
          <w:i w:val="false"/>
          <w:color w:val="000000"/>
          <w:sz w:val="22"/>
        </w:rPr>
        <w:t>(1) and 41.2(65)</w:t>
      </w:r>
      <w:r>
        <w:rPr>
          <w:rFonts w:ascii="Times New Roman" w:hAnsi="Times New Roman"/>
          <w:b w:val="false"/>
          <w:i/>
          <w:color w:val="000000"/>
          <w:sz w:val="22"/>
        </w:rPr>
        <w:t>“d”</w:t>
      </w:r>
      <w:r>
        <w:rPr>
          <w:rFonts w:ascii="Times New Roman" w:hAnsi="Times New Roman"/>
          <w:b w:val="false"/>
          <w:i w:val="false"/>
          <w:color w:val="000000"/>
          <w:sz w:val="22"/>
        </w:rPr>
        <w:t xml:space="preserve"> and is able to independently fulfill the radiation safety-related duties as a radiation safety officer or as an associate radiation safety officer for a medical use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medical physicist who has been certified by a specialty board whose certification process has been recognized by the NRC or an agreement state under 41.2(74)</w:t>
      </w:r>
      <w:r>
        <w:rPr>
          <w:rFonts w:ascii="Times New Roman" w:hAnsi="Times New Roman"/>
          <w:b w:val="false"/>
          <w:i/>
          <w:color w:val="000000"/>
          <w:sz w:val="22"/>
        </w:rPr>
        <w:t>“a,”</w:t>
      </w:r>
      <w:r>
        <w:rPr>
          <w:rFonts w:ascii="Times New Roman" w:hAnsi="Times New Roman"/>
          <w:b w:val="false"/>
          <w:i w:val="false"/>
          <w:color w:val="000000"/>
          <w:sz w:val="22"/>
        </w:rPr>
        <w:t xml:space="preserve"> has experience in radiation safety aspects of similar types of use of byproduct material for which the licensee is seeking the approval of the individual as a radiation safety officer or an associate radiation safety officer, and meets the requirements in </w:t>
      </w:r>
      <w:hyperlink r:id="rId309">
        <w:r>
          <w:rPr>
            <w:rStyle w:val="Hyperlink"/>
            <w:rFonts w:ascii="Times New Roman" w:hAnsi="Times New Roman"/>
            <w:b w:val="false"/>
            <w:i w:val="false"/>
            <w:color w:val="000000"/>
            <w:sz w:val="22"/>
          </w:rPr>
          <w:t>41.2(65)</w:t>
        </w:r>
        <w:r>
          <w:rPr>
            <w:rFonts w:ascii="Times New Roman" w:hAnsi="Times New Roman"/>
            <w:b w:val="false"/>
            <w:i/>
            <w:color w:val="000000"/>
            <w:sz w:val="22"/>
          </w:rPr>
          <w:t>“d”</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an authorized user, authorized medical physicist, or authorized nuclear pharmacist identified on an NRC or agreement state license, a permit issued by an NRC master material licensee, a permit issued by an NRC or agreement state licensee of broad scope, or a permit issued by an NRC master material license broad scope permittee, has experience with the radiation safety aspects of similar types of use of byproduct material for which the licensee seeks the approval of the individual as the radiation safety officer or associate radiation safety officer and meets the requirements in 41.2(65)</w:t>
      </w:r>
      <w:r>
        <w:rPr>
          <w:rFonts w:ascii="Times New Roman" w:hAnsi="Times New Roman"/>
          <w:b w:val="false"/>
          <w:i/>
          <w:color w:val="000000"/>
          <w:sz w:val="22"/>
        </w:rPr>
        <w:t>“d”</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experience with the radiation safety aspects of the types of use of byproduct material for which the individual is seeking simultaneous approval both as the radiation safety officer and the authorized user on the same new medical use license or new medical use permit issued by an NRC master material licensee. The individual must also meet the requirements in 41.2(65)</w:t>
      </w:r>
      <w:r>
        <w:rPr>
          <w:rFonts w:ascii="Times New Roman" w:hAnsi="Times New Roman"/>
          <w:b w:val="false"/>
          <w:i/>
          <w:color w:val="000000"/>
          <w:sz w:val="22"/>
        </w:rPr>
        <w:t>“d”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training in the radiation safety, regulatory issues, and emergency procedures for the types of use for which the licensee seeks approval. This training requirement may be satisfied by completing training that is supervised by a radiation safety officer, associate radiation safety officer, authorized medical physicist, authorized nuclear pharmacist, or authorized user, as appropriate, who is authorized for the type of use for which the licensee is seeking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41.2(67)</w:t>
      </w:r>
      <w:r>
        <w:rPr>
          <w:rFonts w:ascii="Times New Roman" w:hAnsi="Times New Roman"/>
          <w:b w:val="false"/>
          <w:i w:val="false"/>
          <w:color w:val="000000"/>
          <w:sz w:val="22"/>
        </w:rPr>
        <w:t> </w:t>
      </w:r>
      <w:r>
        <w:rPr>
          <w:rFonts w:ascii="Times New Roman" w:hAnsi="Times New Roman"/>
          <w:b w:val="false"/>
          <w:i/>
          <w:color w:val="000000"/>
          <w:sz w:val="22"/>
        </w:rPr>
        <w:t xml:space="preserve">Training for uptake, dilution, and excretion studies. </w:t>
      </w:r>
      <w:r>
        <w:rPr>
          <w:rFonts w:ascii="Times New Roman" w:hAnsi="Times New Roman"/>
          <w:b w:val="false"/>
          <w:i w:val="false"/>
          <w:color w:val="000000"/>
          <w:sz w:val="22"/>
        </w:rPr>
        <w:t xml:space="preserve">Except as provided in </w:t>
      </w:r>
      <w:hyperlink r:id="rId310">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an authorized user of unsealed byproduct material for the uses authorized under 41.2(31)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by a medical specialty board whose certification process has been recognized by the NRC or an agreement state. The names of board certifications that have been recognized by the NRC or agreement state are posted on the NRC’s Medical Uses Licensee Toolkit web page. To have its certification process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60 hours of training and experience in basic radionuclide handling techniques and radiation safety applicable to the medical use of unsealed radioactive material for uptake, dilution, and excretion studies as described in </w:t>
      </w:r>
      <w:hyperlink r:id="rId311">
        <w:r>
          <w:rPr>
            <w:rStyle w:val="Hyperlink"/>
            <w:rFonts w:ascii="Times New Roman" w:hAnsi="Times New Roman"/>
            <w:b w:val="false"/>
            <w:i w:val="false"/>
            <w:color w:val="000000"/>
            <w:sz w:val="22"/>
          </w:rPr>
          <w:t>41.2(67)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“1” and “2”;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an examination administered by diplomats of the specialty board that assesses knowledge and competence in radiation safety, radionuclide handling, and quality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312">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or </w:t>
      </w:r>
      <w:hyperlink r:id="rId313">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or meets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completed 60 hours of training and experience, including a minimum of 8 hours of classroom and laboratory training, in basic radionuclide handling techniques applicable to the medical use of unsealed radioactive material for uptake, dilution, and excretion studies. The training and experience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Classroom and laboratory training in radiation physics and instrumentation; radiation protection; mathematics pertaining to the use and measurement of radioactivity, chemistry of radioactive material for medical use, and radiation biology;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Work experience, under the supervision of an authorized user who meets the requirements in </w:t>
      </w:r>
      <w:hyperlink r:id="rId314">
        <w:r>
          <w:rPr>
            <w:rStyle w:val="Hyperlink"/>
            <w:rFonts w:ascii="Times New Roman" w:hAnsi="Times New Roman"/>
            <w:b w:val="false"/>
            <w:i w:val="false"/>
            <w:color w:val="000000"/>
            <w:sz w:val="22"/>
          </w:rPr>
          <w:t>41.2(67)</w:t>
        </w:r>
      </w:hyperlink>
      <w:r>
        <w:rPr>
          <w:rFonts w:ascii="Times New Roman" w:hAnsi="Times New Roman"/>
          <w:b w:val="false"/>
          <w:i w:val="false"/>
          <w:color w:val="000000"/>
          <w:sz w:val="22"/>
        </w:rPr>
        <w:t xml:space="preserve">, </w:t>
      </w:r>
      <w:hyperlink r:id="rId315">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w:t>
      </w:r>
      <w:hyperlink r:id="rId316">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or </w:t>
      </w:r>
      <w:hyperlink r:id="rId317">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involving: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Performing quality control procedures on instruments used to determine the activity of dosages and performing checks for proper operation of survey meters;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Calculating, measuring, and safely preparing patient or human research subject dosages;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administrative controls to prevent a medical event involving the use of unsealed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procedures to contain spilled radioactive material safely and using proper decontamination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Administering dosages of radioactive drugs to patients or human research subjects;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318">
        <w:r>
          <w:rPr>
            <w:rStyle w:val="Hyperlink"/>
            <w:rFonts w:ascii="Times New Roman" w:hAnsi="Times New Roman"/>
            <w:b w:val="false"/>
            <w:i w:val="false"/>
            <w:color w:val="000000"/>
            <w:sz w:val="22"/>
          </w:rPr>
          <w:t>41.2(67)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is able to independently fulfill the radiation safety-related duties as an authorized user under </w:t>
      </w:r>
      <w:hyperlink r:id="rId319">
        <w:r>
          <w:rPr>
            <w:rStyle w:val="Hyperlink"/>
            <w:rFonts w:ascii="Times New Roman" w:hAnsi="Times New Roman"/>
            <w:b w:val="false"/>
            <w:i w:val="false"/>
            <w:color w:val="000000"/>
            <w:sz w:val="22"/>
          </w:rPr>
          <w:t>41.2(31)</w:t>
        </w:r>
      </w:hyperlink>
      <w:r>
        <w:rPr>
          <w:rFonts w:ascii="Times New Roman" w:hAnsi="Times New Roman"/>
          <w:b w:val="false"/>
          <w:i w:val="false"/>
          <w:color w:val="000000"/>
          <w:sz w:val="22"/>
        </w:rPr>
        <w:t>.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preceptor authorized user who meets the requirements in 41.2(67), 41.2(68), 41.2(69), or 41.2(75)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41.2(67), 41.2(68), 41.2(69), or 41.2(75), or equivalent NRC or agreement state requirements,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41.2(67)</w:t>
      </w:r>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41.2(68)</w:t>
      </w:r>
      <w:r>
        <w:rPr>
          <w:rFonts w:ascii="Times New Roman" w:hAnsi="Times New Roman"/>
          <w:b w:val="false"/>
          <w:i w:val="false"/>
          <w:color w:val="000000"/>
          <w:sz w:val="22"/>
        </w:rPr>
        <w:t> </w:t>
      </w:r>
      <w:r>
        <w:rPr>
          <w:rFonts w:ascii="Times New Roman" w:hAnsi="Times New Roman"/>
          <w:b w:val="false"/>
          <w:i/>
          <w:color w:val="000000"/>
          <w:sz w:val="22"/>
        </w:rPr>
        <w:t xml:space="preserve">Training for imaging and localization studies. </w:t>
      </w:r>
      <w:r>
        <w:rPr>
          <w:rFonts w:ascii="Times New Roman" w:hAnsi="Times New Roman"/>
          <w:b w:val="false"/>
          <w:i w:val="false"/>
          <w:color w:val="000000"/>
          <w:sz w:val="22"/>
        </w:rPr>
        <w:t xml:space="preserve">Except as provided in </w:t>
      </w:r>
      <w:hyperlink r:id="rId320">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the licensee shall require the authorized user of unsealed byproduct material for the uses authorized under </w:t>
      </w:r>
      <w:hyperlink r:id="rId321">
        <w:r>
          <w:rPr>
            <w:rStyle w:val="Hyperlink"/>
            <w:rFonts w:ascii="Times New Roman" w:hAnsi="Times New Roman"/>
            <w:b w:val="false"/>
            <w:i w:val="false"/>
            <w:color w:val="000000"/>
            <w:sz w:val="22"/>
          </w:rPr>
          <w:t>41.2(33)</w:t>
        </w:r>
      </w:hyperlink>
      <w:r>
        <w:rPr>
          <w:rFonts w:ascii="Times New Roman" w:hAnsi="Times New Roman"/>
          <w:b w:val="false"/>
          <w:i w:val="false"/>
          <w:color w:val="000000"/>
          <w:sz w:val="22"/>
        </w:rPr>
        <w:t xml:space="preserve">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by a medical specialty board whose certification process has been recognized by the NRC or an agreement state. The names of board certifications that have been recognized by the NRC or agreement state are posted on the NRC’s Medical Uses Licensee Toolkit web page. To have its certification process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700 hours of training and experience in basic radionuclide handling techniques and radiation safety applicable to the medical use of unsealed radioactive material for imaging and localization studies as described in </w:t>
      </w:r>
      <w:hyperlink r:id="rId322">
        <w:r>
          <w:rPr>
            <w:rStyle w:val="Hyperlink"/>
            <w:rFonts w:ascii="Times New Roman" w:hAnsi="Times New Roman"/>
            <w:b w:val="false"/>
            <w:i w:val="false"/>
            <w:color w:val="000000"/>
            <w:sz w:val="22"/>
          </w:rPr>
          <w:t>41.2(68)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“1” and “2”;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an examination administered by diplomats of the specialty board, which assesses knowledge and competence in radiation safety, radionuclide handling, and quality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323">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and meets the requirements in </w:t>
      </w:r>
      <w:hyperlink r:id="rId324">
        <w:r>
          <w:rPr>
            <w:rStyle w:val="Hyperlink"/>
            <w:rFonts w:ascii="Times New Roman" w:hAnsi="Times New Roman"/>
            <w:b w:val="false"/>
            <w:i w:val="false"/>
            <w:color w:val="000000"/>
            <w:sz w:val="22"/>
          </w:rPr>
          <w:t>41.2(68)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“2,” seventh bulleted paragraph,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completed 700 hours of training and experience, including a minimum of 80 hours of classroom and laboratory training, in basic radionuclide handling techniques applicable to the medical use of unsealed radioactive material for imaging and localization studies. The training and experience must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Classroom and laboratory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Chemistry of radioactive material for medical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Work experience, under the supervision of an authorized user who meets the requirements in </w:t>
      </w:r>
      <w:hyperlink r:id="rId325">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41.2(69) and </w:t>
      </w:r>
      <w:hyperlink r:id="rId326">
        <w:r>
          <w:rPr>
            <w:rStyle w:val="Hyperlink"/>
            <w:rFonts w:ascii="Times New Roman" w:hAnsi="Times New Roman"/>
            <w:b w:val="false"/>
            <w:i w:val="false"/>
            <w:color w:val="000000"/>
            <w:sz w:val="22"/>
          </w:rPr>
          <w:t>41.2(68)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seventh bulleted paragraph; </w:t>
      </w:r>
      <w:hyperlink r:id="rId327">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or equivalent NRC or agreement state requirements. An authorized nuclear pharmacist who meets the requirements in 41.2(75) or 41.2(78) may provide the supervised work experience for the seventh bulleted paragraph of 41.2(68)</w:t>
      </w:r>
      <w:r>
        <w:rPr>
          <w:rFonts w:ascii="Times New Roman" w:hAnsi="Times New Roman"/>
          <w:b w:val="false"/>
          <w:i/>
          <w:color w:val="000000"/>
          <w:sz w:val="22"/>
        </w:rPr>
        <w:t>“c”</w:t>
      </w:r>
      <w:r>
        <w:rPr>
          <w:rFonts w:ascii="Times New Roman" w:hAnsi="Times New Roman"/>
          <w:b w:val="false"/>
          <w:i w:val="false"/>
          <w:color w:val="000000"/>
          <w:sz w:val="22"/>
        </w:rPr>
        <w:t>(1)“2.” Work experience must involve: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Performing quality control procedures on instruments used to determine the activity of dosages and performing checks for proper operation of survey meters;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Calculating, measuring, and safely preparing patient or human research subject dosages;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administrative controls to prevent a medical event involving the use of unsealed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procedures to contain spilled radioactive material safely and using proper decontamination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Administering dosages of radioactive drugs to patients or human research subjects;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Eluting generator systems appropriate for preparation of radioactive drugs for imaging and localization studies, measuring and testing the eluate for radionuclidic purity, and processing the eluate with reagent kits to prepare labeled radioactive drugs;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328">
        <w:r>
          <w:rPr>
            <w:rStyle w:val="Hyperlink"/>
            <w:rFonts w:ascii="Times New Roman" w:hAnsi="Times New Roman"/>
            <w:b w:val="false"/>
            <w:i w:val="false"/>
            <w:color w:val="000000"/>
            <w:sz w:val="22"/>
          </w:rPr>
          <w:t>41.2(68)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is able to independently fulfill the radiation safety-related duties as an authorized user for the medical uses authorized under </w:t>
      </w:r>
      <w:hyperlink r:id="rId329">
        <w:r>
          <w:rPr>
            <w:rStyle w:val="Hyperlink"/>
            <w:rFonts w:ascii="Times New Roman" w:hAnsi="Times New Roman"/>
            <w:b w:val="false"/>
            <w:i w:val="false"/>
            <w:color w:val="000000"/>
            <w:sz w:val="22"/>
          </w:rPr>
          <w:t>41.2(31)</w:t>
        </w:r>
      </w:hyperlink>
      <w:r>
        <w:rPr>
          <w:rFonts w:ascii="Times New Roman" w:hAnsi="Times New Roman"/>
          <w:b w:val="false"/>
          <w:i w:val="false"/>
          <w:color w:val="000000"/>
          <w:sz w:val="22"/>
        </w:rPr>
        <w:t xml:space="preserve"> and </w:t>
      </w:r>
      <w:hyperlink r:id="rId330">
        <w:r>
          <w:rPr>
            <w:rStyle w:val="Hyperlink"/>
            <w:rFonts w:ascii="Times New Roman" w:hAnsi="Times New Roman"/>
            <w:b w:val="false"/>
            <w:i w:val="false"/>
            <w:color w:val="000000"/>
            <w:sz w:val="22"/>
          </w:rPr>
          <w:t>41.2(33)</w:t>
        </w:r>
      </w:hyperlink>
      <w:r>
        <w:rPr>
          <w:rFonts w:ascii="Times New Roman" w:hAnsi="Times New Roman"/>
          <w:b w:val="false"/>
          <w:i w:val="false"/>
          <w:color w:val="000000"/>
          <w:sz w:val="22"/>
        </w:rPr>
        <w:t>.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preceptor authorized user who meets the requirements in 41.2(68); 41.2(69) and 41.2(68)</w:t>
      </w:r>
      <w:r>
        <w:rPr>
          <w:rFonts w:ascii="Times New Roman" w:hAnsi="Times New Roman"/>
          <w:b w:val="false"/>
          <w:i/>
          <w:color w:val="000000"/>
          <w:sz w:val="22"/>
        </w:rPr>
        <w:t>“c”</w:t>
      </w:r>
      <w:r>
        <w:rPr>
          <w:rFonts w:ascii="Times New Roman" w:hAnsi="Times New Roman"/>
          <w:b w:val="false"/>
          <w:i w:val="false"/>
          <w:color w:val="000000"/>
          <w:sz w:val="22"/>
        </w:rPr>
        <w:t>(1)“2,” seventh bulleted paragraph; or 41.2(75),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41.2(68); 41.2(69) and 41.2(68)</w:t>
      </w:r>
      <w:r>
        <w:rPr>
          <w:rFonts w:ascii="Times New Roman" w:hAnsi="Times New Roman"/>
          <w:b w:val="false"/>
          <w:i/>
          <w:color w:val="000000"/>
          <w:sz w:val="22"/>
        </w:rPr>
        <w:t>“c”</w:t>
      </w:r>
      <w:r>
        <w:rPr>
          <w:rFonts w:ascii="Times New Roman" w:hAnsi="Times New Roman"/>
          <w:b w:val="false"/>
          <w:i w:val="false"/>
          <w:color w:val="000000"/>
          <w:sz w:val="22"/>
        </w:rPr>
        <w:t>(1)“2,” seventh bulleted paragraph; or 41.2(75); or equivalent NRC or agreement state requirements,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41.2(68)</w:t>
      </w:r>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41.2(69)</w:t>
      </w:r>
      <w:r>
        <w:rPr>
          <w:rFonts w:ascii="Times New Roman" w:hAnsi="Times New Roman"/>
          <w:b w:val="false"/>
          <w:i w:val="false"/>
          <w:color w:val="000000"/>
          <w:sz w:val="22"/>
        </w:rPr>
        <w:t> </w:t>
      </w:r>
      <w:r>
        <w:rPr>
          <w:rFonts w:ascii="Times New Roman" w:hAnsi="Times New Roman"/>
          <w:b w:val="false"/>
          <w:i/>
          <w:color w:val="000000"/>
          <w:sz w:val="22"/>
        </w:rPr>
        <w:t xml:space="preserve">Training for use of unsealed byproduct material for which a written directive is required. </w:t>
      </w:r>
      <w:r>
        <w:rPr>
          <w:rFonts w:ascii="Times New Roman" w:hAnsi="Times New Roman"/>
          <w:b w:val="false"/>
          <w:i w:val="false"/>
          <w:color w:val="000000"/>
          <w:sz w:val="22"/>
        </w:rPr>
        <w:t xml:space="preserve">Except as provided in </w:t>
      </w:r>
      <w:hyperlink r:id="rId33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the licensee shall require an authorized user of unsealed byproduct material for the uses authorized under </w:t>
      </w:r>
      <w:hyperlink r:id="rId332">
        <w:r>
          <w:rPr>
            <w:rStyle w:val="Hyperlink"/>
            <w:rFonts w:ascii="Times New Roman" w:hAnsi="Times New Roman"/>
            <w:b w:val="false"/>
            <w:i w:val="false"/>
            <w:color w:val="000000"/>
            <w:sz w:val="22"/>
          </w:rPr>
          <w:t>41.2(37)</w:t>
        </w:r>
      </w:hyperlink>
      <w:r>
        <w:rPr>
          <w:rFonts w:ascii="Times New Roman" w:hAnsi="Times New Roman"/>
          <w:b w:val="false"/>
          <w:i w:val="false"/>
          <w:color w:val="000000"/>
          <w:sz w:val="22"/>
        </w:rPr>
        <w:t xml:space="preserve">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medical specialty board whose certification process has been recognized by the NRC or an agreement state and who meets the requirements in </w:t>
      </w:r>
      <w:hyperlink r:id="rId333">
        <w:r>
          <w:rPr>
            <w:rStyle w:val="Hyperlink"/>
            <w:rFonts w:ascii="Times New Roman" w:hAnsi="Times New Roman"/>
            <w:b w:val="false"/>
            <w:i w:val="false"/>
            <w:color w:val="000000"/>
            <w:sz w:val="22"/>
          </w:rPr>
          <w:t>41.2(69)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“2,” seventh bulleted paragraph. The names of the board certificates that have been recognized by the NRC or agreement state are posted on the NRC’s Medical Uses Licensee Toolkit web page. To be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 residency training in a radiation therapy or nuclear medicine training program or a program in a related medical specialty. These residency training programs must include 700 hours of training and experience as described in </w:t>
      </w:r>
      <w:hyperlink r:id="rId334">
        <w:r>
          <w:rPr>
            <w:rStyle w:val="Hyperlink"/>
            <w:rFonts w:ascii="Times New Roman" w:hAnsi="Times New Roman"/>
            <w:b w:val="false"/>
            <w:i w:val="false"/>
            <w:color w:val="000000"/>
            <w:sz w:val="22"/>
          </w:rPr>
          <w:t>41.2(69)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“1” through </w:t>
      </w:r>
      <w:hyperlink r:id="rId335">
        <w:r>
          <w:rPr>
            <w:rStyle w:val="Hyperlink"/>
            <w:rFonts w:ascii="Times New Roman" w:hAnsi="Times New Roman"/>
            <w:b w:val="false"/>
            <w:i w:val="false"/>
            <w:color w:val="000000"/>
            <w:sz w:val="22"/>
          </w:rPr>
          <w:t>41.2(69)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“2,” fifth bulleted paragraph. Eligible training programs must be approved by the Residency Review Committee of the Accreditation Council for Graduate Medical Education, the Royal College of Physicians and Surgeons of Canada, or the Committee on Post-Graduate Training of the American Osteopathic Association;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an examination, administered by diplomats of the specialty board, which tests knowledge and competence in radiation safety, radionuclide handling, quality assurance, and clinical use of unsealed radioactive material for which a written directive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completed 700 hours of training and experience, including a minimum of 200 hours of classroom and laboratory training, in basic radionuclide handling techniques applicable to the medical use of unsealed radioactive material requiring a written directive. The training and experience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Classroom and laboratory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Chemistry of radioactive material for medical use;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Work experience, under the supervision of an authorized user who meets the requirements in </w:t>
      </w:r>
      <w:hyperlink r:id="rId336">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or </w:t>
      </w:r>
      <w:hyperlink r:id="rId337">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A supervising authorized user who meets the requirements in </w:t>
      </w:r>
      <w:hyperlink r:id="rId338">
        <w:r>
          <w:rPr>
            <w:rStyle w:val="Hyperlink"/>
            <w:rFonts w:ascii="Times New Roman" w:hAnsi="Times New Roman"/>
            <w:b w:val="false"/>
            <w:i w:val="false"/>
            <w:color w:val="000000"/>
            <w:sz w:val="22"/>
          </w:rPr>
          <w:t>41.2(69)</w:t>
        </w:r>
        <w:r>
          <w:rPr>
            <w:rFonts w:ascii="Times New Roman" w:hAnsi="Times New Roman"/>
            <w:b w:val="false"/>
            <w:i/>
            <w:color w:val="000000"/>
            <w:sz w:val="22"/>
          </w:rPr>
          <w:t>“b”</w:t>
        </w:r>
      </w:hyperlink>
      <w:r>
        <w:rPr>
          <w:rFonts w:ascii="Times New Roman" w:hAnsi="Times New Roman"/>
          <w:b w:val="false"/>
          <w:i w:val="false"/>
          <w:color w:val="000000"/>
          <w:sz w:val="22"/>
        </w:rPr>
        <w:t xml:space="preserve"> must also have experience in administering dosages in the same dosage category or categories (i.e., </w:t>
      </w:r>
      <w:hyperlink r:id="rId339">
        <w:r>
          <w:rPr>
            <w:rStyle w:val="Hyperlink"/>
            <w:rFonts w:ascii="Times New Roman" w:hAnsi="Times New Roman"/>
            <w:b w:val="false"/>
            <w:i w:val="false"/>
            <w:color w:val="000000"/>
            <w:sz w:val="22"/>
          </w:rPr>
          <w:t>41.2(69)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“2,” seventh bulleted paragraph) as the individual requesting authorized user status. The work experience must involve: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Performing quality control procedures on instruments used to determine the activity of dosages and performing checks for proper operation of survey meters;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Calculating, measuring, and safely preparing patient or human research subject dosages;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administrative controls to prevent a medical event involving the use of unsealed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procedures to contain spilled radioactive material safely and using proper decontamination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Administering dosages of radioactive drugs to patients or human research subjects from the three categories in this bulleted paragraph. Radioactive drugs containing radionuclides in categories not included are regulated under 41.2(88). This work experience must involve a minimum of three cases in each of the following categories for which the individual is requesting authorized user status:</w:t>
      </w:r>
    </w:p>
    <w:p>
      <w:pPr>
        <w:spacing w:before="0" w:after="0"/>
        <w:ind w:left="120"/>
        <w:jc w:val="both"/>
      </w:pPr>
      <w:r>
        <w:rPr>
          <w:rFonts w:ascii="Times New Roman" w:hAnsi="Times New Roman"/>
          <w:b w:val="false"/>
          <w:i w:val="false"/>
          <w:color w:val="000000"/>
          <w:sz w:val="22"/>
        </w:rPr>
        <w:t>– Oral administration of less than or equal to 33 millicuries (1.22 gigabecquerels) of sodium iodide I-131, for which a written directive is required;</w:t>
      </w:r>
    </w:p>
    <w:p>
      <w:pPr>
        <w:spacing w:before="0" w:after="0"/>
        <w:ind w:left="120"/>
        <w:jc w:val="both"/>
      </w:pPr>
      <w:r>
        <w:rPr>
          <w:rFonts w:ascii="Times New Roman" w:hAnsi="Times New Roman"/>
          <w:b w:val="false"/>
          <w:i w:val="false"/>
          <w:color w:val="000000"/>
          <w:sz w:val="22"/>
        </w:rPr>
        <w:t>– Oral administration of greater than 33 millicuries (1.22 gigabecquerels) of sodium iodide I-131 (experience with at least three cases in this category also satisfies the requirement in the above category);</w:t>
      </w:r>
    </w:p>
    <w:p>
      <w:pPr>
        <w:spacing w:before="0" w:after="0"/>
        <w:ind w:left="120"/>
        <w:jc w:val="both"/>
      </w:pPr>
      <w:r>
        <w:rPr>
          <w:rFonts w:ascii="Times New Roman" w:hAnsi="Times New Roman"/>
          <w:b w:val="false"/>
          <w:i w:val="false"/>
          <w:color w:val="000000"/>
          <w:sz w:val="22"/>
        </w:rPr>
        <w:t>– Parenteral administration of any radioactive drug that contains a radionuclide that is primarily used for its electron emissions, beta radiation characteristics, alpha radiation characteristics, or photon energy less than 150 keV for which a written directive is required;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340">
        <w:r>
          <w:rPr>
            <w:rStyle w:val="Hyperlink"/>
            <w:rFonts w:ascii="Times New Roman" w:hAnsi="Times New Roman"/>
            <w:b w:val="false"/>
            <w:i w:val="false"/>
            <w:color w:val="000000"/>
            <w:sz w:val="22"/>
          </w:rPr>
          <w:t>41.2(69)</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is able to independently fulfill the radiation safety-related duties as an authorized user for the medical uses authorized under </w:t>
      </w:r>
      <w:hyperlink r:id="rId341">
        <w:r>
          <w:rPr>
            <w:rStyle w:val="Hyperlink"/>
            <w:rFonts w:ascii="Times New Roman" w:hAnsi="Times New Roman"/>
            <w:b w:val="false"/>
            <w:i w:val="false"/>
            <w:color w:val="000000"/>
            <w:sz w:val="22"/>
          </w:rPr>
          <w:t>41.2(37)</w:t>
        </w:r>
      </w:hyperlink>
      <w:r>
        <w:rPr>
          <w:rFonts w:ascii="Times New Roman" w:hAnsi="Times New Roman"/>
          <w:b w:val="false"/>
          <w:i w:val="false"/>
          <w:color w:val="000000"/>
          <w:sz w:val="22"/>
        </w:rPr>
        <w:t xml:space="preserve"> for which the individual is requesting authorized user status.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preceptor authorized user who meets the requirements in 41.2(69), 41.2(75) or equivalent NRC or agreement state requirements and has experience in administering dosages in the same dosage category or categories as the individual requesting authorized user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41.2(69), 41.2(75) or equivalent NRC or agreement state requirements, has experience in administering dosages in the same dosage category or categories as the individual requesting authorized user status,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41.2(69)</w:t>
      </w:r>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training only for oral administration of sodium iodide I-131 requiring a written directive in quantities less than or equal to 33 millicuries (1.22 gigabecquerels) or quantities greater than 33 millicuries (1.22 gigabecquerels), see </w:t>
      </w:r>
      <w:hyperlink r:id="rId342">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or </w:t>
      </w:r>
      <w:hyperlink r:id="rId343">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41.2(70)</w:t>
      </w:r>
      <w:r>
        <w:rPr>
          <w:rFonts w:ascii="Times New Roman" w:hAnsi="Times New Roman"/>
          <w:b w:val="false"/>
          <w:i w:val="false"/>
          <w:color w:val="000000"/>
          <w:sz w:val="22"/>
        </w:rPr>
        <w:t> </w:t>
      </w:r>
      <w:r>
        <w:rPr>
          <w:rFonts w:ascii="Times New Roman" w:hAnsi="Times New Roman"/>
          <w:b w:val="false"/>
          <w:i/>
          <w:color w:val="000000"/>
          <w:sz w:val="22"/>
        </w:rPr>
        <w:t xml:space="preserve">Training for use of manual brachytherapy sources. </w:t>
      </w:r>
      <w:r>
        <w:rPr>
          <w:rFonts w:ascii="Times New Roman" w:hAnsi="Times New Roman"/>
          <w:b w:val="false"/>
          <w:i w:val="false"/>
          <w:color w:val="000000"/>
          <w:sz w:val="22"/>
        </w:rPr>
        <w:t xml:space="preserve">Except as provided in </w:t>
      </w:r>
      <w:hyperlink r:id="rId344">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the licensee shall require an authorized user of a manual brachytherapy source for the uses authorized under </w:t>
      </w:r>
      <w:hyperlink r:id="rId345">
        <w:r>
          <w:rPr>
            <w:rStyle w:val="Hyperlink"/>
            <w:rFonts w:ascii="Times New Roman" w:hAnsi="Times New Roman"/>
            <w:b w:val="false"/>
            <w:i w:val="false"/>
            <w:color w:val="000000"/>
            <w:sz w:val="22"/>
          </w:rPr>
          <w:t>41.2(43)</w:t>
        </w:r>
      </w:hyperlink>
      <w:r>
        <w:rPr>
          <w:rFonts w:ascii="Times New Roman" w:hAnsi="Times New Roman"/>
          <w:b w:val="false"/>
          <w:i w:val="false"/>
          <w:color w:val="000000"/>
          <w:sz w:val="22"/>
        </w:rPr>
        <w:t xml:space="preserve">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by a medical specialty board whose certification process has been recognized by the NRC or an agreement state. The names of the board certifications that have been recognized by the NRC or agreement state must be posted on the NRC’s Medical Uses Licensee Toolkit web page. To have its certification process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minimum of three years of residency training in a radiation oncology program approved by the Residency Review Committee of the Accreditation Council for Graduate Medical Education or the Royal College of Physicians and Surgeons of Canada or the Committee on Post-Graduate Training of the American Osteopathic Association;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an examination, administered by diplomats of the specialty board, that tests knowledge and competence in radiation safety, radionuclide handling, treatment planning, quality assurance, and clinical use of manual brachytherapy;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completed a structured educational program in basic radionuclide handling techniques applicable to the use of manual brachytherapy sources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200 hours of classroom and laboratory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Mathematics pertaining to the use and measurement of radioactivity;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500 hours of work experience, under the supervision of an authorized user who meets the requirements in </w:t>
      </w:r>
      <w:hyperlink r:id="rId346">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or </w:t>
      </w:r>
      <w:hyperlink r:id="rId347">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at a medical facility authorized to use byproduct materials under 41.2(43), involving: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Checking survey meters for proper operation;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Preparing, implanting, and removing brachytherapy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Maintaining running inventories of material on hand;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administrative controls to prevent a medical event involving the use of radioactive material;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emergency procedures to control radioactive material;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completed three years of supervised clinical experience in radiation oncology under an authorized user who meets the requirements in </w:t>
      </w:r>
      <w:hyperlink r:id="rId348">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or </w:t>
      </w:r>
      <w:hyperlink r:id="rId349">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as part of a formal training program approved by the Residency Review Committee for Radiation Oncology of the Accreditation Council for Graduate Medical Education or the Royal College of Physicians and Surgeons of Canada or the Committee on Postdoctoral Training of the American Osteopathic Association. This experience may be obtained concurrently with the supervised work experience required in </w:t>
      </w:r>
      <w:hyperlink r:id="rId350">
        <w:r>
          <w:rPr>
            <w:rStyle w:val="Hyperlink"/>
            <w:rFonts w:ascii="Times New Roman" w:hAnsi="Times New Roman"/>
            <w:b w:val="false"/>
            <w:i w:val="false"/>
            <w:color w:val="000000"/>
            <w:sz w:val="22"/>
          </w:rPr>
          <w:t>41.2(70)</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351">
        <w:r>
          <w:rPr>
            <w:rStyle w:val="Hyperlink"/>
            <w:rFonts w:ascii="Times New Roman" w:hAnsi="Times New Roman"/>
            <w:b w:val="false"/>
            <w:i w:val="false"/>
            <w:color w:val="000000"/>
            <w:sz w:val="22"/>
          </w:rPr>
          <w:t>41.2(70)</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is able to independently fulfill the radiation safety-related duties as an authorized user of manual brachytherapy sources for the medical uses authorized under 41.2(43).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preceptor authorized user who meets the requirements in 41.2(70), 41.2(75),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41.2(70), 41.2(75), or equivalent NRC or agreement state requirements,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41.2(70)</w:t>
      </w:r>
      <w:r>
        <w:rPr>
          <w:rFonts w:ascii="Times New Roman" w:hAnsi="Times New Roman"/>
          <w:b w:val="false"/>
          <w:i/>
          <w:color w:val="000000"/>
          <w:sz w:val="22"/>
        </w:rPr>
        <w:t>“b”</w:t>
      </w:r>
      <w:r>
        <w:rPr>
          <w:rFonts w:ascii="Times New Roman" w:hAnsi="Times New Roman"/>
          <w:b w:val="false"/>
          <w:i w:val="false"/>
          <w:color w:val="000000"/>
          <w:sz w:val="22"/>
        </w:rPr>
        <w:t>(1)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41.2(71)</w:t>
      </w:r>
      <w:r>
        <w:rPr>
          <w:rFonts w:ascii="Times New Roman" w:hAnsi="Times New Roman"/>
          <w:b w:val="false"/>
          <w:i w:val="false"/>
          <w:color w:val="000000"/>
          <w:sz w:val="22"/>
        </w:rPr>
        <w:t> </w:t>
      </w:r>
      <w:r>
        <w:rPr>
          <w:rFonts w:ascii="Times New Roman" w:hAnsi="Times New Roman"/>
          <w:b w:val="false"/>
          <w:i/>
          <w:color w:val="000000"/>
          <w:sz w:val="22"/>
        </w:rPr>
        <w:t xml:space="preserve">Training for ophthalmic use of strontium-90. </w:t>
      </w:r>
      <w:r>
        <w:rPr>
          <w:rFonts w:ascii="Times New Roman" w:hAnsi="Times New Roman"/>
          <w:b w:val="false"/>
          <w:i w:val="false"/>
          <w:color w:val="000000"/>
          <w:sz w:val="22"/>
        </w:rPr>
        <w:t xml:space="preserve">Except as provided in </w:t>
      </w:r>
      <w:hyperlink r:id="rId352">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the authorized user of strontium-90 for ophthalmic radiotherapy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353">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completed 24 hours of classroom and laboratory training applicable to the medical use of strontium-90 for ophthalmic radiotherapy. The training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Mathematics pertaining to the use and measurement of radioactivity;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Radiation biology;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supervised clinical training in ophthalmic radiotherapy under the supervision of an authorized user at a medical institution, clinic, or private practice that includes the use of strontium-90 for the ophthalmic treatment of five individuals. This supervised clinical training must involve: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Examination of each individual to be treated;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Calculation of the dose to be administered;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Administration of the dose;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Follow-up and review of each individual’s case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signed by a preceptor authorized user who meets the requirements in </w:t>
      </w:r>
      <w:hyperlink r:id="rId354">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w:t>
      </w:r>
      <w:hyperlink r:id="rId355">
        <w:r>
          <w:rPr>
            <w:rStyle w:val="Hyperlink"/>
            <w:rFonts w:ascii="Times New Roman" w:hAnsi="Times New Roman"/>
            <w:b w:val="false"/>
            <w:i w:val="false"/>
            <w:color w:val="000000"/>
            <w:sz w:val="22"/>
          </w:rPr>
          <w:t>41.2(71)</w:t>
        </w:r>
      </w:hyperlink>
      <w:r>
        <w:rPr>
          <w:rFonts w:ascii="Times New Roman" w:hAnsi="Times New Roman"/>
          <w:b w:val="false"/>
          <w:i w:val="false"/>
          <w:color w:val="000000"/>
          <w:sz w:val="22"/>
        </w:rPr>
        <w:t xml:space="preserve"> or </w:t>
      </w:r>
      <w:hyperlink r:id="rId356">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that the individual has satisfactorily completed the requirements in </w:t>
      </w:r>
      <w:hyperlink r:id="rId357">
        <w:r>
          <w:rPr>
            <w:rStyle w:val="Hyperlink"/>
            <w:rFonts w:ascii="Times New Roman" w:hAnsi="Times New Roman"/>
            <w:b w:val="false"/>
            <w:i w:val="false"/>
            <w:color w:val="000000"/>
            <w:sz w:val="22"/>
          </w:rPr>
          <w:t>41.2(71)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is able to independently fulfill the radiation safety-related duties as an authorized user of strontium-90 for ophthalmic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41.2(72)</w:t>
      </w:r>
      <w:r>
        <w:rPr>
          <w:rFonts w:ascii="Times New Roman" w:hAnsi="Times New Roman"/>
          <w:b w:val="false"/>
          <w:i w:val="false"/>
          <w:color w:val="000000"/>
          <w:sz w:val="22"/>
        </w:rPr>
        <w:t> </w:t>
      </w:r>
      <w:r>
        <w:rPr>
          <w:rFonts w:ascii="Times New Roman" w:hAnsi="Times New Roman"/>
          <w:b w:val="false"/>
          <w:i/>
          <w:color w:val="000000"/>
          <w:sz w:val="22"/>
        </w:rPr>
        <w:t xml:space="preserve">Training for use of sealed sources for diagnosis. </w:t>
      </w:r>
      <w:r>
        <w:rPr>
          <w:rFonts w:ascii="Times New Roman" w:hAnsi="Times New Roman"/>
          <w:b w:val="false"/>
          <w:i w:val="false"/>
          <w:color w:val="000000"/>
          <w:sz w:val="22"/>
        </w:rPr>
        <w:t xml:space="preserve">Except as provided in </w:t>
      </w:r>
      <w:hyperlink r:id="rId358">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the licensee shall require the authorized user of a diagnostic sealed source or a device authorized under </w:t>
      </w:r>
      <w:hyperlink r:id="rId359">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to be a physician, dentist, or podiatrist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by a specialty board whose certification process includes all of the requirements in 41.2(72)</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whose certification has been recognized by the NRC or an agreement state. The names of the board certificates that have been recognized by the NRC or agreement state must be posted on the NRC’s Medical Uses Licensee Toolkit web page;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an authorized user for uses listed in 41.2(33)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eight hours of classroom and laboratory training in basic radionuclide handling techniques specifically applicable to the use of the device. The training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Mathematics pertaining to the use and measurement of radioactivity;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completed training in the use of the device for the uses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41.2(73)</w:t>
      </w:r>
      <w:r>
        <w:rPr>
          <w:rFonts w:ascii="Times New Roman" w:hAnsi="Times New Roman"/>
          <w:b w:val="false"/>
          <w:i w:val="false"/>
          <w:color w:val="000000"/>
          <w:sz w:val="22"/>
        </w:rPr>
        <w:t> </w:t>
      </w:r>
      <w:r>
        <w:rPr>
          <w:rFonts w:ascii="Times New Roman" w:hAnsi="Times New Roman"/>
          <w:b w:val="false"/>
          <w:i/>
          <w:color w:val="000000"/>
          <w:sz w:val="22"/>
        </w:rPr>
        <w:t xml:space="preserve">Training for use of remote afterloader units, teletherapy units, and gamma stereotactic radiosurgery units. </w:t>
      </w:r>
      <w:r>
        <w:rPr>
          <w:rFonts w:ascii="Times New Roman" w:hAnsi="Times New Roman"/>
          <w:b w:val="false"/>
          <w:i w:val="false"/>
          <w:color w:val="000000"/>
          <w:sz w:val="22"/>
        </w:rPr>
        <w:t xml:space="preserve">Except as provided in </w:t>
      </w:r>
      <w:hyperlink r:id="rId360">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the licensee shall require an authorized user of a sealed source for a use authorized under </w:t>
      </w:r>
      <w:hyperlink r:id="rId361">
        <w:r>
          <w:rPr>
            <w:rStyle w:val="Hyperlink"/>
            <w:rFonts w:ascii="Times New Roman" w:hAnsi="Times New Roman"/>
            <w:b w:val="false"/>
            <w:i w:val="false"/>
            <w:color w:val="000000"/>
            <w:sz w:val="22"/>
          </w:rPr>
          <w:t>41.2(49)</w:t>
        </w:r>
      </w:hyperlink>
      <w:r>
        <w:rPr>
          <w:rFonts w:ascii="Times New Roman" w:hAnsi="Times New Roman"/>
          <w:b w:val="false"/>
          <w:i w:val="false"/>
          <w:color w:val="000000"/>
          <w:sz w:val="22"/>
        </w:rPr>
        <w:t xml:space="preserve">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medical specialty board whose certification process has been recognized by the NRC or an agreement state and who meets the requirements in </w:t>
      </w:r>
      <w:hyperlink r:id="rId362">
        <w:r>
          <w:rPr>
            <w:rStyle w:val="Hyperlink"/>
            <w:rFonts w:ascii="Times New Roman" w:hAnsi="Times New Roman"/>
            <w:b w:val="false"/>
            <w:i w:val="false"/>
            <w:color w:val="000000"/>
            <w:sz w:val="22"/>
          </w:rPr>
          <w:t>41.2(73)</w:t>
        </w:r>
        <w:r>
          <w:rPr>
            <w:rFonts w:ascii="Times New Roman" w:hAnsi="Times New Roman"/>
            <w:b w:val="false"/>
            <w:i/>
            <w:color w:val="000000"/>
            <w:sz w:val="22"/>
          </w:rPr>
          <w:t>“c.”</w:t>
        </w:r>
      </w:hyperlink>
      <w:r>
        <w:rPr>
          <w:rFonts w:ascii="Times New Roman" w:hAnsi="Times New Roman"/>
          <w:b w:val="false"/>
          <w:i w:val="false"/>
          <w:color w:val="000000"/>
          <w:sz w:val="22"/>
        </w:rPr>
        <w:t> The names of board certification that have been recognized by the NRC or agreement state are posted on the NRC’s Medical Uses Licensee Toolkit web page. To have its certification process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minimum of three years of residency training in a radiation therapy program approved by the Residency Review Committee of the Accreditation Council for Graduate Medical Education or the Royal College of Physicians and Surgeons of Canada or the Committee on Post-Graduate Training of the American Osteopathic Association;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 an examination, administered by diplomats of the specialty board, which tests knowledge and competence in radiation safety, radionuclide handling, treatment planning, quality assurance, and clinical use of stereotactic radiosurgery, remote afterloaders, and external beam therapy;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completed a structured educational program in basic radionuclide techniques applicable to the use of a sealed source in a therapeutic medical unit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200 hours of classroom and laboratory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Mathematics pertaining to the use and measurement of radioactivity;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500 hours of work experience, under the supervision of an authorized user who meets the requirements in </w:t>
      </w:r>
      <w:hyperlink r:id="rId363">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or </w:t>
      </w:r>
      <w:hyperlink r:id="rId364">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at a medical facility that is authorized to use byproduct material in 41.2(49), involving: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Reviewing full calibration measurements and periodic spot checks;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Preparing treatment plans and calculating treatment doses and times;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administrative controls to prevent a medical event involving the use of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Implementing emergency procedures to be followed in the event of the abnormal operation of the medical unit or console;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Checking and using survey meters;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Selecting the proper dose and how it is to be administered;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completed three years of supervised clinical experience in radiation therapy under an authorized user who meets the requirements in </w:t>
      </w:r>
      <w:hyperlink r:id="rId365">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or </w:t>
      </w:r>
      <w:hyperlink r:id="rId366">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as part of a formal training program approved by the Residency Review Committee for Radiation Oncology of the Accreditation Council for Graduate Medical Education or the Royal College of Physicians and Surgeons of Canada or the Committee on Postdoctoral Training of the American Osteopathic Association. This experience may be obtained concurrently with the supervised work experience required by </w:t>
      </w:r>
      <w:hyperlink r:id="rId367">
        <w:r>
          <w:rPr>
            <w:rStyle w:val="Hyperlink"/>
            <w:rFonts w:ascii="Times New Roman" w:hAnsi="Times New Roman"/>
            <w:b w:val="false"/>
            <w:i w:val="false"/>
            <w:color w:val="000000"/>
            <w:sz w:val="22"/>
          </w:rPr>
          <w:t>41.2(73)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368">
        <w:r>
          <w:rPr>
            <w:rStyle w:val="Hyperlink"/>
            <w:rFonts w:ascii="Times New Roman" w:hAnsi="Times New Roman"/>
            <w:b w:val="false"/>
            <w:i w:val="false"/>
            <w:color w:val="000000"/>
            <w:sz w:val="22"/>
          </w:rPr>
          <w:t>41.2(73)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w:t>
      </w:r>
      <w:hyperlink r:id="rId369">
        <w:r>
          <w:rPr>
            <w:rStyle w:val="Hyperlink"/>
            <w:rFonts w:ascii="Times New Roman" w:hAnsi="Times New Roman"/>
            <w:b w:val="false"/>
            <w:i w:val="false"/>
            <w:color w:val="000000"/>
            <w:sz w:val="22"/>
          </w:rPr>
          <w:t>41.2(73)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is able to independently fulfill the radiation safety-related duties as an authorized user of each type of therapeutic medical unit for which the individual is requesting authorized user status.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preceptor authorized user who meets the requirements in </w:t>
      </w:r>
      <w:hyperlink r:id="rId370">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or </w:t>
      </w:r>
      <w:hyperlink r:id="rId37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for an authorized user for each type of therapeutic medical unit for which the individual is requesting authorized user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41.2(73), 41.2(75), or equivalent NRC or agreement state requirements, for the type(s) of therapeutic medical unit for which the individual is requesting authorized user status,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41.2(73)</w:t>
      </w:r>
      <w:r>
        <w:rPr>
          <w:rFonts w:ascii="Times New Roman" w:hAnsi="Times New Roman"/>
          <w:b w:val="false"/>
          <w:i/>
          <w:color w:val="000000"/>
          <w:sz w:val="22"/>
        </w:rPr>
        <w:t>“b”</w:t>
      </w:r>
      <w:r>
        <w:rPr>
          <w:rFonts w:ascii="Times New Roman" w:hAnsi="Times New Roman"/>
          <w:b w:val="false"/>
          <w:i w:val="false"/>
          <w:color w:val="000000"/>
          <w:sz w:val="22"/>
        </w:rPr>
        <w:t>(1) and (2);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received training in device operation, safety procedures, and clinical use for the type of use for which authorization is sought. This training requirement may be satisfied by satisfactory completion of a training program provided by the vendor for new users or by receiving training supervised by an authorized user or authorized medical physicist, as appropriate, who is authorized for the type of use for which the individual is seeking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41.2(74)</w:t>
      </w:r>
      <w:r>
        <w:rPr>
          <w:rFonts w:ascii="Times New Roman" w:hAnsi="Times New Roman"/>
          <w:b w:val="false"/>
          <w:i w:val="false"/>
          <w:color w:val="000000"/>
          <w:sz w:val="22"/>
        </w:rPr>
        <w:t> </w:t>
      </w:r>
      <w:r>
        <w:rPr>
          <w:rFonts w:ascii="Times New Roman" w:hAnsi="Times New Roman"/>
          <w:b w:val="false"/>
          <w:i/>
          <w:color w:val="000000"/>
          <w:sz w:val="22"/>
        </w:rPr>
        <w:t xml:space="preserve">Training for an authorized medical physicist. </w:t>
      </w:r>
      <w:r>
        <w:rPr>
          <w:rFonts w:ascii="Times New Roman" w:hAnsi="Times New Roman"/>
          <w:b w:val="false"/>
          <w:i w:val="false"/>
          <w:color w:val="000000"/>
          <w:sz w:val="22"/>
        </w:rPr>
        <w:t xml:space="preserve">Except as provided in </w:t>
      </w:r>
      <w:hyperlink r:id="rId372">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the authorized medical physicist to be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specialty board whose certification process has been recognized by the agency, NRC, or an agreement state and who meets the requirements in </w:t>
      </w:r>
      <w:hyperlink r:id="rId373">
        <w:r>
          <w:rPr>
            <w:rStyle w:val="Hyperlink"/>
            <w:rFonts w:ascii="Times New Roman" w:hAnsi="Times New Roman"/>
            <w:b w:val="false"/>
            <w:i w:val="false"/>
            <w:color w:val="000000"/>
            <w:sz w:val="22"/>
          </w:rPr>
          <w:t>41.2(74)</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names of the board certifications that have been recognized by the NRC or agreement state are posted on the NRC’s Medical Uses Licensee Toolkit web page. To have its certification process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master’s or doctor’s degree in physics, medical physics, other physical science, engineering, or applied mathematics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two years of either full-time practical training or supervised experience in medical physics: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Under the supervision of a medical physicist who is certified in medical physics by a specialty board recognized under this rule by the NRC or an agreement state;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clinical radiation facilities providing high-energy, external beam therapy (photons and electrons with energies greater than or equal to 1 million electron volts) and brachytherapy services under the direction of physicians who meet the requirements for authorized users in </w:t>
      </w:r>
      <w:hyperlink r:id="rId374">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w:t>
      </w:r>
      <w:hyperlink r:id="rId375">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or </w:t>
      </w:r>
      <w:hyperlink r:id="rId376">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 an examination, administered by diplomats of the specialty board, that assesses knowledge and competence in clinical radiation therapy, radiation safety, calibration, quality assurance, and treatment planning for external beam therapy, brachytherapy, and stereotactic radiosurgery;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master’s or doctor’s degree in physics, medical physics, other physical science, engineering, or applied mathematics from an accredited college or university; and has completed one year of full-time training in medical physics and an additional year of full-time work experience under the supervision of an individual who meets the requirements for an authorized medical physicist for the type of use for which the individual is seeking authorization. This training and work experience must be conducted in clinical radiation facilities that provide high-energy, external beam therapy (photons and electrons with energies greater than or equal to 1 million electron volts) and brachytherapy services and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Performing sealed source leak tests and inventories;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Performing decay corrections;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Performing full calibration and periodic spot checks of external beam treatment units, stereotactic radiosurgery units, and remote afterloading units, as applicable;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Conducting radiation surveys around external beam treatment units, stereotactic radiosurgery units, and remote afterloading units, as applicable;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377">
        <w:r>
          <w:rPr>
            <w:rStyle w:val="Hyperlink"/>
            <w:rFonts w:ascii="Times New Roman" w:hAnsi="Times New Roman"/>
            <w:b w:val="false"/>
            <w:i w:val="false"/>
            <w:color w:val="000000"/>
            <w:sz w:val="22"/>
          </w:rPr>
          <w:t>41.2(74)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is able to independently fulfill the radiation safety-related duties as an authorized medical physicist for each type of therapeutic medical unit for which the individual is requesting authorized medical physicist status. The written attestation must be signed by a preceptor authorized medical physicist who meets the requirements in </w:t>
      </w:r>
      <w:hyperlink r:id="rId378">
        <w:r>
          <w:rPr>
            <w:rStyle w:val="Hyperlink"/>
            <w:rFonts w:ascii="Times New Roman" w:hAnsi="Times New Roman"/>
            <w:b w:val="false"/>
            <w:i w:val="false"/>
            <w:color w:val="000000"/>
            <w:sz w:val="22"/>
          </w:rPr>
          <w:t>41.2(74)</w:t>
        </w:r>
      </w:hyperlink>
      <w:r>
        <w:rPr>
          <w:rFonts w:ascii="Times New Roman" w:hAnsi="Times New Roman"/>
          <w:b w:val="false"/>
          <w:i w:val="false"/>
          <w:color w:val="000000"/>
          <w:sz w:val="22"/>
        </w:rPr>
        <w:t xml:space="preserve"> or </w:t>
      </w:r>
      <w:hyperlink r:id="rId379">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equivalent NRC or agreement state requirements for an authorized medical physicist for each type of therapeutic medical unit for which the individual is requesting authorized medical physicist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training for the type of use for which authorization is sought that includes hands-on device operation, safety procedures, clinical use, and the operation of a treatment planning system. This training requirement may be satisfied by satisfactorily completing either a training program provided by the vendor or by training supervised by an authorized medical physicist who is authorized for the type of use for which the individual is seeking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41.2(75)</w:t>
      </w:r>
      <w:r>
        <w:rPr>
          <w:rFonts w:ascii="Times New Roman" w:hAnsi="Times New Roman"/>
          <w:b w:val="false"/>
          <w:i w:val="false"/>
          <w:color w:val="000000"/>
          <w:sz w:val="22"/>
        </w:rPr>
        <w:t> </w:t>
      </w:r>
      <w:r>
        <w:rPr>
          <w:rFonts w:ascii="Times New Roman" w:hAnsi="Times New Roman"/>
          <w:b w:val="false"/>
          <w:i/>
          <w:color w:val="000000"/>
          <w:sz w:val="22"/>
        </w:rPr>
        <w:t xml:space="preserve">Training for experienced radiation safety officer, authorized medical physicist, nuclear pharmacist, authorized nuclear pharmacist, authorized users and teletherapy or medical physicists.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identified on an NRC or agreement state license, on a permit issued by the NRC or agreement state broad scope licensee, on a master material license permit, or by a master material license permittee of broad scope as a radiation safety officer, a teletherapy or medical physicist, an authorized medical physicist, a nuclear pharmacist or an authorized nuclear pharmacist on or before July 22, 2020, need not comply with the training requirements of 41.2(65), 41.2(74), or 41.2(78), respectively, except the radiation safety officers and authorized medical physicists identified in this paragraph must meet the training requirements in 41.2(65)</w:t>
      </w:r>
      <w:r>
        <w:rPr>
          <w:rFonts w:ascii="Times New Roman" w:hAnsi="Times New Roman"/>
          <w:b w:val="false"/>
          <w:i/>
          <w:color w:val="000000"/>
          <w:sz w:val="22"/>
        </w:rPr>
        <w:t>“d”</w:t>
      </w:r>
      <w:r>
        <w:rPr>
          <w:rFonts w:ascii="Times New Roman" w:hAnsi="Times New Roman"/>
          <w:b w:val="false"/>
          <w:i w:val="false"/>
          <w:color w:val="000000"/>
          <w:sz w:val="22"/>
        </w:rPr>
        <w:t xml:space="preserve"> or 41.2(74)</w:t>
      </w:r>
      <w:r>
        <w:rPr>
          <w:rFonts w:ascii="Times New Roman" w:hAnsi="Times New Roman"/>
          <w:b w:val="false"/>
          <w:i/>
          <w:color w:val="000000"/>
          <w:sz w:val="22"/>
        </w:rPr>
        <w:t>“c,”</w:t>
      </w:r>
      <w:r>
        <w:rPr>
          <w:rFonts w:ascii="Times New Roman" w:hAnsi="Times New Roman"/>
          <w:b w:val="false"/>
          <w:i w:val="false"/>
          <w:color w:val="000000"/>
          <w:sz w:val="22"/>
        </w:rPr>
        <w:t xml:space="preserve"> as appropriate, for any material or uses for which they were not authorized prior to this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individual certified by the American Board of Health Physics in comprehensive health physics; American Board of Radiology; American Board of Nuclear Medicine; American Board of Science in Nuclear Medicine; Board of Pharmaceutical Specialties in Nuclear Pharmacy; American Board of Medical Physics in radiation oncology physics; Royal College of Physicians and Surgeons of Canada in nuclear medicine; American Osteopathic Board of Radiology; or American Osteopathic Board of Nuclear Medicine on or before October 24, 2005, need not comply with the training requirements of 41.2(65) to be identified as a radiation safety officer or as an associate radiation safety officer on an NRC or an agreement state license or NRC master material license permit for those materials and uses that these individuals performed on or before October 24,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individual certified by the American Board of Radiology in therapeutic radiological physics, roentgen ray and gamma ray physics, X-ray and radium physics, or radiological physics, or certified by the American Board of Medical Physics in radiation oncology physics, on or before October 24, 2005, need not comply with the training requirements for an authorized medical physicist described in 41.2(74), for those materials and uses that these individuals performed on or before October 24,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dentists, or podiatrists identified as authorized users for the medical use of byproduct material on a license issued by the NRC or agreement state, a permit issued by an NRC master material licensee, a permit issued by an NRC broad scope licensee, or a permit issued by an NRC master material license broad scope permittee before July 22, 2020, who perform only those medical uses for which they were authorized before that date need not comply with the training requirements of </w:t>
      </w:r>
      <w:hyperlink r:id="rId380">
        <w:r>
          <w:rPr>
            <w:rStyle w:val="Hyperlink"/>
            <w:rFonts w:ascii="Times New Roman" w:hAnsi="Times New Roman"/>
            <w:b w:val="false"/>
            <w:i w:val="false"/>
            <w:color w:val="000000"/>
            <w:sz w:val="22"/>
          </w:rPr>
          <w:t>41.2(67)</w:t>
        </w:r>
      </w:hyperlink>
      <w:r>
        <w:rPr>
          <w:rFonts w:ascii="Times New Roman" w:hAnsi="Times New Roman"/>
          <w:b w:val="false"/>
          <w:i w:val="false"/>
          <w:color w:val="000000"/>
          <w:sz w:val="22"/>
        </w:rPr>
        <w:t xml:space="preserve">, </w:t>
      </w:r>
      <w:hyperlink r:id="rId381">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w:t>
      </w:r>
      <w:hyperlink r:id="rId382">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w:t>
      </w:r>
      <w:hyperlink r:id="rId383">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w:t>
      </w:r>
      <w:hyperlink r:id="rId384">
        <w:r>
          <w:rPr>
            <w:rStyle w:val="Hyperlink"/>
            <w:rFonts w:ascii="Times New Roman" w:hAnsi="Times New Roman"/>
            <w:b w:val="false"/>
            <w:i w:val="false"/>
            <w:color w:val="000000"/>
            <w:sz w:val="22"/>
          </w:rPr>
          <w:t>41.2(71)</w:t>
        </w:r>
      </w:hyperlink>
      <w:r>
        <w:rPr>
          <w:rFonts w:ascii="Times New Roman" w:hAnsi="Times New Roman"/>
          <w:b w:val="false"/>
          <w:i w:val="false"/>
          <w:color w:val="000000"/>
          <w:sz w:val="22"/>
        </w:rPr>
        <w:t xml:space="preserve">, </w:t>
      </w:r>
      <w:hyperlink r:id="rId385">
        <w:r>
          <w:rPr>
            <w:rStyle w:val="Hyperlink"/>
            <w:rFonts w:ascii="Times New Roman" w:hAnsi="Times New Roman"/>
            <w:b w:val="false"/>
            <w:i w:val="false"/>
            <w:color w:val="000000"/>
            <w:sz w:val="22"/>
          </w:rPr>
          <w:t>41.2(72)</w:t>
        </w:r>
      </w:hyperlink>
      <w:r>
        <w:rPr>
          <w:rFonts w:ascii="Times New Roman" w:hAnsi="Times New Roman"/>
          <w:b w:val="false"/>
          <w:i w:val="false"/>
          <w:color w:val="000000"/>
          <w:sz w:val="22"/>
        </w:rPr>
        <w:t xml:space="preserve">, </w:t>
      </w:r>
      <w:hyperlink r:id="rId386">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w:t>
      </w:r>
      <w:hyperlink r:id="rId387">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t>
      </w:r>
      <w:hyperlink r:id="rId388">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w:t>
      </w:r>
      <w:hyperlink r:id="rId389">
        <w:r>
          <w:rPr>
            <w:rStyle w:val="Hyperlink"/>
            <w:rFonts w:ascii="Times New Roman" w:hAnsi="Times New Roman"/>
            <w:b w:val="false"/>
            <w:i w:val="false"/>
            <w:color w:val="000000"/>
            <w:sz w:val="22"/>
          </w:rPr>
          <w:t>41.2(89)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dentists, or podiatrists not identified as authorized users for the medical use of byproduct material issued by the NRC or agreement state, a permit issued by an NRC master material licensee, a permit issued by an NRC broad scope licensee, or a permit issued by an NRC master material license broad scope permittee who perform only those medical uses for which they were authorized on or before October 24, 2005, need not comply with the training requirements of </w:t>
      </w:r>
      <w:hyperlink r:id="rId390">
        <w:r>
          <w:rPr>
            <w:rStyle w:val="Hyperlink"/>
            <w:rFonts w:ascii="Times New Roman" w:hAnsi="Times New Roman"/>
            <w:b w:val="false"/>
            <w:i w:val="false"/>
            <w:color w:val="000000"/>
            <w:sz w:val="22"/>
          </w:rPr>
          <w:t>41.2(67)</w:t>
        </w:r>
      </w:hyperlink>
      <w:r>
        <w:rPr>
          <w:rFonts w:ascii="Times New Roman" w:hAnsi="Times New Roman"/>
          <w:b w:val="false"/>
          <w:i w:val="false"/>
          <w:color w:val="000000"/>
          <w:sz w:val="22"/>
        </w:rPr>
        <w:t xml:space="preserve">, </w:t>
      </w:r>
      <w:hyperlink r:id="rId391">
        <w:r>
          <w:rPr>
            <w:rStyle w:val="Hyperlink"/>
            <w:rFonts w:ascii="Times New Roman" w:hAnsi="Times New Roman"/>
            <w:b w:val="false"/>
            <w:i w:val="false"/>
            <w:color w:val="000000"/>
            <w:sz w:val="22"/>
          </w:rPr>
          <w:t>41.2(68)</w:t>
        </w:r>
      </w:hyperlink>
      <w:r>
        <w:rPr>
          <w:rFonts w:ascii="Times New Roman" w:hAnsi="Times New Roman"/>
          <w:b w:val="false"/>
          <w:i w:val="false"/>
          <w:color w:val="000000"/>
          <w:sz w:val="22"/>
        </w:rPr>
        <w:t xml:space="preserve">, </w:t>
      </w:r>
      <w:hyperlink r:id="rId392">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w:t>
      </w:r>
      <w:hyperlink r:id="rId393">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w:t>
      </w:r>
      <w:hyperlink r:id="rId394">
        <w:r>
          <w:rPr>
            <w:rStyle w:val="Hyperlink"/>
            <w:rFonts w:ascii="Times New Roman" w:hAnsi="Times New Roman"/>
            <w:b w:val="false"/>
            <w:i w:val="false"/>
            <w:color w:val="000000"/>
            <w:sz w:val="22"/>
          </w:rPr>
          <w:t>41.2(71)</w:t>
        </w:r>
      </w:hyperlink>
      <w:r>
        <w:rPr>
          <w:rFonts w:ascii="Times New Roman" w:hAnsi="Times New Roman"/>
          <w:b w:val="false"/>
          <w:i w:val="false"/>
          <w:color w:val="000000"/>
          <w:sz w:val="22"/>
        </w:rPr>
        <w:t xml:space="preserve">, </w:t>
      </w:r>
      <w:hyperlink r:id="rId395">
        <w:r>
          <w:rPr>
            <w:rStyle w:val="Hyperlink"/>
            <w:rFonts w:ascii="Times New Roman" w:hAnsi="Times New Roman"/>
            <w:b w:val="false"/>
            <w:i w:val="false"/>
            <w:color w:val="000000"/>
            <w:sz w:val="22"/>
          </w:rPr>
          <w:t>41.2(72)</w:t>
        </w:r>
      </w:hyperlink>
      <w:r>
        <w:rPr>
          <w:rFonts w:ascii="Times New Roman" w:hAnsi="Times New Roman"/>
          <w:b w:val="false"/>
          <w:i w:val="false"/>
          <w:color w:val="000000"/>
          <w:sz w:val="22"/>
        </w:rPr>
        <w:t xml:space="preserve">, </w:t>
      </w:r>
      <w:hyperlink r:id="rId396">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w:t>
      </w:r>
      <w:hyperlink r:id="rId397">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t>
      </w:r>
      <w:hyperlink r:id="rId398">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w:t>
      </w:r>
      <w:hyperlink r:id="rId399">
        <w:r>
          <w:rPr>
            <w:rStyle w:val="Hyperlink"/>
            <w:rFonts w:ascii="Times New Roman" w:hAnsi="Times New Roman"/>
            <w:b w:val="false"/>
            <w:i w:val="false"/>
            <w:color w:val="000000"/>
            <w:sz w:val="22"/>
          </w:rPr>
          <w:t>41.2(89)</w:t>
        </w:r>
      </w:hyperlink>
      <w:r>
        <w:rPr>
          <w:rFonts w:ascii="Times New Roman" w:hAnsi="Times New Roman"/>
          <w:b w:val="false"/>
          <w:i w:val="false"/>
          <w:color w:val="000000"/>
          <w:sz w:val="22"/>
        </w:rPr>
        <w:t xml:space="preserve"> for those materials and uses that these individuals performed on or before October 24, 2005,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uses authorized under 41.2(31) or 41.2(33), or oral administration of sodium iodide I-131 requiring a written directive for imaging and localization purposes, a physician who was certified on or before October 24, 2005, in nuclear medicine by the American Board of Nuclear Medicine; diagnostic radiology by the American Board of Radiology; diagnostic radiology or radiology by the American Osteopathic Board of Radiology; nuclear medicine by the Royal College of Physicians and Surgeons of Canada; or American Osteopathic Board of Nuclear Medicine in 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uses authorized under 41.2(37), a physician who was certified on or before October 24, 2005, by the American Board of Nuclear Medicine; the American Board of Radiology in radiology, therapeutic radiology, or radiation oncology; nuclear medicine by the Royal College of Physicians and Surgeons of Canada; or the American Osteopathic Board of Radiology after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uses authorized under 41.2(43) or 41.2(49), a physician who was certified on or before October 24, 2005, in radiology, therapeutic radiology or radiation oncology by the American Board of Radiology; radiation oncology by the American Osteopathic Board of Radiology; radiology, with specialization in radiotherapy, as a British “Fellow of the Faculty of Radiology” or “Fellow of the Royal College of Radiology”; or therapeutic radiology by the Canadian Royal College of Physicians and Surgeons;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uses authorized under 41.2(41), a physician who was certified on or before October 24, 2005, in radiology, diagnostic radiology, therapeutic radiology, or radiation oncology by the American Board of Radiology; nuclear medicine by the American Board of Nuclear Medicine; diagnostic radiology or radiology by the American Osteopathic Board of Radiology; or nuclear medicine by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Physicians, dentists, or podiatrists who used only accelerator-produced radioactive materials, discrete sources of radium-226, or both, for medical uses performed at a government agency or federally recognized Indian tribe before November 30, 2007, or at all other locations of use before August 8, 2009, or an earlier date as noticed by the NRC, need not comply with the training requirements of 41.2(67), 41.2(68), 41.2(69), 41.2(70), 41.2(71), 41.2(72), 41.2(73), 41.2(81), 41.2(82), or 41.2(89) when performing the same medical uses. A physician, dentist, or podiatrist, who used only accelerator-produced radioactive materials, discrete sources of radium-226, or both, for medical uses at the locations and time period identified in this paragraph, qualifies as an authorized user for those materials and uses performed before these dates,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 need not comply with training requirements as described in this subrule may serve as preceptors for, and supervisors of, applicants seeking authorization on an agency license for the same uses for which these individuals are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41.2(77)</w:t>
      </w:r>
      <w:r>
        <w:rPr>
          <w:rFonts w:ascii="Times New Roman" w:hAnsi="Times New Roman"/>
          <w:b w:val="false"/>
          <w:i w:val="false"/>
          <w:color w:val="000000"/>
          <w:sz w:val="22"/>
        </w:rPr>
        <w:t> </w:t>
      </w:r>
      <w:r>
        <w:rPr>
          <w:rFonts w:ascii="Times New Roman" w:hAnsi="Times New Roman"/>
          <w:b w:val="false"/>
          <w:i/>
          <w:color w:val="000000"/>
          <w:sz w:val="22"/>
        </w:rPr>
        <w:t xml:space="preserve">Recentness of training. </w:t>
      </w:r>
      <w:r>
        <w:rPr>
          <w:rFonts w:ascii="Times New Roman" w:hAnsi="Times New Roman"/>
          <w:b w:val="false"/>
          <w:i w:val="false"/>
          <w:color w:val="000000"/>
          <w:sz w:val="22"/>
        </w:rPr>
        <w:t xml:space="preserve">The training and experience specified in </w:t>
      </w:r>
      <w:hyperlink r:id="rId400">
        <w:r>
          <w:rPr>
            <w:rStyle w:val="Hyperlink"/>
            <w:rFonts w:ascii="Times New Roman" w:hAnsi="Times New Roman"/>
            <w:b w:val="false"/>
            <w:i w:val="false"/>
            <w:color w:val="000000"/>
            <w:sz w:val="22"/>
          </w:rPr>
          <w:t>41.2(65)</w:t>
        </w:r>
      </w:hyperlink>
      <w:r>
        <w:rPr>
          <w:rFonts w:ascii="Times New Roman" w:hAnsi="Times New Roman"/>
          <w:b w:val="false"/>
          <w:i w:val="false"/>
          <w:color w:val="000000"/>
          <w:sz w:val="22"/>
        </w:rPr>
        <w:t xml:space="preserve"> to </w:t>
      </w:r>
      <w:hyperlink r:id="rId401">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xml:space="preserve"> and </w:t>
      </w:r>
      <w:hyperlink r:id="rId402">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t>
      </w:r>
      <w:hyperlink r:id="rId403">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41.2(85), and </w:t>
      </w:r>
      <w:hyperlink r:id="rId404">
        <w:r>
          <w:rPr>
            <w:rStyle w:val="Hyperlink"/>
            <w:rFonts w:ascii="Times New Roman" w:hAnsi="Times New Roman"/>
            <w:b w:val="false"/>
            <w:i w:val="false"/>
            <w:color w:val="000000"/>
            <w:sz w:val="22"/>
          </w:rPr>
          <w:t>41.2(89)</w:t>
        </w:r>
      </w:hyperlink>
      <w:r>
        <w:rPr>
          <w:rFonts w:ascii="Times New Roman" w:hAnsi="Times New Roman"/>
          <w:b w:val="false"/>
          <w:i w:val="false"/>
          <w:color w:val="000000"/>
          <w:sz w:val="22"/>
        </w:rPr>
        <w:t xml:space="preserve"> shall have been obtained within the seven years preceding the date of application or the individual shall have had related continuing education and continuing applicable experience since the required training and experience were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41.2(78)</w:t>
      </w:r>
      <w:r>
        <w:rPr>
          <w:rFonts w:ascii="Times New Roman" w:hAnsi="Times New Roman"/>
          <w:b w:val="false"/>
          <w:i w:val="false"/>
          <w:color w:val="000000"/>
          <w:sz w:val="22"/>
        </w:rPr>
        <w:t> </w:t>
      </w:r>
      <w:r>
        <w:rPr>
          <w:rFonts w:ascii="Times New Roman" w:hAnsi="Times New Roman"/>
          <w:b w:val="false"/>
          <w:i/>
          <w:color w:val="000000"/>
          <w:sz w:val="22"/>
        </w:rPr>
        <w:t xml:space="preserve">Training for an authorized nuclear pharmacist. </w:t>
      </w:r>
      <w:r>
        <w:rPr>
          <w:rFonts w:ascii="Times New Roman" w:hAnsi="Times New Roman"/>
          <w:b w:val="false"/>
          <w:i w:val="false"/>
          <w:color w:val="000000"/>
          <w:sz w:val="22"/>
        </w:rPr>
        <w:t xml:space="preserve">Except as provided in </w:t>
      </w:r>
      <w:hyperlink r:id="rId405">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the authorized nuclear pharmacist to be a pharmacist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by a specialty board whose certification process has been recognized by the NRC or an agreement state. The names of board certifications that have been recognized by the NRC or an agreement state are posted on the NRC’s Medical Uses Licensee Toolkit web page. To have its certification process recognized, a specialty board shall require all candidates for certification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graduated from a pharmacy program accredited by the American Council on Pharmaceutical Education (ACPE) or have passed the Foreign Pharmacy Graduate Examination Committee (FPGEC)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 a current, active license to practice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evidence of having acquired at least 4,000 hours of combined training and experience in nuclear pharmacy practice. Academic training may be substituted for no more than 2,000 hours of the required training and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 an examination in nuclear pharmacy administered by diplomats of the specialty board that assesses knowledge and competency in procurement, compounding, quality assurance, dispensing, distribution, health and safety, radiation safety, provision of information and consultation, monitoring patient outcomes, research and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completed 700 hours in a structured education program consisting of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200 hours of classroom and laboratory training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Chemistry of radioactive material for medical use;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Supervised practical experience in a nuclear pharmacy involving: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Shipping, receiving, and performing related radiation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Using and performing checks for proper operation of instruments used to determine the activity of dosages, survey meters and, if appropriate, instruments used to measure alpha- or beta-emitting radionuclides;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Calculating, assaying, and safely preparing dosages for patients or human research subjects;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Using administrative controls to avoid medical events in the administration of byproduct material;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Using procedures to prevent or minimize radioactive contamination and using proper decontamination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obtained written attestation, signed by a preceptor authorized nuclear pharmacist, that the individual satisfactorily completed the requirements in 41.2(78)</w:t>
      </w:r>
      <w:r>
        <w:rPr>
          <w:rFonts w:ascii="Times New Roman" w:hAnsi="Times New Roman"/>
          <w:b w:val="false"/>
          <w:i/>
          <w:color w:val="000000"/>
          <w:sz w:val="22"/>
        </w:rPr>
        <w:t>“b”</w:t>
      </w:r>
      <w:r>
        <w:rPr>
          <w:rFonts w:ascii="Times New Roman" w:hAnsi="Times New Roman"/>
          <w:b w:val="false"/>
          <w:i w:val="false"/>
          <w:color w:val="000000"/>
          <w:sz w:val="22"/>
        </w:rPr>
        <w:t xml:space="preserve"> and is able to independently fulfill the radiation safety-related duties as an authorized nuclear pharmacist.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41.2(79)</w:t>
      </w:r>
      <w:r>
        <w:rPr>
          <w:rFonts w:ascii="Times New Roman" w:hAnsi="Times New Roman"/>
          <w:b w:val="false"/>
          <w:i w:val="false"/>
          <w:color w:val="000000"/>
          <w:sz w:val="22"/>
        </w:rPr>
        <w:t xml:space="preserve"> and </w:t>
      </w:r>
      <w:r>
        <w:rPr>
          <w:rFonts w:ascii="Times New Roman" w:hAnsi="Times New Roman"/>
          <w:b/>
          <w:i w:val="false"/>
          <w:color w:val="000000"/>
          <w:sz w:val="22"/>
        </w:rPr>
        <w:t>41.2(80)</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Training for the oral administration of sodium iodide I-131 requiring a written directive in quantities less than or equal to 33 millicuries (1.22 gigabecquerels). </w:t>
      </w:r>
      <w:r>
        <w:rPr>
          <w:rFonts w:ascii="Times New Roman" w:hAnsi="Times New Roman"/>
          <w:b w:val="false"/>
          <w:i w:val="false"/>
          <w:color w:val="000000"/>
          <w:sz w:val="22"/>
        </w:rPr>
        <w:t xml:space="preserve">Except as provided in </w:t>
      </w:r>
      <w:hyperlink r:id="rId406">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an authorized user for the oral administration of sodium iodide I-131 requiring a written directive in quantities less than or equal to 33 millicuries (1.22 gigabecquerels)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medical specialty board whose certification process includes all of the requirements in </w:t>
      </w:r>
      <w:hyperlink r:id="rId407">
        <w:r>
          <w:rPr>
            <w:rStyle w:val="Hyperlink"/>
            <w:rFonts w:ascii="Times New Roman" w:hAnsi="Times New Roman"/>
            <w:b w:val="false"/>
            <w:i w:val="false"/>
            <w:color w:val="000000"/>
            <w:sz w:val="22"/>
          </w:rPr>
          <w:t>41.2(81)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whose certification process has been recognized by the NRC or an agreement state. The names of the board certifications that have been recognized by the NRC or agreement state are posted on the NRC’s Medical Uses Licensee Toolkit web page;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408">
        <w:r>
          <w:rPr>
            <w:rStyle w:val="Hyperlink"/>
            <w:rFonts w:ascii="Times New Roman" w:hAnsi="Times New Roman"/>
            <w:b w:val="false"/>
            <w:i w:val="false"/>
            <w:color w:val="000000"/>
            <w:sz w:val="22"/>
          </w:rPr>
          <w:t>41.2(69)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for uses in the oral administration of less than or equal to 33 millicuries (1.22 gigabecquerels) of sodium iodide I-131 for which a written directive is required, or oral administration of greater than 33 millicuries (1.22 gigabecquerels) of sodium iodide I-131 or </w:t>
      </w:r>
      <w:hyperlink r:id="rId409">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80 hours of classroom and laboratory training, applicable to the medical use of sodium iodide I-131 for procedures requiring a written directive. The training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Chemistry of radioactive material for medical use;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Radiation biology;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work experience, under the supervision of an authorized user who meets the requirements in </w:t>
      </w:r>
      <w:hyperlink r:id="rId410">
        <w:r>
          <w:rPr>
            <w:rStyle w:val="Hyperlink"/>
            <w:rFonts w:ascii="Times New Roman" w:hAnsi="Times New Roman"/>
            <w:b w:val="false"/>
            <w:i w:val="false"/>
            <w:color w:val="000000"/>
            <w:sz w:val="22"/>
          </w:rPr>
          <w:t>41.2(69)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w:t>
      </w:r>
      <w:hyperlink r:id="rId41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w:t>
      </w:r>
      <w:hyperlink r:id="rId412">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or </w:t>
      </w:r>
      <w:hyperlink r:id="rId413">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equivalent NRC or agreement state requirements. A supervising authorized user who meets the requirements in </w:t>
      </w:r>
      <w:hyperlink r:id="rId414">
        <w:r>
          <w:rPr>
            <w:rStyle w:val="Hyperlink"/>
            <w:rFonts w:ascii="Times New Roman" w:hAnsi="Times New Roman"/>
            <w:b w:val="false"/>
            <w:i w:val="false"/>
            <w:color w:val="000000"/>
            <w:sz w:val="22"/>
          </w:rPr>
          <w:t>41.2(69)</w:t>
        </w:r>
        <w:r>
          <w:rPr>
            <w:rFonts w:ascii="Times New Roman" w:hAnsi="Times New Roman"/>
            <w:b w:val="false"/>
            <w:i/>
            <w:color w:val="000000"/>
            <w:sz w:val="22"/>
          </w:rPr>
          <w:t>“b”</w:t>
        </w:r>
      </w:hyperlink>
      <w:r>
        <w:rPr>
          <w:rFonts w:ascii="Times New Roman" w:hAnsi="Times New Roman"/>
          <w:b w:val="false"/>
          <w:i w:val="false"/>
          <w:color w:val="000000"/>
          <w:sz w:val="22"/>
        </w:rPr>
        <w:t xml:space="preserve"> must also have experience in administering dosages as follows: oral administration of less than or equal to 33 millicuries (1.22 gigabecquerels) of sodium iodide I-131, for which a written directive is required; or oral administration of greater than 33 millicuries (1.22 gigabecquerels) of sodium iodide I-131. The work experience must involve: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Performing quality control procedures on instruments used to determine the activity of dosages and performing checks for proper operation of survey meters;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Calculating, measuring, and safely preparing patient or human research subject dosages;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Using administrative controls to prevent a medical event involving the use of radioactive material;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Using procedures to contain spilled radioactive material safely and using proper decontamination procedures;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Administering dosages to patients or human research subjects that include at least three cases involving the oral administration of less than or equal to 33 millicuries (1.22 Gigabecquerels) of sodium iodide I-131;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415">
        <w:r>
          <w:rPr>
            <w:rStyle w:val="Hyperlink"/>
            <w:rFonts w:ascii="Times New Roman" w:hAnsi="Times New Roman"/>
            <w:b w:val="false"/>
            <w:i w:val="false"/>
            <w:color w:val="000000"/>
            <w:sz w:val="22"/>
          </w:rPr>
          <w:t>41.2(81)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is able to independently fulfill the radiation safety-related duties as an authorized user for oral administration of less than or equal to 1.22 gigabecquerels (33 millicuries) of sodium iodide (I-131) for medical uses authorized under </w:t>
      </w:r>
      <w:hyperlink r:id="rId416">
        <w:r>
          <w:rPr>
            <w:rStyle w:val="Hyperlink"/>
            <w:rFonts w:ascii="Times New Roman" w:hAnsi="Times New Roman"/>
            <w:b w:val="false"/>
            <w:i w:val="false"/>
            <w:color w:val="000000"/>
            <w:sz w:val="22"/>
          </w:rPr>
          <w:t>41.2(37)</w:t>
        </w:r>
      </w:hyperlink>
      <w:r>
        <w:rPr>
          <w:rFonts w:ascii="Times New Roman" w:hAnsi="Times New Roman"/>
          <w:b w:val="false"/>
          <w:i w:val="false"/>
          <w:color w:val="000000"/>
          <w:sz w:val="22"/>
        </w:rPr>
        <w:t>.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preceptor authorized user who meets the requirements in </w:t>
      </w:r>
      <w:hyperlink r:id="rId417">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w:t>
      </w:r>
      <w:hyperlink r:id="rId418">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w:t>
      </w:r>
      <w:hyperlink r:id="rId419">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or </w:t>
      </w:r>
      <w:hyperlink r:id="rId420">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equivalent NRC or agreement state requirements and has experience in administering dosages as follows: oral administration of less than or equal to 33 millicuries (1.22 gigabecquerels) of sodium iodide I-131, for which a written directive is required; or oral administration of greater than 33 millicuries (1.22 gigabecquerels) of sodium iodide I-131;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41.2(69), 41.2(75), 41.2(81), 41.2(82), or equivalent NRC or agreement state requirements; has experience in administering dosages orally as specified in 41.2(69)</w:t>
      </w:r>
      <w:r>
        <w:rPr>
          <w:rFonts w:ascii="Times New Roman" w:hAnsi="Times New Roman"/>
          <w:b w:val="false"/>
          <w:i/>
          <w:color w:val="000000"/>
          <w:sz w:val="22"/>
        </w:rPr>
        <w:t>“b”</w:t>
      </w:r>
      <w:r>
        <w:rPr>
          <w:rFonts w:ascii="Times New Roman" w:hAnsi="Times New Roman"/>
          <w:b w:val="false"/>
          <w:i w:val="false"/>
          <w:color w:val="000000"/>
          <w:sz w:val="22"/>
        </w:rPr>
        <w:t>(1)“2,” seventh bulleted paragraph;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41.2(81)</w:t>
      </w:r>
      <w:r>
        <w:rPr>
          <w:rFonts w:ascii="Times New Roman" w:hAnsi="Times New Roman"/>
          <w:b w:val="false"/>
          <w:i/>
          <w:color w:val="000000"/>
          <w:sz w:val="22"/>
        </w:rPr>
        <w:t>“c”</w:t>
      </w:r>
      <w:r>
        <w:rPr>
          <w:rFonts w:ascii="Times New Roman" w:hAnsi="Times New Roman"/>
          <w:b w:val="false"/>
          <w:i w:val="false"/>
          <w:color w:val="000000"/>
          <w:sz w:val="22"/>
        </w:rPr>
        <w:t xml:space="preserve">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Training for the oral administration of sodium iodide I-131 requiring a written directive in quantities greater than 33 millicuries (1.22 gigabecquerels). </w:t>
      </w:r>
      <w:r>
        <w:rPr>
          <w:rFonts w:ascii="Times New Roman" w:hAnsi="Times New Roman"/>
          <w:b w:val="false"/>
          <w:i w:val="false"/>
          <w:color w:val="000000"/>
          <w:sz w:val="22"/>
        </w:rPr>
        <w:t xml:space="preserve">Except as provided in </w:t>
      </w:r>
      <w:hyperlink r:id="rId42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an authorized user for the oral administration of sodium iodide I-131 requiring a written directive in quantities greater than 33 millicuries (1.22 gigabecquerels)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medical specialty board whose certification process includes all of the requirements in </w:t>
      </w:r>
      <w:hyperlink r:id="rId422">
        <w:r>
          <w:rPr>
            <w:rStyle w:val="Hyperlink"/>
            <w:rFonts w:ascii="Times New Roman" w:hAnsi="Times New Roman"/>
            <w:b w:val="false"/>
            <w:i w:val="false"/>
            <w:color w:val="000000"/>
            <w:sz w:val="22"/>
          </w:rPr>
          <w:t>41.2(82)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whose certification has been recognized by the NRC or agreement state. The names of the board certifications that have been recognized by the NRC or agreement state must be posted on the NRC’s Medical Uses Licensee Toolkit web page;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423">
        <w:r>
          <w:rPr>
            <w:rStyle w:val="Hyperlink"/>
            <w:rFonts w:ascii="Times New Roman" w:hAnsi="Times New Roman"/>
            <w:b w:val="false"/>
            <w:i w:val="false"/>
            <w:color w:val="000000"/>
            <w:sz w:val="22"/>
          </w:rPr>
          <w:t>41.2(69)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for oral administration of greater than 33 millicuries (1.22 gigabecquerels) of sodium iodide I-131 or meets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80 hours of classroom and laboratory training, applicable to the medical use of sodium iodide I-131 for procedures requiring a written directive. The training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Chemistry of radioactive material for medical use;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Radiation biology; and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work experience, under the supervision of an authorized user who meets the requirements in </w:t>
      </w:r>
      <w:hyperlink r:id="rId424">
        <w:r>
          <w:rPr>
            <w:rStyle w:val="Hyperlink"/>
            <w:rFonts w:ascii="Times New Roman" w:hAnsi="Times New Roman"/>
            <w:b w:val="false"/>
            <w:i w:val="false"/>
            <w:color w:val="000000"/>
            <w:sz w:val="22"/>
          </w:rPr>
          <w:t>41.2(69)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w:t>
      </w:r>
      <w:hyperlink r:id="rId425">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w:t>
      </w:r>
      <w:hyperlink r:id="rId426">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equivalent NRC or agreement state requirements. A supervising authorized user who meets the requirements in </w:t>
      </w:r>
      <w:hyperlink r:id="rId427">
        <w:r>
          <w:rPr>
            <w:rStyle w:val="Hyperlink"/>
            <w:rFonts w:ascii="Times New Roman" w:hAnsi="Times New Roman"/>
            <w:b w:val="false"/>
            <w:i w:val="false"/>
            <w:color w:val="000000"/>
            <w:sz w:val="22"/>
          </w:rPr>
          <w:t>41.2(69)</w:t>
        </w:r>
        <w:r>
          <w:rPr>
            <w:rFonts w:ascii="Times New Roman" w:hAnsi="Times New Roman"/>
            <w:b w:val="false"/>
            <w:i/>
            <w:color w:val="000000"/>
            <w:sz w:val="22"/>
          </w:rPr>
          <w:t>“b”</w:t>
        </w:r>
      </w:hyperlink>
      <w:r>
        <w:rPr>
          <w:rFonts w:ascii="Times New Roman" w:hAnsi="Times New Roman"/>
          <w:b w:val="false"/>
          <w:i w:val="false"/>
          <w:color w:val="000000"/>
          <w:sz w:val="22"/>
        </w:rPr>
        <w:t xml:space="preserve"> must also have experience in oral administration of greater than 33 millicuries (1.22 gigabecquerels) of sodium iodide I-131. The work experience must involve: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Performing quality control procedures on instruments used to determine the activity of dosages and performing checks for proper operation of survey meters;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Calculating, measuring, and safely preparing patient or human research subject dosages;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Using administrative controls to prevent a medical event involving the use of radioactive material;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Using procedures to contain spilled radioactive material safely and using proper decontamination procedures;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Administering dosages to patients or human research subjects that include at least three cases involving the oral administration of greater than 33 millicuries (1.22 gigabecquerels) of sodium iodide I-131;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Has obtained written attestation that the individual has satisfactorily completed the requirements in </w:t>
      </w:r>
      <w:hyperlink r:id="rId428">
        <w:r>
          <w:rPr>
            <w:rStyle w:val="Hyperlink"/>
            <w:rFonts w:ascii="Times New Roman" w:hAnsi="Times New Roman"/>
            <w:b w:val="false"/>
            <w:i w:val="false"/>
            <w:color w:val="000000"/>
            <w:sz w:val="22"/>
          </w:rPr>
          <w:t>41.2(82)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and is able to independently fulfill the radiation safety-related duties as an authorized user for oral administration of greater than or equal to 1.22 gigabecquerels (33 millicuries) of sodium iodide (I-131) for medical uses authorized in </w:t>
      </w:r>
      <w:hyperlink r:id="rId429">
        <w:r>
          <w:rPr>
            <w:rStyle w:val="Hyperlink"/>
            <w:rFonts w:ascii="Times New Roman" w:hAnsi="Times New Roman"/>
            <w:b w:val="false"/>
            <w:i w:val="false"/>
            <w:color w:val="000000"/>
            <w:sz w:val="22"/>
          </w:rPr>
          <w:t>41.2(37)</w:t>
        </w:r>
      </w:hyperlink>
      <w:r>
        <w:rPr>
          <w:rFonts w:ascii="Times New Roman" w:hAnsi="Times New Roman"/>
          <w:b w:val="false"/>
          <w:i w:val="false"/>
          <w:color w:val="000000"/>
          <w:sz w:val="22"/>
        </w:rPr>
        <w:t>.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preceptor authorized user who meets the requirements in </w:t>
      </w:r>
      <w:hyperlink r:id="rId430">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w:t>
      </w:r>
      <w:hyperlink r:id="rId43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w:t>
      </w:r>
      <w:hyperlink r:id="rId432">
        <w:r>
          <w:rPr>
            <w:rStyle w:val="Hyperlink"/>
            <w:rFonts w:ascii="Times New Roman" w:hAnsi="Times New Roman"/>
            <w:b w:val="false"/>
            <w:i w:val="false"/>
            <w:color w:val="000000"/>
            <w:sz w:val="22"/>
          </w:rPr>
          <w:t>41.2(82)</w:t>
        </w:r>
      </w:hyperlink>
      <w:r>
        <w:rPr>
          <w:rFonts w:ascii="Times New Roman" w:hAnsi="Times New Roman"/>
          <w:b w:val="false"/>
          <w:i w:val="false"/>
          <w:color w:val="000000"/>
          <w:sz w:val="22"/>
        </w:rPr>
        <w:t xml:space="preserve"> or equivalent NRC or agreement state requirements and has experience in oral administration of greater than 33 millicuries (1.22 gigabecquerels) of sodium iodide I-131;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41.2(69), 41.2(75), 41.2(82), or equivalent NRC or agreement state requirements; has experience in administering dosages orally with greater than 33 millicuries of sodium iodide I-131, as specified in 41.2(69)</w:t>
      </w:r>
      <w:r>
        <w:rPr>
          <w:rFonts w:ascii="Times New Roman" w:hAnsi="Times New Roman"/>
          <w:b w:val="false"/>
          <w:i/>
          <w:color w:val="000000"/>
          <w:sz w:val="22"/>
        </w:rPr>
        <w:t>“b”</w:t>
      </w:r>
      <w:r>
        <w:rPr>
          <w:rFonts w:ascii="Times New Roman" w:hAnsi="Times New Roman"/>
          <w:b w:val="false"/>
          <w:i w:val="false"/>
          <w:color w:val="000000"/>
          <w:sz w:val="22"/>
        </w:rPr>
        <w:t>(1)“2,” seventh bulleted paragraph;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41.2(82)</w:t>
      </w:r>
      <w:r>
        <w:rPr>
          <w:rFonts w:ascii="Times New Roman" w:hAnsi="Times New Roman"/>
          <w:b w:val="false"/>
          <w:i/>
          <w:color w:val="000000"/>
          <w:sz w:val="22"/>
        </w:rPr>
        <w:t>“c”</w:t>
      </w:r>
      <w:r>
        <w:rPr>
          <w:rFonts w:ascii="Times New Roman" w:hAnsi="Times New Roman"/>
          <w:b w:val="false"/>
          <w:i w:val="false"/>
          <w:color w:val="000000"/>
          <w:sz w:val="22"/>
        </w:rPr>
        <w:t xml:space="preserve"> (1)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Provisions for the protection of human research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conduct research involving human research subjects only if the licensee uses the radioactive materials authorized on its specific license for the uses authorized on its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research is conducted, funded, supported, or regulated by another federal agency that has implemented Federal Policy for the Protection of Human Subjects (Federal Policy), the licensee shall, before conducting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review and approval of the research from an “Institutional Review Board,” as defined and described in the Federal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“informed consent,” as defined and described in the Federal Policy, from the human research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research will not be conducted, funded, supported, or regulated by another federal agency that has implemented the Federal Policy, the licensee shall, before conducting research, apply for and receive a specific amendment to its medical use license. The amendment request must include a written commitment that the licensee will, before conducting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review and approval of the research from an “Institutional Review Board,” as defined and described in the Federal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“informed consent,” as defined and described in the Federal Policy, from the human research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licensee from complying with the other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41.2(84)</w:t>
      </w:r>
      <w:r>
        <w:rPr>
          <w:rFonts w:ascii="Times New Roman" w:hAnsi="Times New Roman"/>
          <w:b w:val="false"/>
          <w:i w:val="false"/>
          <w:color w:val="000000"/>
          <w:sz w:val="22"/>
        </w:rPr>
        <w:t> </w:t>
      </w:r>
      <w:r>
        <w:rPr>
          <w:rFonts w:ascii="Times New Roman" w:hAnsi="Times New Roman"/>
          <w:b w:val="false"/>
          <w:i/>
          <w:color w:val="000000"/>
          <w:sz w:val="22"/>
        </w:rPr>
        <w:t xml:space="preserve">Calibration measurements of brachytherapy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first medical use of a brachytherapy source on or after January 1, 2003, a licensee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the source output or activity using a dosimetry system that meets the requirements of </w:t>
      </w:r>
      <w:hyperlink r:id="rId433">
        <w:r>
          <w:rPr>
            <w:rStyle w:val="Hyperlink"/>
            <w:rFonts w:ascii="Times New Roman" w:hAnsi="Times New Roman"/>
            <w:b w:val="false"/>
            <w:i w:val="false"/>
            <w:color w:val="000000"/>
            <w:sz w:val="22"/>
          </w:rPr>
          <w:t>41.2(57)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Determined the source positioning accuracy within applicators;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Used published protocols currently accepted by nationally recognized bodies to meet the requirements of </w:t>
      </w:r>
      <w:hyperlink r:id="rId434">
        <w:r>
          <w:rPr>
            <w:rStyle w:val="Hyperlink"/>
            <w:rFonts w:ascii="Times New Roman" w:hAnsi="Times New Roman"/>
            <w:b w:val="false"/>
            <w:i w:val="false"/>
            <w:color w:val="000000"/>
            <w:sz w:val="22"/>
          </w:rPr>
          <w:t>41.2(84)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use measurements that are provided by the source manufacturer or by a calibration laboratory accredited by the American Association of Physicists in Medicine and that are made in accordance with </w:t>
      </w:r>
      <w:hyperlink r:id="rId435">
        <w:r>
          <w:rPr>
            <w:rStyle w:val="Hyperlink"/>
            <w:rFonts w:ascii="Times New Roman" w:hAnsi="Times New Roman"/>
            <w:b w:val="false"/>
            <w:i w:val="false"/>
            <w:color w:val="000000"/>
            <w:sz w:val="22"/>
          </w:rPr>
          <w:t>41.2(84)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mathematically correct the outputs or activities determined in </w:t>
      </w:r>
      <w:hyperlink r:id="rId436">
        <w:r>
          <w:rPr>
            <w:rStyle w:val="Hyperlink"/>
            <w:rFonts w:ascii="Times New Roman" w:hAnsi="Times New Roman"/>
            <w:b w:val="false"/>
            <w:i w:val="false"/>
            <w:color w:val="000000"/>
            <w:sz w:val="22"/>
          </w:rPr>
          <w:t>41.2(84)</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physical decay at intervals consistent with 1 percent physical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retain a record of each calibration for three years after the last use of the source. The record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model number, and serial number for the source and the instruments used to calibrate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source output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source positioning accuracy within the applicators;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authorized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41.2(85)</w:t>
      </w:r>
      <w:r>
        <w:rPr>
          <w:rFonts w:ascii="Times New Roman" w:hAnsi="Times New Roman"/>
          <w:b w:val="false"/>
          <w:i w:val="false"/>
          <w:color w:val="000000"/>
          <w:sz w:val="22"/>
        </w:rPr>
        <w:t> </w:t>
      </w:r>
      <w:r>
        <w:rPr>
          <w:rFonts w:ascii="Times New Roman" w:hAnsi="Times New Roman"/>
          <w:b w:val="false"/>
          <w:i/>
          <w:color w:val="000000"/>
          <w:sz w:val="22"/>
        </w:rPr>
        <w:t xml:space="preserve"> Strontium-90 sources for ophthalmic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who use strontium-90 for ophthalmic treatments must ensure that certain activities as specified in 41.2(85)</w:t>
      </w:r>
      <w:r>
        <w:rPr>
          <w:rFonts w:ascii="Times New Roman" w:hAnsi="Times New Roman"/>
          <w:b w:val="false"/>
          <w:i/>
          <w:color w:val="000000"/>
          <w:sz w:val="22"/>
        </w:rPr>
        <w:t>“b”</w:t>
      </w:r>
      <w:r>
        <w:rPr>
          <w:rFonts w:ascii="Times New Roman" w:hAnsi="Times New Roman"/>
          <w:b w:val="false"/>
          <w:i w:val="false"/>
          <w:color w:val="000000"/>
          <w:sz w:val="22"/>
        </w:rPr>
        <w:t xml:space="preserve"> are performed by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medical physicist;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identified as an ophthalmic physicist on a specific medical use license issued by the NRC or an agreement state, permit issued by an NRC or agreement state broad scope medical use licensee, medical use permit issued by an NRC master material licensee, or permit issued by an NRC master material licensee broad scope medical use permittee;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master’s or doctor’s degree in physics, medical physics, other physical sciences, engineering, or applied mathematics from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one year of full-time training in medical physics and an additional year of full-time work experience under the supervision of a medical physicist;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documented training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creation, modification, and completion of written directives;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Procedures for administrations requiring a written directive;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Performing the calibration measurements of brachytherapy sources as detailed in 41.2(84).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who are identified in 41.2(85)</w:t>
      </w:r>
      <w:r>
        <w:rPr>
          <w:rFonts w:ascii="Times New Roman" w:hAnsi="Times New Roman"/>
          <w:b w:val="false"/>
          <w:i/>
          <w:color w:val="000000"/>
          <w:sz w:val="22"/>
        </w:rPr>
        <w:t>“a”</w:t>
      </w:r>
      <w:r>
        <w:rPr>
          <w:rFonts w:ascii="Times New Roman" w:hAnsi="Times New Roman"/>
          <w:b w:val="false"/>
          <w:i w:val="false"/>
          <w:color w:val="000000"/>
          <w:sz w:val="22"/>
        </w:rPr>
        <w:t xml:space="preserv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Calculate the activity of each strontium-90 source that is used to determine the treatment times for ophthalmic treatments. The decay must be based on the activity determined under 41.2(84);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 the licensee in developing, implementing, and maintaining written procedures to provide high confidence that the administration is in accordance with the written directive. These procedures must include the frequencies that the individual meeting the requirements in 41.2(85)</w:t>
      </w:r>
      <w:r>
        <w:rPr>
          <w:rFonts w:ascii="Times New Roman" w:hAnsi="Times New Roman"/>
          <w:b w:val="false"/>
          <w:i/>
          <w:color w:val="000000"/>
          <w:sz w:val="22"/>
        </w:rPr>
        <w:t>“a”</w:t>
      </w:r>
      <w:r>
        <w:rPr>
          <w:rFonts w:ascii="Times New Roman" w:hAnsi="Times New Roman"/>
          <w:b w:val="false"/>
          <w:i w:val="false"/>
          <w:color w:val="000000"/>
          <w:sz w:val="22"/>
        </w:rPr>
        <w:t xml:space="preserve"> will observe treatments, review the treatment methodology, calculate treatment time for the prescribed dose, and review records to verify that the administrations were in accordance with the written directives.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retain a record of the activity of each strontium-90 source for the life of the source. The record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initial activity of the source under 41.2(84);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decay calculation, the date and the source activity as determined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41.2(86)</w:t>
      </w:r>
      <w:r>
        <w:rPr>
          <w:rFonts w:ascii="Times New Roman" w:hAnsi="Times New Roman"/>
          <w:b w:val="false"/>
          <w:i w:val="false"/>
          <w:color w:val="000000"/>
          <w:sz w:val="22"/>
        </w:rPr>
        <w:t> </w:t>
      </w:r>
      <w:r>
        <w:rPr>
          <w:rFonts w:ascii="Times New Roman" w:hAnsi="Times New Roman"/>
          <w:b w:val="false"/>
          <w:i/>
          <w:color w:val="000000"/>
          <w:sz w:val="22"/>
        </w:rPr>
        <w:t xml:space="preserve">Therapy-related computer systems. </w:t>
      </w:r>
      <w:r>
        <w:rPr>
          <w:rFonts w:ascii="Times New Roman" w:hAnsi="Times New Roman"/>
          <w:b w:val="false"/>
          <w:i w:val="false"/>
          <w:color w:val="000000"/>
          <w:sz w:val="22"/>
        </w:rPr>
        <w:t>The licensee shall perform acceptance testing on the treatment planning system of therapy-related computer systems in accordance with published protocols accepted by nationally recognized bodies. At a minimum, the acceptance must include, as applicable, verification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source-specific input parameters required by the dose calculation algorithm;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accuracy of dose, dwell time, and treatment time calculations at representative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accuracy of isodose plots and graphic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accuracy of the software used to determine sealed source positions from radiographic images;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accuracy of electronic transfer of the treatment delivery parameters to the treatment delivery unit from the treatment planning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41.2(87)</w:t>
      </w:r>
      <w:r>
        <w:rPr>
          <w:rFonts w:ascii="Times New Roman" w:hAnsi="Times New Roman"/>
          <w:b w:val="false"/>
          <w:i w:val="false"/>
          <w:color w:val="000000"/>
          <w:sz w:val="22"/>
        </w:rPr>
        <w:t> </w:t>
      </w:r>
      <w:r>
        <w:rPr>
          <w:rFonts w:ascii="Times New Roman" w:hAnsi="Times New Roman"/>
          <w:b w:val="false"/>
          <w:i/>
          <w:color w:val="000000"/>
          <w:sz w:val="22"/>
        </w:rPr>
        <w:t xml:space="preserve">Written directives. </w:t>
      </w:r>
      <w:r>
        <w:rPr>
          <w:rFonts w:ascii="Times New Roman" w:hAnsi="Times New Roman"/>
          <w:b w:val="false"/>
          <w:i w:val="false"/>
          <w:color w:val="000000"/>
          <w:sz w:val="22"/>
        </w:rPr>
        <w:t>Each licensee or registrant shall meet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directive must be dated and signed by an authorized user before the administration of I-131 sodium iodide greater than 30 microcuries, any therapeutic dosage of unsealed byproduct material or any therapeutic dose of radiation from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because of the emergent nature of the patient’s condition, a delay in order to provide a written directive would jeopardize the patient’s health, an oral directive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information contained in the oral directive must be documented as soon as possible in writing in the patient’s record. A written directive must be prepared within 48 hours of the oral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administration, a written directive must contain the patient’s or human research subject’s name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administration of quantities greater than 30 microcuries of sodium iodide I-131: the dosage;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therapeutic administration of a radiopharmaceutical other than sodium iodide I-131: the radiopharmaceutical, dosage, and route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gamma stereotactic radiosurgery: the total dose, treatment site, and values for the target coordinate setting per treatment for each anatomically distinct treatment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teletherapy: the total dose, dose per fraction, number of fractions, treatment site, and overall treatment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high-dose-rate remote afterloading brachytherapy: the radionuclide, treatment site, dose per fraction, number of fractions and total 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permanent implant brachytherapy: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implantation: the treatment site, the radionuclide, and the total source strength;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implantation but before the patient leaves the post-treatment recovery area: the treatment site, the number of sources implanted, the total source strength implanted, and the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all other brachytherapy, including low-, medium-, and pulsed-dose-rate remote afterloaders: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to implantation: treatment site, the radionuclide, and dose;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implantation but prior to completion of the procedure: the radionuclide, treatment site, number of sources, total source strength and exposure time (or, equivalently, the total dose), and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therapeutic use of radiation machines, see </w:t>
      </w:r>
      <w:hyperlink r:id="rId437">
        <w:r>
          <w:rPr>
            <w:rStyle w:val="Hyperlink"/>
            <w:rFonts w:ascii="Times New Roman" w:hAnsi="Times New Roman"/>
            <w:b w:val="false"/>
            <w:i w:val="false"/>
            <w:color w:val="000000"/>
            <w:sz w:val="22"/>
          </w:rPr>
          <w:t>41.3(14)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each administration, the patient’s or human research subject’s identity is verified by more than one method as the individual named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final plans of treatment and related calculations for brachytherapy, teletherapy, and gamma stereotactic radiosurgery are in accordance with the respective written directives.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administration is in accordance with the written directive through checking both manual and computer-generated dose calculations and verifying that any computer-generated dose calculations are correctly transferred into the consoles of the medical units authorized by </w:t>
      </w:r>
      <w:hyperlink r:id="rId438">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Determine if a reportable medical event, as described in 641—38.2(136C),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Determine, for a permanent implant brachytherapy, within 60 calendar days from the date the implant was performed, the total source strength administered outside of the treatment site compared to the total source strength documented in the postimplantation portion of the written directive, unless a written justification of patient unavailability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revision to an existing written directive may be made if the revision is dated and signed by an authorized user before the administration of the dosage of unsealed byproduct material, the brachytherapy dose, the gamma stereotactic radiosurgery dose, the teletherapy dose, or the next fractional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because of the patient’s condition, a delay in order to provide a written revision to an existing written directive would jeopardize the patient’s health, an oral revision to an existing written directive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oral revision must be documented as soon as possible in the patient’s record. A revised written directive must be signed by the authorized user within 48 hours of the oral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copy of the written directive in auditable form shall be retained for three years after the date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41.2(88)</w:t>
      </w:r>
      <w:r>
        <w:rPr>
          <w:rFonts w:ascii="Times New Roman" w:hAnsi="Times New Roman"/>
          <w:b w:val="false"/>
          <w:i w:val="false"/>
          <w:color w:val="000000"/>
          <w:sz w:val="22"/>
        </w:rPr>
        <w:t> </w:t>
      </w:r>
      <w:r>
        <w:rPr>
          <w:rFonts w:ascii="Times New Roman" w:hAnsi="Times New Roman"/>
          <w:b w:val="false"/>
          <w:i/>
          <w:color w:val="000000"/>
          <w:sz w:val="22"/>
        </w:rPr>
        <w:t xml:space="preserve">Other medical uses of byproduct material or radiation from byproduct material. </w:t>
      </w:r>
      <w:r>
        <w:rPr>
          <w:rFonts w:ascii="Times New Roman" w:hAnsi="Times New Roman"/>
          <w:b w:val="false"/>
          <w:i w:val="false"/>
          <w:color w:val="000000"/>
          <w:sz w:val="22"/>
        </w:rPr>
        <w:t xml:space="preserve">A licensee may use byproduct material or a radiation source approved for medical use which is not specifically addressed in </w:t>
      </w:r>
      <w:hyperlink r:id="rId439">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(e.g., Y-90 microspheres, liquid brachytherapy, intravascular brachytherapy)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has submitted the information required by the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has received written approval from the agency in a license or license amendment and uses the material in accordance with the regulations and specific conditions the agency considers necessary for the medical use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41.2(89)</w:t>
      </w:r>
      <w:r>
        <w:rPr>
          <w:rFonts w:ascii="Times New Roman" w:hAnsi="Times New Roman"/>
          <w:b w:val="false"/>
          <w:i w:val="false"/>
          <w:color w:val="000000"/>
          <w:sz w:val="22"/>
        </w:rPr>
        <w:t> </w:t>
      </w:r>
      <w:r>
        <w:rPr>
          <w:rFonts w:ascii="Times New Roman" w:hAnsi="Times New Roman"/>
          <w:b w:val="false"/>
          <w:i/>
          <w:color w:val="000000"/>
          <w:sz w:val="22"/>
        </w:rPr>
        <w:t xml:space="preserve">Training for the parenteral administration of unsealed byproduct material requiring a written directive.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40">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the licensee shall require an authorized user for the parenteral administration requiring a written directive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441">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for parenteral administration uses listed in 41.2(69)</w:t>
      </w:r>
      <w:r>
        <w:rPr>
          <w:rFonts w:ascii="Times New Roman" w:hAnsi="Times New Roman"/>
          <w:b w:val="false"/>
          <w:i/>
          <w:color w:val="000000"/>
          <w:sz w:val="22"/>
        </w:rPr>
        <w:t>“b”</w:t>
      </w:r>
      <w:r>
        <w:rPr>
          <w:rFonts w:ascii="Times New Roman" w:hAnsi="Times New Roman"/>
          <w:b w:val="false"/>
          <w:i w:val="false"/>
          <w:color w:val="000000"/>
          <w:sz w:val="22"/>
        </w:rPr>
        <w:t>(1)“2,” seventh bulleted paragraph, or equivalent NRC or agreement state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an authorized user under </w:t>
      </w:r>
      <w:hyperlink r:id="rId442">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or </w:t>
      </w:r>
      <w:hyperlink r:id="rId443">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or equivalent NRC or agreement state requirements, and who meets the requirements in 41.2(89)</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certified by a medical specialty board whose certification process has been recognized by the NRC or an agreement state under </w:t>
      </w:r>
      <w:hyperlink r:id="rId444">
        <w:r>
          <w:rPr>
            <w:rStyle w:val="Hyperlink"/>
            <w:rFonts w:ascii="Times New Roman" w:hAnsi="Times New Roman"/>
            <w:b w:val="false"/>
            <w:i w:val="false"/>
            <w:color w:val="000000"/>
            <w:sz w:val="22"/>
          </w:rPr>
          <w:t>41.2(70)</w:t>
        </w:r>
      </w:hyperlink>
      <w:r>
        <w:rPr>
          <w:rFonts w:ascii="Times New Roman" w:hAnsi="Times New Roman"/>
          <w:b w:val="false"/>
          <w:i w:val="false"/>
          <w:color w:val="000000"/>
          <w:sz w:val="22"/>
        </w:rPr>
        <w:t xml:space="preserve"> or </w:t>
      </w:r>
      <w:hyperlink r:id="rId445">
        <w:r>
          <w:rPr>
            <w:rStyle w:val="Hyperlink"/>
            <w:rFonts w:ascii="Times New Roman" w:hAnsi="Times New Roman"/>
            <w:b w:val="false"/>
            <w:i w:val="false"/>
            <w:color w:val="000000"/>
            <w:sz w:val="22"/>
          </w:rPr>
          <w:t>41.2(73)</w:t>
        </w:r>
      </w:hyperlink>
      <w:r>
        <w:rPr>
          <w:rFonts w:ascii="Times New Roman" w:hAnsi="Times New Roman"/>
          <w:b w:val="false"/>
          <w:i w:val="false"/>
          <w:color w:val="000000"/>
          <w:sz w:val="22"/>
        </w:rPr>
        <w:t xml:space="preserve"> and who meets the requirements in 41.2(89)</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80 hours of classroom and laboratory training, applicable to parenteral administrations listed in 41.2(69)</w:t>
      </w:r>
      <w:r>
        <w:rPr>
          <w:rFonts w:ascii="Times New Roman" w:hAnsi="Times New Roman"/>
          <w:b w:val="false"/>
          <w:i/>
          <w:color w:val="000000"/>
          <w:sz w:val="22"/>
        </w:rPr>
        <w:t>“b”</w:t>
      </w:r>
      <w:r>
        <w:rPr>
          <w:rFonts w:ascii="Times New Roman" w:hAnsi="Times New Roman"/>
          <w:b w:val="false"/>
          <w:i w:val="false"/>
          <w:color w:val="000000"/>
          <w:sz w:val="22"/>
        </w:rPr>
        <w:t>(1)“2,” seventh bulleted paragraph. The training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Mathematics pertaining to the use and measurement of radioactivity;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Chemistry of radioactive material for medical use;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Radiation biology;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work experience, under the supervision of an authorized user who meets the requirements in </w:t>
      </w:r>
      <w:hyperlink r:id="rId446">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w:t>
      </w:r>
      <w:hyperlink r:id="rId447">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w:t>
      </w:r>
      <w:hyperlink r:id="rId448">
        <w:r>
          <w:rPr>
            <w:rStyle w:val="Hyperlink"/>
            <w:rFonts w:ascii="Times New Roman" w:hAnsi="Times New Roman"/>
            <w:b w:val="false"/>
            <w:i w:val="false"/>
            <w:color w:val="000000"/>
            <w:sz w:val="22"/>
          </w:rPr>
          <w:t>41.2(89)</w:t>
        </w:r>
      </w:hyperlink>
      <w:r>
        <w:rPr>
          <w:rFonts w:ascii="Times New Roman" w:hAnsi="Times New Roman"/>
          <w:b w:val="false"/>
          <w:i w:val="false"/>
          <w:color w:val="000000"/>
          <w:sz w:val="22"/>
        </w:rPr>
        <w:t xml:space="preserve"> or equivalent NRC or agreement state requirements, in the parenteral administration listed in 41.2(69)</w:t>
      </w:r>
      <w:r>
        <w:rPr>
          <w:rFonts w:ascii="Times New Roman" w:hAnsi="Times New Roman"/>
          <w:b w:val="false"/>
          <w:i/>
          <w:color w:val="000000"/>
          <w:sz w:val="22"/>
        </w:rPr>
        <w:t>“b”</w:t>
      </w:r>
      <w:r>
        <w:rPr>
          <w:rFonts w:ascii="Times New Roman" w:hAnsi="Times New Roman"/>
          <w:b w:val="false"/>
          <w:i w:val="false"/>
          <w:color w:val="000000"/>
          <w:sz w:val="22"/>
        </w:rPr>
        <w:t xml:space="preserve">(1)“2,” seventh bulleted paragraph. A supervising authorized user who meets the requirements in </w:t>
      </w:r>
      <w:hyperlink r:id="rId449">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41.2(89), or equivalent NRC or agreement state requirements must have experience in administering dosages in the same category or categories as the individual requesting authorized user status. The work experience must involve: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Ordering, receiving, and unpacking radioactive materials safely, and performing the related radiation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Performing quality control procedures on instruments used to determine the activity of dosages, and performing checks for proper operation of survey meters;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Calculating, measuring, and safely preparing patient or human research subject dosages;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Using administrative controls to prevent a medical event involving the use of unsealed byproduct material;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Using procedures to contain spilled byproduct material safely, and using proper decontamination procedures;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Administering dosages to patients or human research subjects, that include at least three cases involving the parenteral administration as specified in 41.2(69)</w:t>
      </w:r>
      <w:r>
        <w:rPr>
          <w:rFonts w:ascii="Times New Roman" w:hAnsi="Times New Roman"/>
          <w:b w:val="false"/>
          <w:i/>
          <w:color w:val="000000"/>
          <w:sz w:val="22"/>
        </w:rPr>
        <w:t>“b”</w:t>
      </w:r>
      <w:r>
        <w:rPr>
          <w:rFonts w:ascii="Times New Roman" w:hAnsi="Times New Roman"/>
          <w:b w:val="false"/>
          <w:i w:val="false"/>
          <w:color w:val="000000"/>
          <w:sz w:val="22"/>
        </w:rPr>
        <w:t>(1)“2,” seventh bulleted paragraph;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obtained written attestation that the individual has satisfactorily completed the requirements in 41.2(89)</w:t>
      </w:r>
      <w:r>
        <w:rPr>
          <w:rFonts w:ascii="Times New Roman" w:hAnsi="Times New Roman"/>
          <w:b w:val="false"/>
          <w:i/>
          <w:color w:val="000000"/>
          <w:sz w:val="22"/>
        </w:rPr>
        <w:t>“b”</w:t>
      </w:r>
      <w:r>
        <w:rPr>
          <w:rFonts w:ascii="Times New Roman" w:hAnsi="Times New Roman"/>
          <w:b w:val="false"/>
          <w:i w:val="false"/>
          <w:color w:val="000000"/>
          <w:sz w:val="22"/>
        </w:rPr>
        <w:t>(1) or (2), and is able to independently fulfill the radiation safety-related duties as an authorized user for the parenteral administration of unsealed byproduct material requiring a written directive. The attestation must be obtained from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preceptor authorized user who meets the requirements in </w:t>
      </w:r>
      <w:hyperlink r:id="rId450">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xml:space="preserve">, </w:t>
      </w:r>
      <w:hyperlink r:id="rId451">
        <w:r>
          <w:rPr>
            <w:rStyle w:val="Hyperlink"/>
            <w:rFonts w:ascii="Times New Roman" w:hAnsi="Times New Roman"/>
            <w:b w:val="false"/>
            <w:i w:val="false"/>
            <w:color w:val="000000"/>
            <w:sz w:val="22"/>
          </w:rPr>
          <w:t>41.2(75)</w:t>
        </w:r>
      </w:hyperlink>
      <w:r>
        <w:rPr>
          <w:rFonts w:ascii="Times New Roman" w:hAnsi="Times New Roman"/>
          <w:b w:val="false"/>
          <w:i w:val="false"/>
          <w:color w:val="000000"/>
          <w:sz w:val="22"/>
        </w:rPr>
        <w:t xml:space="preserve"> or </w:t>
      </w:r>
      <w:hyperlink r:id="rId452">
        <w:r>
          <w:rPr>
            <w:rStyle w:val="Hyperlink"/>
            <w:rFonts w:ascii="Times New Roman" w:hAnsi="Times New Roman"/>
            <w:b w:val="false"/>
            <w:i w:val="false"/>
            <w:color w:val="000000"/>
            <w:sz w:val="22"/>
          </w:rPr>
          <w:t>41.2(89)</w:t>
        </w:r>
      </w:hyperlink>
      <w:r>
        <w:rPr>
          <w:rFonts w:ascii="Times New Roman" w:hAnsi="Times New Roman"/>
          <w:b w:val="false"/>
          <w:i w:val="false"/>
          <w:color w:val="000000"/>
          <w:sz w:val="22"/>
        </w:rPr>
        <w:t xml:space="preserve"> or equivalent NRC or agreement state requirements. A preceptor authorized user who meets the requirements in </w:t>
      </w:r>
      <w:hyperlink r:id="rId453">
        <w:r>
          <w:rPr>
            <w:rStyle w:val="Hyperlink"/>
            <w:rFonts w:ascii="Times New Roman" w:hAnsi="Times New Roman"/>
            <w:b w:val="false"/>
            <w:i w:val="false"/>
            <w:color w:val="000000"/>
            <w:sz w:val="22"/>
          </w:rPr>
          <w:t>41.2(69)</w:t>
        </w:r>
      </w:hyperlink>
      <w:r>
        <w:rPr>
          <w:rFonts w:ascii="Times New Roman" w:hAnsi="Times New Roman"/>
          <w:b w:val="false"/>
          <w:i w:val="false"/>
          <w:color w:val="000000"/>
          <w:sz w:val="22"/>
        </w:rPr>
        <w:t>, 41.2(89) or equivalent NRC or agreement state requirements must have experience in administering dosages in the same category or categories as the individual requesting authorized user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residency program director who affirms in writing that the attestation represents the consensus of the residency program faculty where at least one faculty member is an authorized user who meets the requirements in 41.2(69), 41.2(75), 41.2(89), or equivalent NRC or agreement state requirements; has experience in administering dosages in the same dosage category or categories as the individual requesting authorized user status; and concurs with the attestation provided by the residency program director. The residency training program must be approved by the Residency Review Committee of the Accreditation Council for Graduate Medical Education or the Royal College of Physicians and Surgeons of Canada or the Council on Postdoctoral Training of the American Osteopathic Association and must include training and experience specified in 41.2(89)</w:t>
      </w:r>
      <w:r>
        <w:rPr>
          <w:rFonts w:ascii="Times New Roman" w:hAnsi="Times New Roman"/>
          <w:b w:val="false"/>
          <w:i/>
          <w:color w:val="000000"/>
          <w:sz w:val="22"/>
        </w:rPr>
        <w:t>“b”</w:t>
      </w:r>
      <w:r>
        <w:rPr>
          <w:rFonts w:ascii="Times New Roman" w:hAnsi="Times New Roman"/>
          <w:b w:val="false"/>
          <w:i w:val="false"/>
          <w:color w:val="000000"/>
          <w:sz w:val="22"/>
        </w:rPr>
        <w:t>(1) and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641—41.3</w:t>
      </w:r>
      <w:r>
        <w:rPr>
          <w:rFonts w:ascii="Times New Roman" w:hAnsi="Times New Roman"/>
          <w:b/>
          <w:i w:val="false"/>
          <w:color w:val="000000"/>
          <w:sz w:val="22"/>
        </w:rPr>
        <w:t xml:space="preserve">(136C) </w:t>
      </w:r>
      <w:r>
        <w:rPr>
          <w:rFonts w:ascii="Times New Roman" w:hAnsi="Times New Roman"/>
          <w:b/>
          <w:i w:val="false"/>
          <w:color w:val="000000"/>
          <w:sz w:val="22"/>
        </w:rPr>
        <w:t xml:space="preserve">Therapeutic use of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Scope and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establishes requirements, for which the registrant is responsible, for use of 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therapeutic radiation machines shall be by, or under the supervision of, a physician who meets the training/experience criteria established by </w:t>
      </w:r>
      <w:hyperlink r:id="rId454">
        <w:r>
          <w:rPr>
            <w:rStyle w:val="Hyperlink"/>
            <w:rFonts w:ascii="Times New Roman" w:hAnsi="Times New Roman"/>
            <w:b w:val="false"/>
            <w:i w:val="false"/>
            <w:color w:val="000000"/>
            <w:sz w:val="22"/>
          </w:rPr>
          <w:t>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specifically required otherwise by </w:t>
      </w:r>
      <w:hyperlink r:id="rId455">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 xml:space="preserve">, all registrants are subject to the requirements of </w:t>
      </w:r>
      <w:hyperlink r:id="rId45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45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In addition to the definitions provided in </w:t>
      </w:r>
      <w:hyperlink r:id="rId458">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 xml:space="preserve"> and </w:t>
      </w:r>
      <w:hyperlink r:id="rId459">
        <w:r>
          <w:rPr>
            <w:rStyle w:val="Hyperlink"/>
            <w:rFonts w:ascii="Times New Roman" w:hAnsi="Times New Roman"/>
            <w:b w:val="false"/>
            <w:i w:val="false"/>
            <w:color w:val="000000"/>
            <w:sz w:val="22"/>
          </w:rPr>
          <w:t>641—40.2(136C)</w:t>
        </w:r>
      </w:hyperlink>
      <w:r>
        <w:rPr>
          <w:rFonts w:ascii="Times New Roman" w:hAnsi="Times New Roman"/>
          <w:b w:val="false"/>
          <w:i w:val="false"/>
          <w:color w:val="000000"/>
          <w:sz w:val="22"/>
        </w:rPr>
        <w:t xml:space="preserve">, the following definitions are specific to </w:t>
      </w:r>
      <w:hyperlink r:id="rId460">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“Accessible surface” </w:t>
      </w:r>
      <w:r>
        <w:rPr>
          <w:rFonts w:ascii="Times New Roman" w:hAnsi="Times New Roman"/>
          <w:b w:val="false"/>
          <w:i w:val="false"/>
          <w:color w:val="000000"/>
          <w:sz w:val="22"/>
        </w:rPr>
        <w:t>means surface of equipment or of an equipment part that can be easily or accidentally touched by persons without the use of a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“Added filtration” </w:t>
      </w:r>
      <w:r>
        <w:rPr>
          <w:rFonts w:ascii="Times New Roman" w:hAnsi="Times New Roman"/>
          <w:b w:val="false"/>
          <w:i w:val="false"/>
          <w:color w:val="000000"/>
          <w:sz w:val="22"/>
        </w:rPr>
        <w:t>means any filtration which is in addition to the inherent filtration.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“Beam-limiting device” </w:t>
      </w:r>
      <w:r>
        <w:rPr>
          <w:rFonts w:ascii="Times New Roman" w:hAnsi="Times New Roman"/>
          <w:b w:val="false"/>
          <w:i w:val="false"/>
          <w:color w:val="000000"/>
          <w:sz w:val="22"/>
        </w:rPr>
        <w:t>means a field defining collimator, integral to the therapeutic radiation machine, which provides a means to restrict the dimensions of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“Beam-scattering foil” </w:t>
      </w:r>
      <w:r>
        <w:rPr>
          <w:rFonts w:ascii="Times New Roman" w:hAnsi="Times New Roman"/>
          <w:b w:val="false"/>
          <w:i w:val="false"/>
          <w:color w:val="000000"/>
          <w:sz w:val="22"/>
        </w:rPr>
        <w:t>means a thin piece of material (usually metallic) placed in the beam to scatter a beam of electrons in order to provide a more uniform electron distribution in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 beam linear accelerator” </w:t>
      </w:r>
      <w:r>
        <w:rPr>
          <w:rFonts w:ascii="Times New Roman" w:hAnsi="Times New Roman"/>
          <w:b w:val="false"/>
          <w:i w:val="false"/>
          <w:color w:val="000000"/>
          <w:sz w:val="22"/>
        </w:rPr>
        <w:t>means a linear accelerator geometry in which the accelerated electron beam must change direction by passing through a bending magnet.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therapy system” </w:t>
      </w:r>
      <w:r>
        <w:rPr>
          <w:rFonts w:ascii="Times New Roman" w:hAnsi="Times New Roman"/>
          <w:b w:val="false"/>
          <w:i w:val="false"/>
          <w:color w:val="000000"/>
          <w:sz w:val="22"/>
        </w:rPr>
        <w:t>means a therapeutic radiation machine with a short target-to-skin distance (TSD), usually less than 5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“Dose monitor unit (DMU)” </w:t>
      </w:r>
      <w:r>
        <w:rPr>
          <w:rFonts w:ascii="Times New Roman" w:hAnsi="Times New Roman"/>
          <w:b w:val="false"/>
          <w:i w:val="false"/>
          <w:color w:val="000000"/>
          <w:sz w:val="22"/>
        </w:rPr>
        <w:t>means a unit response from the beam monitoring system from which the absorbed dose can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beam radiation therapy” </w:t>
      </w:r>
      <w:r>
        <w:rPr>
          <w:rFonts w:ascii="Times New Roman" w:hAnsi="Times New Roman"/>
          <w:b w:val="false"/>
          <w:i w:val="false"/>
          <w:color w:val="000000"/>
          <w:sz w:val="22"/>
        </w:rPr>
        <w:t>means therapeutic irradiation in which the source of radiation is at a distance from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flattening filter” </w:t>
      </w:r>
      <w:r>
        <w:rPr>
          <w:rFonts w:ascii="Times New Roman" w:hAnsi="Times New Roman"/>
          <w:b w:val="false"/>
          <w:i w:val="false"/>
          <w:color w:val="000000"/>
          <w:sz w:val="22"/>
        </w:rPr>
        <w:t>means a filter used to homogenize the absorbed dose rate over the radiation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 </w:t>
      </w:r>
      <w:r>
        <w:rPr>
          <w:rFonts w:ascii="Times New Roman" w:hAnsi="Times New Roman"/>
          <w:b w:val="false"/>
          <w:i w:val="false"/>
          <w:color w:val="000000"/>
          <w:sz w:val="22"/>
        </w:rPr>
        <w:t>means material placed in the useful beam to change beam quality or its intensity profile in 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“Gantry” </w:t>
      </w:r>
      <w:r>
        <w:rPr>
          <w:rFonts w:ascii="Times New Roman" w:hAnsi="Times New Roman"/>
          <w:b w:val="false"/>
          <w:i w:val="false"/>
          <w:color w:val="000000"/>
          <w:sz w:val="22"/>
        </w:rPr>
        <w:t>means that part of a radiation therapy system supporting and allowing movements of the radiation head around a center of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of irradiation” </w:t>
      </w:r>
      <w:r>
        <w:rPr>
          <w:rFonts w:ascii="Times New Roman" w:hAnsi="Times New Roman"/>
          <w:b w:val="false"/>
          <w:i w:val="false"/>
          <w:color w:val="000000"/>
          <w:sz w:val="22"/>
        </w:rPr>
        <w:t>means the stopping of irradiation with the possibility of continuing irradiation without resetting of operating conditions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“Isocenter” </w:t>
      </w:r>
      <w:r>
        <w:rPr>
          <w:rFonts w:ascii="Times New Roman" w:hAnsi="Times New Roman"/>
          <w:b w:val="false"/>
          <w:i w:val="false"/>
          <w:color w:val="000000"/>
          <w:sz w:val="22"/>
        </w:rPr>
        <w:t>means the center of the sphere through which the useful beam axis passes while the gantry moves through its full range of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“Megavolt (MV) (mega electron volt (MeV))” </w:t>
      </w:r>
      <w:r>
        <w:rPr>
          <w:rFonts w:ascii="Times New Roman" w:hAnsi="Times New Roman"/>
          <w:b w:val="false"/>
          <w:i w:val="false"/>
          <w:color w:val="000000"/>
          <w:sz w:val="22"/>
        </w:rPr>
        <w:t>means the energy equal to that acquired by a particle with one electron charge in passing through a potential difference of 1 million volts in a vacuum. (Note: Current convention is to use MV for photons and MeV for electrons.)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 unit (MU).” </w:t>
      </w:r>
      <w:r>
        <w:rPr>
          <w:rFonts w:ascii="Times New Roman" w:hAnsi="Times New Roman"/>
          <w:b w:val="false"/>
          <w:i w:val="false"/>
          <w:color w:val="000000"/>
          <w:sz w:val="22"/>
        </w:rPr>
        <w:t>See “Dose monitor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“Moving beam radiation therapy” </w:t>
      </w:r>
      <w:r>
        <w:rPr>
          <w:rFonts w:ascii="Times New Roman" w:hAnsi="Times New Roman"/>
          <w:b w:val="false"/>
          <w:i w:val="false"/>
          <w:color w:val="000000"/>
          <w:sz w:val="22"/>
        </w:rPr>
        <w:t>means radiation therapy with continuous displacement of one or more mechanical axes relative to the patient during irradiation. It includes arc therapy, skip therapy, conformal therapy, intensity modulation, and rotational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“Nominal treatment distance”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electron irradiation, the distance from the scattering foil, virtual source, or exit window of the electron beam to the entrance surface of the irradiated object along the central axis of the useful beam.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X-ray irradiation, the virtual source or target to isocenter distance along the central axis of the useful beam. For nonisocentric equipment, this distance shall be that specified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“Periodic quality assurance check” </w:t>
      </w:r>
      <w:r>
        <w:rPr>
          <w:rFonts w:ascii="Times New Roman" w:hAnsi="Times New Roman"/>
          <w:b w:val="false"/>
          <w:i w:val="false"/>
          <w:color w:val="000000"/>
          <w:sz w:val="22"/>
        </w:rPr>
        <w:t>means a procedure which is performed to ensure that a previous calibration continues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“Practical range of electrons” </w:t>
      </w:r>
      <w:r>
        <w:rPr>
          <w:rFonts w:ascii="Times New Roman" w:hAnsi="Times New Roman"/>
          <w:b w:val="false"/>
          <w:i w:val="false"/>
          <w:color w:val="000000"/>
          <w:sz w:val="22"/>
        </w:rPr>
        <w:t>corresponds to classical electron range where the only remaining contribution to dose is from bremsstrahlung X-rays. A further explanation may be found in “Clinical Electron Beam Dosimetry: Report of AAPM Radiation Therapy Committee Task Group 25” (Medical Physics 18(1): 73-109, Jan/Feb 1991) and ICRU Report 35, “Radiation Dosimetry: Electron Beams with Energies Between 1 and 50 MeV,” International Agency on Radiation Units and Measurements, September 15,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field.” </w:t>
      </w:r>
      <w:r>
        <w:rPr>
          <w:rFonts w:ascii="Times New Roman" w:hAnsi="Times New Roman"/>
          <w:b w:val="false"/>
          <w:i w:val="false"/>
          <w:color w:val="000000"/>
          <w:sz w:val="22"/>
        </w:rPr>
        <w:t>See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head” </w:t>
      </w:r>
      <w:r>
        <w:rPr>
          <w:rFonts w:ascii="Times New Roman" w:hAnsi="Times New Roman"/>
          <w:b w:val="false"/>
          <w:i w:val="false"/>
          <w:color w:val="000000"/>
          <w:sz w:val="22"/>
        </w:rPr>
        <w:t>means the structure from which the useful beam emerges.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physicist” </w:t>
      </w:r>
      <w:r>
        <w:rPr>
          <w:rFonts w:ascii="Times New Roman" w:hAnsi="Times New Roman"/>
          <w:b w:val="false"/>
          <w:i w:val="false"/>
          <w:color w:val="000000"/>
          <w:sz w:val="22"/>
        </w:rPr>
        <w:t xml:space="preserve">means an individual qualified in accordance with </w:t>
      </w:r>
      <w:hyperlink r:id="rId461">
        <w:r>
          <w:rPr>
            <w:rStyle w:val="Hyperlink"/>
            <w:rFonts w:ascii="Times New Roman" w:hAnsi="Times New Roman"/>
            <w:b w:val="false"/>
            <w:i w:val="false"/>
            <w:color w:val="000000"/>
            <w:sz w:val="22"/>
          </w:rPr>
          <w:t>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“Redundant beam monitoring system” </w:t>
      </w:r>
      <w:r>
        <w:rPr>
          <w:rFonts w:ascii="Times New Roman" w:hAnsi="Times New Roman"/>
          <w:b w:val="false"/>
          <w:i w:val="false"/>
          <w:color w:val="000000"/>
          <w:sz w:val="22"/>
        </w:rPr>
        <w:t>means a combination of two dose monitoring systems in which each system is designed to terminate irradiation in accordance with a preselected number of dose monitor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“Shadow tray” </w:t>
      </w:r>
      <w:r>
        <w:rPr>
          <w:rFonts w:ascii="Times New Roman" w:hAnsi="Times New Roman"/>
          <w:b w:val="false"/>
          <w:i w:val="false"/>
          <w:color w:val="000000"/>
          <w:sz w:val="22"/>
        </w:rPr>
        <w:t>means a device attached to the radiation head to support auxiliary beam blocking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beam radiation therapy” </w:t>
      </w:r>
      <w:r>
        <w:rPr>
          <w:rFonts w:ascii="Times New Roman" w:hAnsi="Times New Roman"/>
          <w:b w:val="false"/>
          <w:i w:val="false"/>
          <w:color w:val="000000"/>
          <w:sz w:val="22"/>
        </w:rPr>
        <w:t>means radiation therapy without displacement of one or more mechanical axes relative to the patient during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w:t>
      </w:r>
      <w:r>
        <w:rPr>
          <w:rFonts w:ascii="Times New Roman" w:hAnsi="Times New Roman"/>
          <w:b w:val="false"/>
          <w:i w:val="false"/>
          <w:color w:val="000000"/>
          <w:sz w:val="22"/>
        </w:rPr>
        <w:t>means that part of an X-ray tube or accelerator onto which is directed a beam of accelerated particles to produce ionizing radiation or other particles.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“Tenth-value layer (TVL)” </w:t>
      </w:r>
      <w:r>
        <w:rPr>
          <w:rFonts w:ascii="Times New Roman" w:hAnsi="Times New Roman"/>
          <w:b w:val="false"/>
          <w:i w:val="false"/>
          <w:color w:val="000000"/>
          <w:sz w:val="22"/>
        </w:rPr>
        <w:t>means the thickness of a specified material which attenuates X-radiation or gamma radiation to an extent such that the air kerma rate, exposure rate or absorbed dose rate is reduced to one-tenth of the value measured without the material at the same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radiation machine” </w:t>
      </w:r>
      <w:r>
        <w:rPr>
          <w:rFonts w:ascii="Times New Roman" w:hAnsi="Times New Roman"/>
          <w:b w:val="false"/>
          <w:i w:val="false"/>
          <w:color w:val="000000"/>
          <w:sz w:val="22"/>
        </w:rPr>
        <w:t>means X-ray or electron-producing equipment designed and used for external beam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“Virtual source” </w:t>
      </w:r>
      <w:r>
        <w:rPr>
          <w:rFonts w:ascii="Times New Roman" w:hAnsi="Times New Roman"/>
          <w:b w:val="false"/>
          <w:i w:val="false"/>
          <w:color w:val="000000"/>
          <w:sz w:val="22"/>
        </w:rPr>
        <w:t>means a point from which radiation appears to originate.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or license requirements. No person shall receive, possess, use, transfer, own, or acquire therapeutic radiation machines except as authorized in a registration issued pursuant to </w:t>
      </w:r>
      <w:hyperlink r:id="rId462">
        <w:r>
          <w:rPr>
            <w:rStyle w:val="Hyperlink"/>
            <w:rFonts w:ascii="Times New Roman" w:hAnsi="Times New Roman"/>
            <w:b w:val="false"/>
            <w:i w:val="false"/>
            <w:color w:val="000000"/>
            <w:sz w:val="22"/>
          </w:rPr>
          <w:t>641—39.1(136C)</w:t>
        </w:r>
      </w:hyperlink>
      <w:r>
        <w:rPr>
          <w:rFonts w:ascii="Times New Roman" w:hAnsi="Times New Roman"/>
          <w:b w:val="false"/>
          <w:i w:val="false"/>
          <w:color w:val="000000"/>
          <w:sz w:val="22"/>
        </w:rPr>
        <w:t xml:space="preserve"> to </w:t>
      </w:r>
      <w:hyperlink r:id="rId463">
        <w:r>
          <w:rPr>
            <w:rStyle w:val="Hyperlink"/>
            <w:rFonts w:ascii="Times New Roman" w:hAnsi="Times New Roman"/>
            <w:b w:val="false"/>
            <w:i w:val="false"/>
            <w:color w:val="000000"/>
            <w:sz w:val="22"/>
          </w:rPr>
          <w:t>641—39.4(136C)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val="false"/>
          <w:color w:val="000000"/>
          <w:sz w:val="22"/>
        </w:rPr>
        <w:t>General administrative requirements for facilities using 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controls. The registrant shall be responsible for directing the operation of the therapeutic radiation machines which have been registered with the agency. The registrant or the registrant’s agent shall ensure that the requirements of </w:t>
      </w:r>
      <w:hyperlink r:id="rId464">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 xml:space="preserve"> are met in the operation of the 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therapeutic radiation machine which does not meet the provisions of these regulations shall not be used for irradiation of patients unless authorized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for external beam radiation therapy authorized users. The registrant for any therapeutic radiation machine subject to </w:t>
      </w:r>
      <w:hyperlink r:id="rId465">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or </w:t>
      </w:r>
      <w:hyperlink r:id="rId466">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require the authorized user to be a physician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certified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Radiology or therapeutic radiology by the American Board of Radiology;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oncology by the American Osteopathic Board of Radiology;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Radiology, with specialization in radiotherapy, as a British “Fellow of the Faculty of Radiology” or “Fellow of the Royal College of Radiology”;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Therapeutic radiology by the Canadian Royal College of Physicians and Surgeons;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in the active practice of therapeutic radiology, and has completed 200 hours of instruction in basic radiation techniques applicable to the use of an external beam radiation therapy unit, 500 hours of supervised work experience, and a minimum of three years of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for instruction in </w:t>
      </w:r>
      <w:hyperlink r:id="rId467">
        <w:r>
          <w:rPr>
            <w:rStyle w:val="Hyperlink"/>
            <w:rFonts w:ascii="Times New Roman" w:hAnsi="Times New Roman"/>
            <w:b w:val="false"/>
            <w:i w:val="false"/>
            <w:color w:val="000000"/>
            <w:sz w:val="22"/>
          </w:rPr>
          <w:t>41.3(5)</w:t>
        </w:r>
        <w:r>
          <w:rPr>
            <w:rFonts w:ascii="Times New Roman" w:hAnsi="Times New Roman"/>
            <w:b w:val="false"/>
            <w:i/>
            <w:color w:val="000000"/>
            <w:sz w:val="22"/>
          </w:rPr>
          <w:t>“b”</w:t>
        </w:r>
      </w:hyperlink>
      <w:r>
        <w:rPr>
          <w:rFonts w:ascii="Times New Roman" w:hAnsi="Times New Roman"/>
          <w:b w:val="false"/>
          <w:i w:val="false"/>
          <w:color w:val="000000"/>
          <w:sz w:val="22"/>
        </w:rPr>
        <w:t xml:space="preserve"> above, the classroom and laboratory training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Radiation physics 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Mathematics pertaining to the use and measurement of ionization radiation;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Radiation biology.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for supervised work experience in </w:t>
      </w:r>
      <w:hyperlink r:id="rId468">
        <w:r>
          <w:rPr>
            <w:rStyle w:val="Hyperlink"/>
            <w:rFonts w:ascii="Times New Roman" w:hAnsi="Times New Roman"/>
            <w:b w:val="false"/>
            <w:i w:val="false"/>
            <w:color w:val="000000"/>
            <w:sz w:val="22"/>
          </w:rPr>
          <w:t>41.3(4)</w:t>
        </w:r>
        <w:r>
          <w:rPr>
            <w:rFonts w:ascii="Times New Roman" w:hAnsi="Times New Roman"/>
            <w:b w:val="false"/>
            <w:i/>
            <w:color w:val="000000"/>
            <w:sz w:val="22"/>
          </w:rPr>
          <w:t>“b”</w:t>
        </w:r>
      </w:hyperlink>
      <w:r>
        <w:rPr>
          <w:rFonts w:ascii="Times New Roman" w:hAnsi="Times New Roman"/>
          <w:b w:val="false"/>
          <w:i w:val="false"/>
          <w:color w:val="000000"/>
          <w:sz w:val="22"/>
        </w:rPr>
        <w:t xml:space="preserve"> above, training shall be under the supervision of an authorized user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Reviewing the full calibration measurements and periodic quality assurance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Evaluating prepared treatment plans and calculation of treatment times/patient treatment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Using administrative controls to prevent misadministrations;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Implementing emergency procedures to be followed in the event of the abnormal operation of an external beam radiation therapy unit or console;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Checking and using radiation survey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satisfy the requirement for a period of supervised clinical experience, training shall include one year in a formal training program approved by the Residency Review Committee for Radiology of the Accreditation Council for Graduate Medical Education or the Committee on Postdoctoral Training of the American Osteopathic Association and an additional two years of clinical experience in therapeutic radiology under the supervision of an authorized user. The supervised clinical experience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Examining individuals and reviewing their case histories to determine their suitability for external beam radiation therapy treatment, and any limitations/contraindications;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Selecting proper dose and how it is to be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Calculating the external beam radiation therapy doses and collaborating with the authorized user in the review of patients’ progress; consideration of the need to modify originally prescribed doses or treatment plans as warranted by patients’ reaction to radiation;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Postadministration follow-up and review of case histories.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469">
        <w:r>
          <w:rPr>
            <w:rStyle w:val="Hyperlink"/>
            <w:rFonts w:ascii="Times New Roman" w:hAnsi="Times New Roman"/>
            <w:b w:val="false"/>
            <w:i w:val="false"/>
            <w:color w:val="000000"/>
            <w:sz w:val="22"/>
          </w:rPr>
          <w:t>41.3(5)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registrant for any therapeutic radiation machine subject to </w:t>
      </w:r>
      <w:hyperlink r:id="rId470">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and </w:t>
      </w:r>
      <w:hyperlink r:id="rId471">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may also submit the training of the prospective authorized user physician for agency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physician shall not act as an authorized user for any therapeutic radiation machine until such time as said physician’s training has been reviewed and approved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for radiation therapy physicist. The registrant for any therapeutic radiation machine subject to </w:t>
      </w:r>
      <w:hyperlink r:id="rId472">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or </w:t>
      </w:r>
      <w:hyperlink r:id="rId473">
        <w:r>
          <w:rPr>
            <w:rStyle w:val="Hyperlink"/>
            <w:rFonts w:ascii="Times New Roman" w:hAnsi="Times New Roman"/>
            <w:b w:val="false"/>
            <w:i w:val="false"/>
            <w:color w:val="000000"/>
            <w:sz w:val="22"/>
          </w:rPr>
          <w:t>(18)</w:t>
        </w:r>
      </w:hyperlink>
      <w:r>
        <w:rPr>
          <w:rFonts w:ascii="Times New Roman" w:hAnsi="Times New Roman"/>
          <w:b w:val="false"/>
          <w:i w:val="false"/>
          <w:color w:val="000000"/>
          <w:sz w:val="22"/>
        </w:rPr>
        <w:t xml:space="preserve"> shall require the radiation therapy physicist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registered with the agency, under the provisions of </w:t>
      </w:r>
      <w:hyperlink r:id="rId474">
        <w:r>
          <w:rPr>
            <w:rStyle w:val="Hyperlink"/>
            <w:rFonts w:ascii="Times New Roman" w:hAnsi="Times New Roman"/>
            <w:b w:val="false"/>
            <w:i w:val="false"/>
            <w:color w:val="000000"/>
            <w:sz w:val="22"/>
          </w:rPr>
          <w:t>641—subrule 39.3(3)</w:t>
        </w:r>
      </w:hyperlink>
      <w:r>
        <w:rPr>
          <w:rFonts w:ascii="Times New Roman" w:hAnsi="Times New Roman"/>
          <w:b w:val="false"/>
          <w:i w:val="false"/>
          <w:color w:val="000000"/>
          <w:sz w:val="22"/>
        </w:rPr>
        <w:t xml:space="preserve"> of these regulations, as a provider of radiation services in the area of calibration and compliance surveys of external beam radiation therapy units;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certified by the American Board of Radiology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Therapeutic radiological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Roentgen-ray and gamma-ray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X-ray and radium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Radiological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Therapeutic medical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certified by the American Board of Medical Physics in radiation oncology physics;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certified by the Canadian College of Physicists in Medicine;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master’s or doctor’s degree in physics, biophysics, radiological physics, or health physics, and have completed one year of full-time training in therapeutic radiological physics and also one year of full-time work experience under the supervision of a radiation therapy physicist at a medical institution. To meet this requirement, the individual shall have performed the tasks listed in </w:t>
      </w:r>
      <w:hyperlink r:id="rId475">
        <w:r>
          <w:rPr>
            <w:rStyle w:val="Hyperlink"/>
            <w:rFonts w:ascii="Times New Roman" w:hAnsi="Times New Roman"/>
            <w:b w:val="false"/>
            <w:i w:val="false"/>
            <w:color w:val="000000"/>
            <w:sz w:val="22"/>
          </w:rPr>
          <w:t>41.3(16)</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476">
        <w:r>
          <w:rPr>
            <w:rStyle w:val="Hyperlink"/>
            <w:rFonts w:ascii="Times New Roman" w:hAnsi="Times New Roman"/>
            <w:b w:val="false"/>
            <w:i w:val="false"/>
            <w:color w:val="000000"/>
            <w:sz w:val="22"/>
          </w:rPr>
          <w:t>41.3(17)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477">
        <w:r>
          <w:rPr>
            <w:rStyle w:val="Hyperlink"/>
            <w:rFonts w:ascii="Times New Roman" w:hAnsi="Times New Roman"/>
            <w:b w:val="false"/>
            <w:i w:val="false"/>
            <w:color w:val="000000"/>
            <w:sz w:val="22"/>
          </w:rPr>
          <w:t>41.3(18)</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under the supervision of a radiation therapy physicist during the year of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Qualifications of operators. Individuals who will be operating a therapeutic radiation machine for medical use shall be adequately instructed in the safe operating procedures and hold a current permit to practice in radiation therapy as a radiation therapist under the provisions of </w:t>
      </w:r>
      <w:hyperlink r:id="rId478">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The permit holder shall make the permit available at the individual’s place of employment. If the permit holder works at more than one facility, a duplicate of the permit shall be kept at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41.3(8)</w:t>
      </w:r>
      <w:r>
        <w:rPr>
          <w:rFonts w:ascii="Times New Roman" w:hAnsi="Times New Roman"/>
          <w:b w:val="false"/>
          <w:i w:val="false"/>
          <w:color w:val="000000"/>
          <w:sz w:val="22"/>
        </w:rPr>
        <w:t> </w:t>
      </w:r>
      <w:r>
        <w:rPr>
          <w:rFonts w:ascii="Times New Roman" w:hAnsi="Times New Roman"/>
          <w:b w:val="false"/>
          <w:i w:val="false"/>
          <w:color w:val="000000"/>
          <w:sz w:val="22"/>
        </w:rPr>
        <w:t>Written safety procedures and rules shall be developed by a radiation therapy physicist and shall be available in the control area of a therapeutic radiation machine, including any restrictions required for the safe operation of the particular therapeutic radiation machine. The operator shall be able to demonstrate familiarity with these rules. All individuals associated with the operation of a therapeutic radiation machine shall be instructed in and shall comply with procedures for maintaining written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w:t>
      </w:r>
      <w:r>
        <w:rPr>
          <w:rFonts w:ascii="Times New Roman" w:hAnsi="Times New Roman"/>
          <w:b w:val="false"/>
          <w:i w:val="false"/>
          <w:color w:val="000000"/>
          <w:sz w:val="22"/>
        </w:rPr>
        <w:t> </w:t>
      </w:r>
      <w:r>
        <w:rPr>
          <w:rFonts w:ascii="Times New Roman" w:hAnsi="Times New Roman"/>
          <w:b w:val="false"/>
          <w:i w:val="false"/>
          <w:color w:val="000000"/>
          <w:sz w:val="22"/>
        </w:rPr>
        <w:t>Individuals shall not be exposed to the useful beam except for medical therapy purposes and unless such exposure has been ordered in writing by a physician. This provision specifically prohibits deliberate exposure of an individual for training, demonstration or other non-healing arts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visiting authorized users. Notwithstanding the provisions of </w:t>
      </w:r>
      <w:hyperlink r:id="rId479">
        <w:r>
          <w:rPr>
            <w:rStyle w:val="Hyperlink"/>
            <w:rFonts w:ascii="Times New Roman" w:hAnsi="Times New Roman"/>
            <w:b w:val="false"/>
            <w:i w:val="false"/>
            <w:color w:val="000000"/>
            <w:sz w:val="22"/>
          </w:rPr>
          <w:t>41.3(5)</w:t>
        </w:r>
      </w:hyperlink>
      <w:r>
        <w:rPr>
          <w:rFonts w:ascii="Times New Roman" w:hAnsi="Times New Roman"/>
          <w:b w:val="false"/>
          <w:i w:val="false"/>
          <w:color w:val="000000"/>
          <w:sz w:val="22"/>
        </w:rPr>
        <w:t>, a registrant may permit any physician to act as a visiting authorized user for up to 60 days per calendar year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visiting authorized user has the prior written permission of the registrant’s management and, if the use occurs on behalf of an institution, the institution’s radiation safety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visiting authorized user meets the requirements of </w:t>
      </w:r>
      <w:hyperlink r:id="rId480">
        <w:r>
          <w:rPr>
            <w:rStyle w:val="Hyperlink"/>
            <w:rFonts w:ascii="Times New Roman" w:hAnsi="Times New Roman"/>
            <w:b w:val="false"/>
            <w:i w:val="false"/>
            <w:color w:val="000000"/>
            <w:sz w:val="22"/>
          </w:rPr>
          <w:t>41.3(5)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maintains copies of all records specified in </w:t>
      </w:r>
      <w:hyperlink r:id="rId481">
        <w:r>
          <w:rPr>
            <w:rStyle w:val="Hyperlink"/>
            <w:rFonts w:ascii="Times New Roman" w:hAnsi="Times New Roman"/>
            <w:b w:val="false"/>
            <w:i w:val="false"/>
            <w:color w:val="000000"/>
            <w:sz w:val="22"/>
          </w:rPr>
          <w:t>41.3(5)</w:t>
        </w:r>
      </w:hyperlink>
      <w:r>
        <w:rPr>
          <w:rFonts w:ascii="Times New Roman" w:hAnsi="Times New Roman"/>
          <w:b w:val="false"/>
          <w:i w:val="false"/>
          <w:color w:val="000000"/>
          <w:sz w:val="22"/>
        </w:rPr>
        <w:t xml:space="preserve"> for five years from the date of the last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w:t>
      </w:r>
      <w:r>
        <w:rPr>
          <w:rFonts w:ascii="Times New Roman" w:hAnsi="Times New Roman"/>
          <w:b w:val="false"/>
          <w:i w:val="false"/>
          <w:color w:val="000000"/>
          <w:sz w:val="22"/>
        </w:rPr>
        <w:t> </w:t>
      </w:r>
      <w:r>
        <w:rPr>
          <w:rFonts w:ascii="Times New Roman" w:hAnsi="Times New Roman"/>
          <w:b w:val="false"/>
          <w:i w:val="false"/>
          <w:color w:val="000000"/>
          <w:sz w:val="22"/>
        </w:rPr>
        <w:t>Information and maintenance record and associated information. The registrant shall maintain the following information in a separate file or package for each therapeutic radiation machine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of acceptance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all surveys, calibrations, and periodic quality assurance checks of the therapeutic radiation machine required by </w:t>
      </w:r>
      <w:hyperlink r:id="rId482">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 as well as the name(s) of person(s) who performed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maintenance or modifications, or both, performed on the therapeutic radiation machine after July 9, 1997, as well as the name(s) of person(s) who performed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Signature of person authorizing the return of therapeutic radiation machine to clinical use after service, repair, or upgrade.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training specified in </w:t>
      </w:r>
      <w:hyperlink r:id="rId483">
        <w:r>
          <w:rPr>
            <w:rStyle w:val="Hyperlink"/>
            <w:rFonts w:ascii="Times New Roman" w:hAnsi="Times New Roman"/>
            <w:b w:val="false"/>
            <w:i w:val="false"/>
            <w:color w:val="000000"/>
            <w:sz w:val="22"/>
          </w:rPr>
          <w:t>41.3(5)</w:t>
        </w:r>
      </w:hyperlink>
      <w:r>
        <w:rPr>
          <w:rFonts w:ascii="Times New Roman" w:hAnsi="Times New Roman"/>
          <w:b w:val="false"/>
          <w:i w:val="false"/>
          <w:color w:val="000000"/>
          <w:sz w:val="22"/>
        </w:rPr>
        <w:t xml:space="preserve"> and </w:t>
      </w:r>
      <w:hyperlink r:id="rId484">
        <w:r>
          <w:rPr>
            <w:rStyle w:val="Hyperlink"/>
            <w:rFonts w:ascii="Times New Roman" w:hAnsi="Times New Roman"/>
            <w:b w:val="false"/>
            <w:i w:val="false"/>
            <w:color w:val="000000"/>
            <w:sz w:val="22"/>
          </w:rPr>
          <w:t>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retention. All records required by </w:t>
      </w:r>
      <w:hyperlink r:id="rId485">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 xml:space="preserve"> shall be retained until disposal is authorized by the agency unless another retention period is specifically authorized in </w:t>
      </w:r>
      <w:hyperlink r:id="rId486">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 All required records shall be retained in an active file from at least the time of generation until the next agency inspection. Any required record generated before the last agency inspection may be microfilmed or otherwise archived as long as a complete copy can be retrieved until such time the agency authorizes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w:t>
      </w:r>
      <w:r>
        <w:rPr>
          <w:rFonts w:ascii="Times New Roman" w:hAnsi="Times New Roman"/>
          <w:b w:val="false"/>
          <w:i w:val="false"/>
          <w:color w:val="000000"/>
          <w:sz w:val="22"/>
        </w:rPr>
        <w:t> </w:t>
      </w:r>
      <w:r>
        <w:rPr>
          <w:rFonts w:ascii="Times New Roman" w:hAnsi="Times New Roman"/>
          <w:b w:val="false"/>
          <w:i w:val="false"/>
          <w:color w:val="000000"/>
          <w:sz w:val="22"/>
        </w:rPr>
        <w:t>Written directives. Each registrant shall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directive must be dated and signed by an authorized user prior to the administration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because of the patient’s condition, a delay in the order to provide a written revision to an existing directive would jeopardize the patient’s health, an oral revision to an existing written directive will be acceptable, provided that the oral revision is documented as soon as possible in writing in the patient’s record and a revised written directive is signed by an authorized user within 48 hours of the oral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directive must contain the patient or human research subject’s name, the type and energy of the beam, the total dose, dose per fraction, treatment site, and number of fractions.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revision to an existing written directive may be made provided that the revision is dated and signed by an authorized user prior to the administration of the external beam dose, or the next fractional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registrant shall retain a copy of the written directive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administration. The registrant shall have written procedures that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the administration of each course of radiation treatment, the patient’s or human research subject’s identity is verified by more than one method as the individual named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administration is in accordance with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External beam radiation therapy final plans of treatment and related calculations are in accordance with the respective written directives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Checking both manual and computer-generated dose calculations to verify that they are correct and in accordance with the written directive;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Verifying that any computer-generated calculations are correctly transferred into the consoles of authorized therapeutic medical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unintended deviation from the written directive is identified, evaluated and appropriate action is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registrant retains a copy of the procedures for administrations for the duration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41.3(15)</w:t>
      </w:r>
      <w:r>
        <w:rPr>
          <w:rFonts w:ascii="Times New Roman" w:hAnsi="Times New Roman"/>
          <w:b w:val="false"/>
          <w:i w:val="false"/>
          <w:color w:val="000000"/>
          <w:sz w:val="22"/>
        </w:rPr>
        <w:t> </w:t>
      </w:r>
      <w:r>
        <w:rPr>
          <w:rFonts w:ascii="Times New Roman" w:hAnsi="Times New Roman"/>
          <w:b w:val="false"/>
          <w:i w:val="false"/>
          <w:color w:val="000000"/>
          <w:sz w:val="22"/>
        </w:rPr>
        <w:t>Reports and notifications of misadministrations.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registrant shall report any event resulting from intervention of a patient or human research subject in which the administration of external beam radiation results, or will result, in unintended permanent functional damage to an organ or a physiological system as determined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than events that result from intervention by a patient or human research subject, a registrant shall report any event in which the administration of an external beam radiation therapy dose results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dose that differs from the prescribed dose by more than 5 rem (0.05 sievert) effective dose equivalent, 50 rem (0.5 sievert) to an organ or tissue, or 50 rem (0.5 sievert) shallow dose equivalent to the skin, and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dose delivered differs from the prescribed dose by 20 percent or more;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fractionated dose delivered differs from the prescribed dose for a single fraction by 50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dose that exceeds 5 rem (0.05 sievert) effective dose equivalent, 50 rem (0.5 sievert) to an organ or tissue, or 50 rem (0.5 sievert) shallow dose equivalent to the skin from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administration of the wrong treatment modality;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administration to the wrong individual or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dose to the skin or an organ or tissue other than the treatment site that exceeds by 50 rem (0.5 sievert) to an organ or tissue and 50 percent or more of the dose expected from the administration defined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shall notify the agency by telephone no later than the next calendar day after the discovery of a misadministration.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shall submit a written report to the agency within 15 days after the discovery of a misadministration. The written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prescribing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Why the event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 if any, on the individual or individuals who received the misadministration;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Actions, if any, that have been taken, or are planned, to prevent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registrant notified the individual or the individual’s responsible relative or guardian, and if not, why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report to the agency shall not contain the individual’s name or any other information that could lead to the identification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registrant shall provide notification of the event to the referring physician and also notify the individual who is the subject of the misadministration no later than 24 hours after its discovery, unless the referring physician personally informs the registrant either that the referring physician will inform the individual or that, based on medical judgment, the physician’s telling the individual would be harmful. The registrant is not required to notify the individual without first consulting the referring physician. If the referring physician or the affected individual cannot be reached within 24 hours, the registrant shall notify the individual as soon as possible thereafter. The registrant may not delay any appropriate medical care for the individual, including any necessary remedial care as a result of the misadministration, because of any delay in notification. To meet the requirements of this paragraph, the notification of the individual who is the subject of the misadministration may be made instead to that individual’s responsible relative or guardian. If a verbal notification is made, the registrant shall inform the individual, or appropriate responsible relative or guardian, that a written description of the event may be obtained from the registrant upon request. The registrant shall provide such a written description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Aside from the notification requirement, nothing in this subrule affects any rights or duties of registrants and physicians in relation to each other, to individuals affected by the misadministration, or to individuals’ responsible relatives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copy of the record required in this subrule shall be provided to the referring physician, if other than the registrant, within 15 days after discovery of the misadministration.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Records of misadministrations. A registrant shall retain a record of misadministrations reported in this subrule for three years. The record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registrant’s name and the names of the individuals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or other identification number, if one has been assigned, of the individual who is the subject of the misadministration;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event; why it occurred; and the effect, if any, on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actions, if any, taken or planned to prevent recurrence;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notified the individual or the individual’s responsible relative or guardian, and, if not, whether such failure to notify was based on guidance from the referring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41.3(16)</w:t>
      </w:r>
      <w:r>
        <w:rPr>
          <w:rFonts w:ascii="Times New Roman" w:hAnsi="Times New Roman"/>
          <w:b w:val="false"/>
          <w:i w:val="false"/>
          <w:color w:val="000000"/>
          <w:sz w:val="22"/>
        </w:rPr>
        <w:t> </w:t>
      </w:r>
      <w:r>
        <w:rPr>
          <w:rFonts w:ascii="Times New Roman" w:hAnsi="Times New Roman"/>
          <w:b w:val="false"/>
          <w:i w:val="false"/>
          <w:color w:val="000000"/>
          <w:sz w:val="22"/>
        </w:rPr>
        <w:t>General technical requirements for facilities using 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Protection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 shall ensure that radiation protection surveys of all new facilities, and existing facilities not previously surveyed, are performed with an operable radiation measurement survey instrument calibrated within the past 12 months. The radiation protection survey shall be performed by, or under the direction of, a radiation therapy physicist or a certified health physicist and shall verify that, with the therapeutic radiation machine in a “BEAM-ON” condition, with the largest clinically available treatment field and with a scattering phantom in the useful beam of radiation: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Radiation levels in restricted areas are not likely to cause personnel exposures in excess of the limits specified in </w:t>
      </w:r>
      <w:hyperlink r:id="rId487">
        <w:r>
          <w:rPr>
            <w:rStyle w:val="Hyperlink"/>
            <w:rFonts w:ascii="Times New Roman" w:hAnsi="Times New Roman"/>
            <w:b w:val="false"/>
            <w:i w:val="false"/>
            <w:color w:val="000000"/>
            <w:sz w:val="22"/>
          </w:rPr>
          <w:t>641—subrule 40.15(1)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Radiation levels in unrestricted areas do not exceed the limits specified in 641—paragraphs </w:t>
      </w:r>
      <w:hyperlink r:id="rId488">
        <w:r>
          <w:rPr>
            <w:rStyle w:val="Hyperlink"/>
            <w:rFonts w:ascii="Times New Roman" w:hAnsi="Times New Roman"/>
            <w:b w:val="false"/>
            <w:i w:val="false"/>
            <w:color w:val="000000"/>
            <w:sz w:val="22"/>
          </w:rPr>
          <w:t>40.26(1)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489">
        <w:r>
          <w:rPr>
            <w:rStyle w:val="Hyperlink"/>
            <w:rFonts w:ascii="Times New Roman" w:hAnsi="Times New Roman"/>
            <w:b w:val="false"/>
            <w:i w:val="false"/>
            <w:color w:val="000000"/>
            <w:sz w:val="22"/>
          </w:rPr>
          <w:t>41.3(16)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a radiation protection survey shall also be performed prior to any subsequent medical use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After making any change in the treatment room shielding;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making any change in the location of the therapeutic radiation machine within the treatment 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relocating the therapeutic radiation machine;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Before using the therapeutic radiation machine in a manner that could result in increased radiation levels in areas outside the external beam radiation therapy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survey record shall indicate all instances where the facility, in the opinion of the radiation therapy physicist or a certified health physicist, is in violation of applicable regulations. The survey record shall also include the date of the measurements, the reason the survey is required, the manufacturer’s name, model number and serial number of the therapeutic radiation machine, the instrument(s) used to measure radiation levels, a plan of the areas surrounding the treatment room that were surveyed, the measured dose rate at several points in each area expressed in microsieverts or millirems per hour, the calculated maximum level of radiation over a period of one week for each restricted and unrestricted area, and the signature of the individual responsible for conducting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results of the surveys required by </w:t>
      </w:r>
      <w:hyperlink r:id="rId490">
        <w:r>
          <w:rPr>
            <w:rStyle w:val="Hyperlink"/>
            <w:rFonts w:ascii="Times New Roman" w:hAnsi="Times New Roman"/>
            <w:b w:val="false"/>
            <w:i w:val="false"/>
            <w:color w:val="000000"/>
            <w:sz w:val="22"/>
          </w:rPr>
          <w:t>41.3(16)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(2) indicate any radiation levels in excess of the respective limit specified in </w:t>
      </w:r>
      <w:hyperlink r:id="rId491">
        <w:r>
          <w:rPr>
            <w:rStyle w:val="Hyperlink"/>
            <w:rFonts w:ascii="Times New Roman" w:hAnsi="Times New Roman"/>
            <w:b w:val="false"/>
            <w:i w:val="false"/>
            <w:color w:val="000000"/>
            <w:sz w:val="22"/>
          </w:rPr>
          <w:t>41.3(16)</w:t>
        </w:r>
      </w:hyperlink>
      <w:r>
        <w:rPr>
          <w:rFonts w:ascii="Times New Roman" w:hAnsi="Times New Roman"/>
          <w:b w:val="false"/>
          <w:i/>
          <w:color w:val="000000"/>
          <w:sz w:val="22"/>
        </w:rPr>
        <w:t>“a”</w:t>
      </w:r>
      <w:r>
        <w:rPr>
          <w:rFonts w:ascii="Times New Roman" w:hAnsi="Times New Roman"/>
          <w:b w:val="false"/>
          <w:i w:val="false"/>
          <w:color w:val="000000"/>
          <w:sz w:val="22"/>
        </w:rPr>
        <w:t>(1), the registrant shall lock the control in the “OFF” position and not use the unit: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Except as may be necessary to repair, replace, or test the therapeutic radiation machine, the therapeutic radiation machine shielding, or the treatment room shielding;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Until the registrant has received a specific exemption in writing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Modification of radiation therapy unit or room before beginning a treatment program. If the survey required by </w:t>
      </w:r>
      <w:hyperlink r:id="rId492">
        <w:r>
          <w:rPr>
            <w:rStyle w:val="Hyperlink"/>
            <w:rFonts w:ascii="Times New Roman" w:hAnsi="Times New Roman"/>
            <w:b w:val="false"/>
            <w:i w:val="false"/>
            <w:color w:val="000000"/>
            <w:sz w:val="22"/>
          </w:rPr>
          <w:t>41.3(16)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indicates that an individual in an unrestricted area may be exposed to levels of radiation greater than those permitted by 641—paragraphs </w:t>
      </w:r>
      <w:hyperlink r:id="rId493">
        <w:r>
          <w:rPr>
            <w:rStyle w:val="Hyperlink"/>
            <w:rFonts w:ascii="Times New Roman" w:hAnsi="Times New Roman"/>
            <w:b w:val="false"/>
            <w:i w:val="false"/>
            <w:color w:val="000000"/>
            <w:sz w:val="22"/>
          </w:rPr>
          <w:t>40.26(1)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before beginning the treatment program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equip the unit with beam direction interlocks or add additional radiation shielding to ensure compliance with 641—paragraphs </w:t>
      </w:r>
      <w:hyperlink r:id="rId494">
        <w:r>
          <w:rPr>
            <w:rStyle w:val="Hyperlink"/>
            <w:rFonts w:ascii="Times New Roman" w:hAnsi="Times New Roman"/>
            <w:b w:val="false"/>
            <w:i w:val="false"/>
            <w:color w:val="000000"/>
            <w:sz w:val="22"/>
          </w:rPr>
          <w:t>40.26(1)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survey required by </w:t>
      </w:r>
      <w:hyperlink r:id="rId495">
        <w:r>
          <w:rPr>
            <w:rStyle w:val="Hyperlink"/>
            <w:rFonts w:ascii="Times New Roman" w:hAnsi="Times New Roman"/>
            <w:b w:val="false"/>
            <w:i w:val="false"/>
            <w:color w:val="000000"/>
            <w:sz w:val="22"/>
          </w:rPr>
          <w:t>41.3(16)</w:t>
        </w:r>
        <w:r>
          <w:rPr>
            <w:rFonts w:ascii="Times New Roman" w:hAnsi="Times New Roman"/>
            <w:b w:val="false"/>
            <w:i/>
            <w:color w:val="000000"/>
            <w:sz w:val="22"/>
          </w:rPr>
          <w:t>“a”</w:t>
        </w:r>
      </w:hyperlink>
      <w:r>
        <w:rPr>
          <w:rFonts w:ascii="Times New Roman" w:hAnsi="Times New Roman"/>
          <w:b w:val="false"/>
          <w:i w:val="false"/>
          <w:color w:val="000000"/>
          <w:sz w:val="22"/>
        </w:rPr>
        <w:t xml:space="preserv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 the report required by </w:t>
      </w:r>
      <w:hyperlink r:id="rId496">
        <w:r>
          <w:rPr>
            <w:rStyle w:val="Hyperlink"/>
            <w:rFonts w:ascii="Times New Roman" w:hAnsi="Times New Roman"/>
            <w:b w:val="false"/>
            <w:i w:val="false"/>
            <w:color w:val="000000"/>
            <w:sz w:val="22"/>
          </w:rPr>
          <w:t>41.3(16)</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results of the initial survey, a description of the modification made to comply with </w:t>
      </w:r>
      <w:hyperlink r:id="rId497">
        <w:r>
          <w:rPr>
            <w:rStyle w:val="Hyperlink"/>
            <w:rFonts w:ascii="Times New Roman" w:hAnsi="Times New Roman"/>
            <w:b w:val="false"/>
            <w:i w:val="false"/>
            <w:color w:val="000000"/>
            <w:sz w:val="22"/>
          </w:rPr>
          <w:t>41.3(5)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and the results of the second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and receive written authorization from the agency that authorizes radiation levels in unrestricted areas greater than those permitted by 641—paragraphs </w:t>
      </w:r>
      <w:hyperlink r:id="rId498">
        <w:r>
          <w:rPr>
            <w:rStyle w:val="Hyperlink"/>
            <w:rFonts w:ascii="Times New Roman" w:hAnsi="Times New Roman"/>
            <w:b w:val="false"/>
            <w:i w:val="false"/>
            <w:color w:val="000000"/>
            <w:sz w:val="22"/>
          </w:rPr>
          <w:t>40.26(1)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Dosimetry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 shall have a calibrated dosimetry system available for use. The system shall have been calibrated by the National Institute for Standards and Technology (NIST) or by an American Association of Physicists in Medicine (AAPM) Accredited Dosimetry Calibration Laboratory (ADCL). The calibration shall have been performed within the previous 24 months and after any servicing that may have affected system calibration.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beams with energies greater than 1 MV (1 MeV), the dosimetry system shall have been calibrated for Cobalt-60.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beams with energies equal to or less than 1 MV (1 MeV), the dosimetry system shall have been calibrated at an energy (energy range) appropriate for the radiation being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have available for use a dosimetry system for quality assurance check measurements. To meet this requirement, the system may be compared with a system that has been calibrated in accordance with </w:t>
      </w:r>
      <w:hyperlink r:id="rId499">
        <w:r>
          <w:rPr>
            <w:rStyle w:val="Hyperlink"/>
            <w:rFonts w:ascii="Times New Roman" w:hAnsi="Times New Roman"/>
            <w:b w:val="false"/>
            <w:i w:val="false"/>
            <w:color w:val="000000"/>
            <w:sz w:val="22"/>
          </w:rPr>
          <w:t>41.3(16)</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comparison shall have been performed within the previous 12 months and after each servicing that may have affected system calibration. The quality assurance check system may be the same system used to meet the requirement in </w:t>
      </w:r>
      <w:hyperlink r:id="rId500">
        <w:r>
          <w:rPr>
            <w:rStyle w:val="Hyperlink"/>
            <w:rFonts w:ascii="Times New Roman" w:hAnsi="Times New Roman"/>
            <w:b w:val="false"/>
            <w:i w:val="false"/>
            <w:color w:val="000000"/>
            <w:sz w:val="22"/>
          </w:rPr>
          <w:t>41.3(16)</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maintain a record of each dosimetry system calibration, intercomparison, and comparison for the duration of the license or registration. For each calibration, intercomparison, or comparison, the record shall include the date, the model numbers and serial numbers of the instruments that were calibrated, intercompared, or compared as required by </w:t>
      </w:r>
      <w:hyperlink r:id="rId501">
        <w:r>
          <w:rPr>
            <w:rStyle w:val="Hyperlink"/>
            <w:rFonts w:ascii="Times New Roman" w:hAnsi="Times New Roman"/>
            <w:b w:val="false"/>
            <w:i w:val="false"/>
            <w:color w:val="000000"/>
            <w:sz w:val="22"/>
          </w:rPr>
          <w:t>41.3(16)</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the correction factors that were determined, the names of the individuals who performed the calibration, intercomparison, or comparison, and evidence that the intercomparison was performed by, or under the direct supervision and in the physical presence of, a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of external beam radiation therapy surveys and measurements. The registrant for any therapeutic radiation machine subject to </w:t>
      </w:r>
      <w:hyperlink r:id="rId502">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or </w:t>
      </w:r>
      <w:hyperlink r:id="rId503">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furnish a copy of the records required in </w:t>
      </w:r>
      <w:hyperlink r:id="rId504">
        <w:r>
          <w:rPr>
            <w:rStyle w:val="Hyperlink"/>
            <w:rFonts w:ascii="Times New Roman" w:hAnsi="Times New Roman"/>
            <w:b w:val="false"/>
            <w:i w:val="false"/>
            <w:color w:val="000000"/>
            <w:sz w:val="22"/>
          </w:rPr>
          <w:t>41.3(16)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to the agency within 30 days following completion of the action that initiated the record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41.3(17)</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 of less than 500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Leakage radiation. When the X-ray tube is operated at its maximum rated tube current for the maximum kV, the leakage air kerma rate shall not exceed the value specified at the distance specified for that classification of therapeutic radiation machine: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5-50 kV systems. The leakage air kerma rate measured at any position 5 centimeters from the tube housing assembly shall not exceed 100 mrad (1 mGy) in any one hour.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&gt;50 and &lt;500 kV systems. The leakage air kerma rate measured at a distance of one meter from the target in any direction shall not exceed 1 rad (1 cGy) in any one hour. This air kerma rate measurement may be averaged over areas no larger than 100 square centimeters. In addition, the air kerma rate at a distance of 5 centimeters from the surface of the tube housing assembly shall not exceed 30 rad (30 cGy) per hour.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each therapeutic machine, the registrant shall determine, or obtain from the manufacturer, the leakage radiation existing at positions specified in </w:t>
      </w:r>
      <w:hyperlink r:id="rId505">
        <w:r>
          <w:rPr>
            <w:rStyle w:val="Hyperlink"/>
            <w:rFonts w:ascii="Times New Roman" w:hAnsi="Times New Roman"/>
            <w:b w:val="false"/>
            <w:i w:val="false"/>
            <w:color w:val="000000"/>
            <w:sz w:val="22"/>
          </w:rPr>
          <w:t>41.3(17)</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“1” and </w:t>
      </w:r>
      <w:hyperlink r:id="rId506">
        <w:r>
          <w:rPr>
            <w:rStyle w:val="Hyperlink"/>
            <w:rFonts w:ascii="Times New Roman" w:hAnsi="Times New Roman"/>
            <w:b w:val="false"/>
            <w:i w:val="false"/>
            <w:color w:val="000000"/>
            <w:sz w:val="22"/>
          </w:rPr>
          <w:t>41.3(17)</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“2” for the specified operating conditions. Records on leakage radiation measurements shall be maintained at the facility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Permanent beam-limiting devices. Permanent diaphragms or cones used for limiting the useful beam shall provide at least the same degree of attenuation as required for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Adjustable or removable beam-limiting devices.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adjustable or removable beam-limiting devices, diaphragms, cones or blocks shall not transmit more than 5 percent of the useful beam for the most penetrating beam 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adjustable beam-limiting devices are used, the position and shape of the radiation field shall be indicated by a light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Filter system. The filter system shall be so designed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Filters cannot be accidentally displaced at any possible tube orientation;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equipment installed after July 9, 1997, an interlock system prevents irradiation if the proper filter is not in place;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air kerma rate escaping from the filter slot shall not exceed 1 rad (1 cGy) per hour at one meter under any operating conditions;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Each filter shall be marked as to its material of construction and its thickness.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Tube immobilization.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X-ray tube shall be so mounted that it cannot accidentally turn or slide with respect to the housing aperture;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tube housing assembly shall be capable of being immobilized for stationary portal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Source marking. The tube housing assembly shall be so marked that it is possible to determine the location of the source to within 5 millimeters, and such marking shall be readily accessible for use during calibration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Beam block. Contact therapy tube housing assemblies shall have a removable shield of material, equivalent in attenuation to 0.5 millimeters of lead at 100 kV, which can be positioned over the entire useful beam exit port during periods when the beam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Timer. A suitable irradiation control device shall be provided to terminate the irradiation after a preset time interval.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timer which has a display shall be provided at the treatment control panel. The timer shall have a preset time selector and an elapsed time or time remaining indicator;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timer shall be a cumulative timer which activates with an indication of “BEAM-ON” and retains its reading after irradiation is interrupted or terminated. After irradiation is terminated and before irradiation can be reinitiated, it shall be necessary to reset the elapsed time indicator;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timer shall terminate irradiation when a preselected time has elapsed, if any dose monitoring system present has not previously terminated irradiation;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timer shall permit accurate presetting and determination of exposure times as short as one second;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timer shall not permit an exposure if set at zero;</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timer shall not activate until the shutter is opened when irradiation is controlled by a shutter mechanism unless calibration includes a timer error correction to compensate for mechanical lag;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Timer shall be accurate to within 1 percent of the selected value or one second,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panel functions. The control panel, in addition to the displays required by other provisions in </w:t>
      </w:r>
      <w:hyperlink r:id="rId507">
        <w:r>
          <w:rPr>
            <w:rStyle w:val="Hyperlink"/>
            <w:rFonts w:ascii="Times New Roman" w:hAnsi="Times New Roman"/>
            <w:b w:val="false"/>
            <w:i w:val="false"/>
            <w:color w:val="000000"/>
            <w:sz w:val="22"/>
          </w:rPr>
          <w:t>41.3(6)</w:t>
        </w:r>
      </w:hyperlink>
      <w:r>
        <w:rPr>
          <w:rFonts w:ascii="Times New Roman" w:hAnsi="Times New Roman"/>
          <w:b w:val="false"/>
          <w:i w:val="false"/>
          <w:color w:val="000000"/>
          <w:sz w:val="22"/>
        </w:rPr>
        <w:t>, shall have: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indication of whether electrical power is available at the control panel and if activation of the X-ray tube is possible;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indication of whether X-rays are being produced;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Means for indicating X-ray tube potential and current;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means for terminating an exposure at any time;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locking device which will prevent unauthorized use of the therapeutic radiation machine;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 therapeutic radiation machines manufactured after July 9, 1997, a positive display of specific filter(s) in the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Multiple tubes. When a control panel may energize more than one X-ray tube: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shall be possible to activate only one X-ray tube at any time;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shall be an indication at the control panel identifying which X-ray tube is activated;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shall be an indication at the tube housing assembly when that tube is energized.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Target-to-skin distance (TSD). There shall be a means of determining the central axis TSD to within one centimeter and of reproducing this measurement to within two millimeters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Shutters. Unless it is possible to bring the X-ray output to the prescribed exposure parameters within five seconds after the X-ray “ON” switch is energized, the beam shall be attenuated by a shutter(s) having a lead equivalency not less than that of the tube housing assembly. In addition, after the unit is at operating parameters, the shutter(s) shall be controlled by the operator from the control panel. An indication of shutter position shall appear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Low filtration X-ray tubes. Each therapeutic radiation machine equipped with a beryllium or other low-filtration window shall be clearly labeled as such upon the tube housing assembly and shall be provided with a permanent warning device on the control panel that is activated when no additional filtration is present, to indicate that the dose rate is very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design requirements for therapeutic radiation machines capable of operating in the range 50 kV to 500 kV. In addition to shielding adequate to meet requirements of </w:t>
      </w:r>
      <w:hyperlink r:id="rId508">
        <w:r>
          <w:rPr>
            <w:rStyle w:val="Hyperlink"/>
            <w:rFonts w:ascii="Times New Roman" w:hAnsi="Times New Roman"/>
            <w:b w:val="false"/>
            <w:i w:val="false"/>
            <w:color w:val="000000"/>
            <w:sz w:val="22"/>
          </w:rPr>
          <w:t>41.3(19)</w:t>
        </w:r>
      </w:hyperlink>
      <w:r>
        <w:rPr>
          <w:rFonts w:ascii="Times New Roman" w:hAnsi="Times New Roman"/>
          <w:b w:val="false"/>
          <w:i w:val="false"/>
          <w:color w:val="000000"/>
          <w:sz w:val="22"/>
        </w:rPr>
        <w:t>, the treatment room shall meet the following design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Aural communication. Provision shall be made for continuous two-way aural communication between the patient and the operator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Viewing systems. Provision shall be made to permit continuous observation of the patient during irradiation and the viewing system shall be so located that the operator can observe the patient from the control panel. The therapeutic radiation machine shall not be used for patient irradiation unless at least one viewing system is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Treatment rooms which contain a therapeutic radiation machine capable of operating above 150 kV shall meet the following additional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protective barriers shall be fixed except for entrance doors or beam interceptors;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panel shall be located outside the treatment room or in a totally enclosed booth, which has a ceiling, inside the 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Interlocks shall be provided such that all entrance doors, including doors to any interior booths, shall be closed before treatment can be initiated or continued. If the radiation beam is interrupted by any door opening, it shall not be possible to restore the machine to operation without closing the door and reinitiating irradiation by manual action at the control panel;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When any door referred to in </w:t>
      </w:r>
      <w:hyperlink r:id="rId509">
        <w:r>
          <w:rPr>
            <w:rStyle w:val="Hyperlink"/>
            <w:rFonts w:ascii="Times New Roman" w:hAnsi="Times New Roman"/>
            <w:b w:val="false"/>
            <w:i w:val="false"/>
            <w:color w:val="000000"/>
            <w:sz w:val="22"/>
          </w:rPr>
          <w:t>41.3(17)</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“3” is opened while the radiation machine is activated, the air kerma rate at a distance of one meter from the source shall be reduced to less than 1 mGy (100 mrad)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 calibration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Full calibration of a therapeutic radiation machine subject to </w:t>
      </w:r>
      <w:hyperlink r:id="rId510">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shall be performed by, or under the direct supervision of, a radiation therapy physicist: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Before the first medical use following installation or reinstallation of the therapeutic radiation machine;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intervals not exceeding one year;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Before medical use under the following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Whenever quality assurance check measurements indicate that the radiation output differs by more than 5 percent from the value obtained at the last full calibration and the difference cannot be reconciled;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Following any component replacement, major repair, or modification of components that could significantly affect the characteristics of the radiation beam.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Notwithstanding the requirements of </w:t>
      </w:r>
      <w:hyperlink r:id="rId511">
        <w:r>
          <w:rPr>
            <w:rStyle w:val="Hyperlink"/>
            <w:rFonts w:ascii="Times New Roman" w:hAnsi="Times New Roman"/>
            <w:b w:val="false"/>
            <w:i w:val="false"/>
            <w:color w:val="000000"/>
            <w:sz w:val="22"/>
          </w:rPr>
          <w:t>41.3(17)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Full calibration of therapeutic radiation machines with multienergy capabilities is required only for those modes or energies that are not within their acceptable range;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repair, replacement or modification does not affect all energies, full calibration shall be performed on the affected energy that is in most frequent clinical use at the facility. The remaining energies may be validated with quality assurance check procedures against the criteria in </w:t>
      </w:r>
      <w:hyperlink r:id="rId512">
        <w:r>
          <w:rPr>
            <w:rStyle w:val="Hyperlink"/>
            <w:rFonts w:ascii="Times New Roman" w:hAnsi="Times New Roman"/>
            <w:b w:val="false"/>
            <w:i w:val="false"/>
            <w:color w:val="000000"/>
            <w:sz w:val="22"/>
          </w:rPr>
          <w:t>41.3(17)</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513">
        <w:r>
          <w:rPr>
            <w:rStyle w:val="Hyperlink"/>
            <w:rFonts w:ascii="Times New Roman" w:hAnsi="Times New Roman"/>
            <w:b w:val="false"/>
            <w:i w:val="false"/>
            <w:color w:val="000000"/>
            <w:sz w:val="22"/>
          </w:rPr>
          <w:t>41.3(17)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full calibration shall include all measurements recommended for annual calibration by NCRP Report 69, “Dosimetry of X-ray and Gamma Ray Beams for Radiation Therapy in the Energy Range 10 keV to 50 MeV” (1981).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calibration for the duration of the registration. The record shall include the date of the calibration, the manufacturer’s name, model number, and serial number for both the therapeutic radiation machine and the X-ray tube, the model numbers and serial numbers of the instruments used to calibrate the therapeutic radiation machine, and the signature of the radiation therapy physicist responsible for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Periodic quality assurance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Periodic quality assurance checks shall be performed on therapeutic radiation machines, subject to </w:t>
      </w:r>
      <w:hyperlink r:id="rId514">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which are capable of operation at greater than or equal to 50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515">
        <w:r>
          <w:rPr>
            <w:rStyle w:val="Hyperlink"/>
            <w:rFonts w:ascii="Times New Roman" w:hAnsi="Times New Roman"/>
            <w:b w:val="false"/>
            <w:i w:val="false"/>
            <w:color w:val="000000"/>
            <w:sz w:val="22"/>
          </w:rPr>
          <w:t>41.3(17)</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quality assurance checks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registrant shall perform quality assurance checks in accordance with written procedures established by the radiation therapy physicist;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quality assurance check procedures shall specify the frequency at which tests or measurements are to be performed. The quality assurance check procedures shall specify that the quality assurance check shall be performed during the calibration specified in </w:t>
      </w:r>
      <w:hyperlink r:id="rId516">
        <w:r>
          <w:rPr>
            <w:rStyle w:val="Hyperlink"/>
            <w:rFonts w:ascii="Times New Roman" w:hAnsi="Times New Roman"/>
            <w:b w:val="false"/>
            <w:i w:val="false"/>
            <w:color w:val="000000"/>
            <w:sz w:val="22"/>
          </w:rPr>
          <w:t>41.3(17)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acceptable tolerance for each parameter measured in the quality assurance check, when compared to the value for that parameter determined in the calibration specified in </w:t>
      </w:r>
      <w:hyperlink r:id="rId517">
        <w:r>
          <w:rPr>
            <w:rStyle w:val="Hyperlink"/>
            <w:rFonts w:ascii="Times New Roman" w:hAnsi="Times New Roman"/>
            <w:b w:val="false"/>
            <w:i w:val="false"/>
            <w:color w:val="000000"/>
            <w:sz w:val="22"/>
          </w:rPr>
          <w:t>41.3(17)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shall be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cause for a parameter exceeding a tolerance set by the radiation therapy physicist shall be investigated and corrected before the system is used for patient or human research subject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quality assurance check indicates a significant change in the operating characteristics of a system, as specified in the radiation therapy physicist’s quality assurance check procedures, the system shall be recalibrated as required in </w:t>
      </w:r>
      <w:hyperlink r:id="rId518">
        <w:r>
          <w:rPr>
            <w:rStyle w:val="Hyperlink"/>
            <w:rFonts w:ascii="Times New Roman" w:hAnsi="Times New Roman"/>
            <w:b w:val="false"/>
            <w:i w:val="false"/>
            <w:color w:val="000000"/>
            <w:sz w:val="22"/>
          </w:rPr>
          <w:t>41.3(17)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use the dosimetry system described in </w:t>
      </w:r>
      <w:hyperlink r:id="rId519">
        <w:r>
          <w:rPr>
            <w:rStyle w:val="Hyperlink"/>
            <w:rFonts w:ascii="Times New Roman" w:hAnsi="Times New Roman"/>
            <w:b w:val="false"/>
            <w:i w:val="false"/>
            <w:color w:val="000000"/>
            <w:sz w:val="22"/>
          </w:rPr>
          <w:t>41.3(16)</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to make the quality assurance check required in </w:t>
      </w:r>
      <w:hyperlink r:id="rId520">
        <w:r>
          <w:rPr>
            <w:rStyle w:val="Hyperlink"/>
            <w:rFonts w:ascii="Times New Roman" w:hAnsi="Times New Roman"/>
            <w:b w:val="false"/>
            <w:i w:val="false"/>
            <w:color w:val="000000"/>
            <w:sz w:val="22"/>
          </w:rPr>
          <w:t>41.3(17)</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registrant shall have the radiation therapy physicist review and sign the results of each radiation output quality assurance check within one month of test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ensure that safety quality assurance checks of therapeutic radiation machines subject to </w:t>
      </w:r>
      <w:hyperlink r:id="rId521">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are performed at intervals not to exceed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522">
        <w:r>
          <w:rPr>
            <w:rStyle w:val="Hyperlink"/>
            <w:rFonts w:ascii="Times New Roman" w:hAnsi="Times New Roman"/>
            <w:b w:val="false"/>
            <w:i w:val="false"/>
            <w:color w:val="000000"/>
            <w:sz w:val="22"/>
          </w:rPr>
          <w:t>41.3(17)</w:t>
        </w:r>
        <w:r>
          <w:rPr>
            <w:rFonts w:ascii="Times New Roman" w:hAnsi="Times New Roman"/>
            <w:b w:val="false"/>
            <w:i/>
            <w:color w:val="000000"/>
            <w:sz w:val="22"/>
          </w:rPr>
          <w:t>“d”</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and (7), the registrant shall ensure that no therapeutic radiation machine is used to administer radiation to humans unless the quality assurance checks required by </w:t>
      </w:r>
      <w:hyperlink r:id="rId523">
        <w:r>
          <w:rPr>
            <w:rStyle w:val="Hyperlink"/>
            <w:rFonts w:ascii="Times New Roman" w:hAnsi="Times New Roman"/>
            <w:b w:val="false"/>
            <w:i w:val="false"/>
            <w:color w:val="000000"/>
            <w:sz w:val="22"/>
          </w:rPr>
          <w:t>41.3(17)</w:t>
        </w:r>
        <w:r>
          <w:rPr>
            <w:rFonts w:ascii="Times New Roman" w:hAnsi="Times New Roman"/>
            <w:b w:val="false"/>
            <w:i/>
            <w:color w:val="000000"/>
            <w:sz w:val="22"/>
          </w:rPr>
          <w:t>“d”</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and (7) have been performed within the 30 days prior to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524">
        <w:r>
          <w:rPr>
            <w:rStyle w:val="Hyperlink"/>
            <w:rFonts w:ascii="Times New Roman" w:hAnsi="Times New Roman"/>
            <w:b w:val="false"/>
            <w:i w:val="false"/>
            <w:color w:val="000000"/>
            <w:sz w:val="22"/>
          </w:rPr>
          <w:t>41.3(17)</w:t>
        </w:r>
        <w:r>
          <w:rPr>
            <w:rFonts w:ascii="Times New Roman" w:hAnsi="Times New Roman"/>
            <w:b w:val="false"/>
            <w:i/>
            <w:color w:val="000000"/>
            <w:sz w:val="22"/>
          </w:rPr>
          <w:t>“d”</w:t>
        </w:r>
        <w:r>
          <w:rPr>
            <w:rFonts w:ascii="Times New Roman" w:hAnsi="Times New Roman"/>
            <w:b w:val="false"/>
            <w:i w:val="false"/>
            <w:color w:val="000000"/>
            <w:sz w:val="22"/>
          </w:rPr>
          <w:t>(7)</w:t>
        </w:r>
      </w:hyperlink>
      <w:r>
        <w:rPr>
          <w:rFonts w:ascii="Times New Roman" w:hAnsi="Times New Roman"/>
          <w:b w:val="false"/>
          <w:i w:val="false"/>
          <w:color w:val="000000"/>
          <w:sz w:val="22"/>
        </w:rPr>
        <w:t>, safety quality assurance checks shall ensure proper operation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Electrical interlocks at each external beam radiation therapy room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“BEAM-ON” and termination switches;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Beam condition indicator lights on the access door(s), control console, and in the radiation therapy room;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Viewing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applicable, electrically operated treatment room doors from inside and outside the treatment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maintain a record of each quality assurance check required by </w:t>
      </w:r>
      <w:hyperlink r:id="rId525">
        <w:r>
          <w:rPr>
            <w:rStyle w:val="Hyperlink"/>
            <w:rFonts w:ascii="Times New Roman" w:hAnsi="Times New Roman"/>
            <w:b w:val="false"/>
            <w:i w:val="false"/>
            <w:color w:val="000000"/>
            <w:sz w:val="22"/>
          </w:rPr>
          <w:t>41.3(17)</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(7) for three years. The record shall include the date of the quality assurance check, the manufacturer’s name, model number, and serial number for the therapeutic radiation machine, the manufacturer’s name, model number and serial number of the instrument(s) used to measure the radiation output of the therapeutic radiation machine, and the signature of the individual who performed the periodic quality assurance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Therapeutic radiation machines shall not be left unattended unless secured by means identified in </w:t>
      </w:r>
      <w:hyperlink r:id="rId526">
        <w:r>
          <w:rPr>
            <w:rStyle w:val="Hyperlink"/>
            <w:rFonts w:ascii="Times New Roman" w:hAnsi="Times New Roman"/>
            <w:b w:val="false"/>
            <w:i w:val="false"/>
            <w:color w:val="000000"/>
            <w:sz w:val="22"/>
          </w:rPr>
          <w:t>41.3(17)</w:t>
        </w:r>
        <w:r>
          <w:rPr>
            <w:rFonts w:ascii="Times New Roman" w:hAnsi="Times New Roman"/>
            <w:b w:val="false"/>
            <w:i/>
            <w:color w:val="000000"/>
            <w:sz w:val="22"/>
          </w:rPr>
          <w:t>“a”</w:t>
        </w:r>
        <w:r>
          <w:rPr>
            <w:rFonts w:ascii="Times New Roman" w:hAnsi="Times New Roman"/>
            <w:b w:val="false"/>
            <w:i w:val="false"/>
            <w:color w:val="000000"/>
            <w:sz w:val="22"/>
          </w:rPr>
          <w:t>(9)</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patient must be held in position for radiation therapy, mechanical supporting or restraining devices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tube housing assembly shall not be held by an individual during operation unless the assembly is designed to require such holding and the peak tube potential of the system does not exceed 50 kV. In such cases, the holder shall wear protective gloves and apron of not less than 0.5 millimeters lead equivalency at 100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current operating and emergency procedures shall be maintained at the therapeutic radiation machine control console;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 individual other than the patient shall be in the treatment room during exposures from therapeutic radiation machines operating above 150 kV. At energies less than or equal to 150 kV, any individual, other than the patient, in the treatment room shall be protected by a barrier sufficient to meet the requirements of </w:t>
      </w:r>
      <w:hyperlink r:id="rId527">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therapeutic radiation machine shall not be used for irradiation of patients unless the requirements of </w:t>
      </w:r>
      <w:hyperlink r:id="rId528">
        <w:r>
          <w:rPr>
            <w:rStyle w:val="Hyperlink"/>
            <w:rFonts w:ascii="Times New Roman" w:hAnsi="Times New Roman"/>
            <w:b w:val="false"/>
            <w:i w:val="false"/>
            <w:color w:val="000000"/>
            <w:sz w:val="22"/>
          </w:rPr>
          <w:t>41.3(17)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Possession of survey instrument(s). Each facility location authorized to use a therapeutic radiation machine in accordance with </w:t>
      </w:r>
      <w:hyperlink r:id="rId529">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shall have at its disposal appropriately calibrated portable monitoring equipment. As a minimum, such equipment shall include a portable radiation measurement survey instrument capable of measuring dose rates over the range 1 mrem (10 μSv) per hour to 1000 mrem (10 mSv) per hour. The survey instrument(s) shall be operable and calibrated at intervals not to exceed 12 months for the radiation measured.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41.3(18)</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machines—photon therapy systems (500 kV and above) and electron therapy systems (500 keV and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Leakage radiation outside the maximum useful beam in photon and electron modes.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absorbed dose due to leakage radiation (excluding neutrons) at any point outside the maximum-sized useful beam, but within a circular plane of radius two meters which is perpendicular to and centered on the central axis of the useful beam at the nominal treatment distance (i.e., patient plane), shall not exceed a maximum of 0.2 percent and an average of 0.1 percent of the absorbed dose on the central axis of the beam at the nominal treatment distance. Measurements shall be averaged over an area not exceeding 100 square centimeters at a minimum of 16 points uniformly distributed in the plane;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Except for the area defined in </w:t>
      </w:r>
      <w:hyperlink r:id="rId530">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“1,” the absorbed dose due to leakage radiation (excluding neutrons) at one meter from the electron path between the electron source and the target or electron window shall not exceed 0.5 percent of the absorbed dose on the central axis of the beam at the nominal treatment distance. Measurements shall be averaged over an area not exceeding 100 square centimeters;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equipment manufactured after July 9, 1997, the neutron absorbed dose outside the useful beam shall be in compliance with International Electrotechnical Agency (IEC) Document 601-2-1 (most current revision);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each therapeutic radiation machine, the registrant shall determine, or obtain from the manufacturer, the leakage radiation existing at the positions specified in </w:t>
      </w:r>
      <w:hyperlink r:id="rId531">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“1” to “3” for the specified operating conditions. Records of leakage radiation measurements shall be maintained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Leakage radiation through beam-limiting devices.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Photon radiation. All adjustable or interchangeable beam-limiting devices shall attenuate the useful beam such that at the nominal treatment distance, the maximum absorbed dose anywhere in the area shielded by the beam-limiting device(s) shall not exceed 2 percent of the maximum absorbed dose on the central axis of the useful beam measured in a 10-centimeter by 10-centimeter radiation field;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Electron radiation. All adjustable or interchangeable electron applicators shall attenuate the radiation including, but not limited to, photon radiation generated by electrons incident on the beam-limiting device and electron applicator and other parts of the radiation head, such that the absorbed dose in a plane perpendicular to the central axis of the useful beam at the nominal treatment distance shall not exceed: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maximum of 2 percent and average of 0.5 percent of the absorbed dose on the central axis of the useful beam at the nominal treatment distance. This limit shall apply beyond a line seven centimeters outside the periphery of the useful beam;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maximum of 10 percent of the absorbed dose on the central axis of the useful beam at the nominal treatment distance. This limit shall apply beyond a line two centimeters outside the periphery of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 of leakage radiation.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Photon radiation. Measurements of leakage radiation through the beam-limiting devices shall be made with the beam-limiting devices closed and any residual aperture blocked by at least two-tenth value layers of suitable absorbing material. In the case of overlapping beam-limiting devices, the leakage radiation through each set shall be measured independently at the depth of maximum dose. Measurements shall be made using a radiation detector with an area not exceeding ten square centimeters;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Electron radiation. Measurements of leakage radiation through the electron applicators shall be made with the electron beam directed into the air and using a radiation detector with an area up to but not exceeding one square centimeter suitably protected against radiation which has been scattered from material beyond the radiation detector. Measurements shall be made using one centimeter of water equivalent buildup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Filters/wedges.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wedge filter which is removable from the system shall be clearly marked with an identification number. For removable wedge filters, the nominal wedge angle shall appear on the wedge or wedge tray (if permanently mounted to the tray). If the wedge or wedge tray is significantly damaged, the wedge transmission factor shall be redetermined;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absorbed dose rate information required by </w:t>
      </w:r>
      <w:hyperlink r:id="rId532">
        <w:r>
          <w:rPr>
            <w:rStyle w:val="Hyperlink"/>
            <w:rFonts w:ascii="Times New Roman" w:hAnsi="Times New Roman"/>
            <w:b w:val="false"/>
            <w:i w:val="false"/>
            <w:color w:val="000000"/>
            <w:sz w:val="22"/>
          </w:rPr>
          <w:t>41.3(18)</w:t>
        </w:r>
      </w:hyperlink>
      <w:r>
        <w:rPr>
          <w:rFonts w:ascii="Times New Roman" w:hAnsi="Times New Roman"/>
          <w:b w:val="false"/>
          <w:i/>
          <w:color w:val="000000"/>
          <w:sz w:val="22"/>
        </w:rPr>
        <w:t>“a”</w:t>
      </w:r>
      <w:r>
        <w:rPr>
          <w:rFonts w:ascii="Times New Roman" w:hAnsi="Times New Roman"/>
          <w:b w:val="false"/>
          <w:i w:val="false"/>
          <w:color w:val="000000"/>
          <w:sz w:val="22"/>
        </w:rPr>
        <w:t>(9) relates exclusively to operation with a field-flattening filter or beam-scattering foil in place, such filter or foil shall be removable only by the use of tools;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equipment manufactured after July 9, 1997, which utilizes a system of wedge filters, interchangeable field-flattening filters, or interchangeable beam-scattering foils: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Irradiation shall not be possible until a selection of a filter or a positive selection to use “no filter” has been made at the treatment control panel, either manually or automatically;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interlock system shall be provided to prevent irradiation if the filter selected is not in the correct position;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display shall be provided at the treatment control panel showing the wedge filter(s), interchangeable field-flattening filter(s), and interchangeable beam-scattering foil(s) in use;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interlock shall be provided to prevent irradiation if any filter or beam-scattering foil selection operation carried out in the treatment room does not agree with the filter or beam-scattering foil selection operation carried out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Stray radiation in the useful beam. For equipment manufactured after July 9, 1997, the registrant shall determine during acceptance testing, or obtain from the manufacturer, data sufficient to ensure that X-ray stray radiation in the useful electron beam, absorbed dose at the surface during X-ray irradiation and stray neutron radiation in the useful X-ray beam are in compliance with International Electrotechnical Agency (IEC) Document 601-2-1 (most current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Beam monitors. All therapeutic radiation machines subject to </w:t>
      </w:r>
      <w:hyperlink r:id="rId533">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be provided with redundant beam monitoring systems. The sensors for these systems shall be fixed in the useful beam during treatment to indicate the dose monitor unit rate.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Equipment manufactured after July 9, 1997, shall be provided with at least two independently powered integrating dose meters. Alternatively, common elements may be used if the production of radiation is terminated upon failure of any common element.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Equipment manufactured on or before July 9, 1997, shall be provided with at least one radiation detector. This detector shall be incorporated into a useful beam monitoring system. The detector and the system into which that detector is incorporated shall meet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detector shall be removable only with tools and, if movable, shall be interlocked to prevent incorrect positioning;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detector shall form part of a beam monitoring system from whose readings in dose monitor units the absorbed dose at a reference point can be calculated;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beam monitoring system shall be capable of independently monitoring, interrupting, and terminating irradiation;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equipment manufactured after July 9, 1997, the design of the beam monitoring systems shall ensure that the: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Malfunctioning of one system shall not affect the correct functioning of the other system(s);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Failure of any element common to both systems which could affect the correct function of both systems shall terminate irradiation or prevent the initiation of radiation.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Each beam monitoring system shall have a legible display at the treatment control panel. For equipment manufactured after July 9, 1997, each display shall: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Maintain a reading until intentionally reset;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Have only one scale and no electrical or mechanical scale multiplying factors;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Utilize a design such that increasing dose is displayed by increasing numbers;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 the event of power failure, the beam monitoring information required in </w:t>
      </w:r>
      <w:hyperlink r:id="rId534">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(6)</w:t>
        </w:r>
      </w:hyperlink>
      <w:r>
        <w:rPr>
          <w:rFonts w:ascii="Times New Roman" w:hAnsi="Times New Roman"/>
          <w:b w:val="false"/>
          <w:i w:val="false"/>
          <w:color w:val="000000"/>
          <w:sz w:val="22"/>
        </w:rPr>
        <w:t>“4” displayed at the control panel at the time of failure shall be retrievable in at least one system for a 20-minute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Beam symmetry.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Bent-beam linear accelerators with beam-flattening filter(s) subject to </w:t>
      </w:r>
      <w:hyperlink r:id="rId535">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be provided with auxiliary device(s) to monitor beam symmetry;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device(s) referenced in </w:t>
      </w:r>
      <w:hyperlink r:id="rId536">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“1” shall be able to detect field asymmetry greater than 10 percent, and shall be configured to terminate irradiation if field asymmetry cannot be maintained at 10 percent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Selection and display of dose monitor units.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preselected number of dose monitor units shall be displayed at the treatment control panel until reset manually;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termination of irradiation, it shall be necessary to reset the dosimeter display before subsequent treatment can be initiated;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equipment manufactured after July 9, 1997, after termination of irradiation, it shall be necessary for the operator to reset the preselected dose monitor units before irradiation can be initiated.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Irradiation shall not be possible until a new selection of a number of dose monitor units has been made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Air kerma rate/absorbed dose rate. For equipment manufactured after July 9, 1997, a system shall be provided from whose readings the air kerma rate or absorbed dose rate at a reference point can be calculated. (The radiation detectors specified in </w:t>
      </w:r>
      <w:hyperlink r:id="rId537">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may form part of this system.) In addition: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dose monitor unit rate shall be displayed at the treatment control panel;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equipment can deliver under any conditions an air kerma rate or absorbed dose rate at the nominal treatment distance more than twice the maximum value specified by the manufacturer, a device shall be provided which terminates irradiation when the air kerma rate or absorbed dose rate exceeds a value twice the specified maximum. The dose rate at which the irradiation will be terminated shall be a record maintained by the registrant;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equipment can deliver under any fault condition(s) an air kerma rate or absorbed dose rate at the nominal treatment distance more than ten times the maximum value specified by the manufacturer, a device shall be provided to prevent the air kerma rate or absorbed dose rate anywhere in the radiation field from exceeding twice the specified maximum value and to terminate irradiation if the excess absorbed dose at the nominal treatment distance exceeds 400 rad (4 Gy);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each therapeutic radiation machine, the registrant shall determine, or obtain from the manufacturer, the maximum value(s) specified in </w:t>
      </w:r>
      <w:hyperlink r:id="rId538">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“2” and “3” for the specified operating conditions. Records of these maximum value(s) shall be maintained at the installation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Termination of irradiation by the beam monitoring system or systems during stationary beam radiation therapy.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primary system shall terminate irradiation when the preselected number of dose monitor units has been detected by the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original design of the equipment included a secondary dose monitoring system, that system shall be capable of terminating irradiation when not more than 15 percent or 40 dose monitor units above the preselected number of dose monitor units set at the control panel has been detected by the secondary dose monitoring system;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equipment manufactured after July 9, 1997, an indicator on the control panel shall show which monitoring system has terminated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Termination switches. It shall be possible to terminate irradiation and equipment movement or go from an interruption condition to termination condition at any time from the operator’s position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Interruption switches. If a therapeutic radiation machine has an interrupt mode, it shall be possible to interrupt irradiation and equipment movements at any time from the treatment control panel. Following an interruption it shall be possible to restart irradiation by operator action without any reselection of operating conditions. If any change of a preselected value is made during an interruption, irradiation and equipment movements shall be automatically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Timer. A suitable irradiation control device shall be provided to terminate the irradiation after a preset time interval.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timer shall be provided which has a display at the treatment control panel. The timer shall have a preset time selector and an elapsed time indicator;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timer shall be a cumulative timer which activates with an indication of “BEAM-ON” and retains its reading after irradiation is interrupted or terminated. After irradiation is terminated and before irradiation can be reinitiated, it shall be necessary to reset the elapsed time indicator;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timer shall terminate irradiation when a preselected time has elapsed, if the dose monitoring systems have not previously terminated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Selection of radiation type. Equipment capable of both X-ray therapy and electron therapy shall meet the following additional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Irradiation shall not be possible until a selection of radiation type (X-rays or electrons) has been made at the treatment control panel;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radiation type selected shall be displayed at the treatment control panel before and during irradiation;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interlock system shall be provided to ensure that the equipment can principally emit only the radiation type which has been selected;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interlock system shall be provided to prevent irradiation with X-rays, except to obtain a verification image, when electron applicators are fitted;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interlock system shall be provided to prevent irradiation with electrons when accessories specific for X-ray therapy are fitted;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interlock system shall be provided to prevent irradiation if any selected operations carried out in the treatment room do not agree with the selected operations carried out at the treatment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Selection of energy. Equipment capable of generating radiation beams of different energies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Irradiation shall not be possible until a selection of energy has been made at the treatment control panel;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nominal energy value selected shall be displayed at the treatment control panel until reset manually for the next irradiation. After termination of irradiation, it shall be necessary to reset the nominal energy value selected before subsequent treatment can be initiated;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Irradiation shall not be possible until the appropriate flattening filter or scattering foil for the selected energy is in its proper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equipment manufactured after July 9, 1997, the selection of energy shall be in compliance with International Electrotechnical Commission (IEC) Document 60601-2-1.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Selection of stationary beam radiation therapy or moving beam radiation therapy. Therapeutic radiation machines capable of both stationary beam radiation therapy and moving beam radiation therapy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Irradiation shall not be possible until a selection of stationary beam radiation therapy or moving beam radiation therapy has been made at the treatment control panel;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mode of operation shall be displayed at the treatment control panel;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interlock system shall be provided to ensure that the equipment can operate only in the mode which has been selected;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interlock system shall be provided to prevent irradiation if any selected parameter in the treatment room does not agree with the selected parameter at the treatment control panel;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Moving beam radiation therapy shall be controlled to obtain the selected relationships between incremental dose monitor units and incremental movement. For equipment manufactured after July 9, 1997:</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interlock system shall be provided to terminate irradiation if the number of dose monitor units delivered in any ten degrees of rotation or one centimeter of linear motion differs by more than 20 percent from the selected value;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Where angle terminates the irradiation in moving beam radiation therapy, the dose monitor units delivered shall differ by less than 5 percent from the dose monitor unit value selected;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interlock shall be provided to prevent motion of more than five degrees or one centimeter beyond the selected limits during moving beam radiation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interlock shall be provided to require that a selection of direction be made at the treatment control panel in all units which are capable of both clockwise and counterclockwise moving beam radiation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Moving beam radiation therapy shall be controlled with both primary position sensors and secondary position sensors to obtain the selected relationships between incremental dose monitor units and incremental movement.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Where the beam monitoring system terminates the irradiation in moving beam radiation therapy, the termination of irradiation shall be as required by </w:t>
      </w:r>
      <w:hyperlink r:id="rId539">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 equipment manufactured after July 9, 1997, an interlock system shall be provided to terminate irradiation if movement: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Occurs during stationary beam radiation therapy;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Does not start or stops during moving beam radiation therapy unless such stoppage is a preplanned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design requirements for therapeutic radiation machines operating above 500 kV. In addition to shielding adequate to meet requirements of </w:t>
      </w:r>
      <w:hyperlink r:id="rId540">
        <w:r>
          <w:rPr>
            <w:rStyle w:val="Hyperlink"/>
            <w:rFonts w:ascii="Times New Roman" w:hAnsi="Times New Roman"/>
            <w:b w:val="false"/>
            <w:i w:val="false"/>
            <w:color w:val="000000"/>
            <w:sz w:val="22"/>
          </w:rPr>
          <w:t>41.3(19)</w:t>
        </w:r>
      </w:hyperlink>
      <w:r>
        <w:rPr>
          <w:rFonts w:ascii="Times New Roman" w:hAnsi="Times New Roman"/>
          <w:b w:val="false"/>
          <w:i w:val="false"/>
          <w:color w:val="000000"/>
          <w:sz w:val="22"/>
        </w:rPr>
        <w:t>, the following design requirements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Protective barriers. All protective barriers shall be fixed, except for access doors to the treatment room or movable beam interceptors.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panel. In addition to other requirements specified in </w:t>
      </w:r>
      <w:hyperlink r:id="rId541">
        <w:r>
          <w:rPr>
            <w:rStyle w:val="Hyperlink"/>
            <w:rFonts w:ascii="Times New Roman" w:hAnsi="Times New Roman"/>
            <w:b w:val="false"/>
            <w:i w:val="false"/>
            <w:color w:val="000000"/>
            <w:sz w:val="22"/>
          </w:rPr>
          <w:t>641—41.3(136C)</w:t>
        </w:r>
      </w:hyperlink>
      <w:r>
        <w:rPr>
          <w:rFonts w:ascii="Times New Roman" w:hAnsi="Times New Roman"/>
          <w:b w:val="false"/>
          <w:i w:val="false"/>
          <w:color w:val="000000"/>
          <w:sz w:val="22"/>
        </w:rPr>
        <w:t>, the control panel shall also: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located outside the treatment room;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an indication of whether electrical power is available at the control panel and if activation of the radiation is possible;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an indication of whether radiation is being produced;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Include an access control (locking) device which will prevent unauthorized use of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Viewing systems. Windows, mirrors, closed-circuit television or an equivalent viewing system shall be provided to permit continuous observation of the patient following positioning and during irradiation and shall be so located that the operator may observe the patient from the treatment control panel. The therapeutic radiation machine shall not be used for patient irradiation unless at least one viewing system is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Aural communications. Provision shall be made for continuous two-way aural communication between the patient and the operator at the control panel. The therapeutic radiation machine shall not be used for irradiation of patients unless continuous two-way aural communication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Room entrances. Treatment room entrances shall be provided with warning lights in a readily observable position near the outside of all access doors, which will indicate when the useful beam is “ON” and when it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Entrance interlocks. Interlocks shall be provided such that all access controls are activated before treatment can be initiated or continued. If the radiation beam is interrupted by any access control, it shall not be possible to restore the machine to operation without resetting the access control and reinitiating irradiation by manual action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Beam interceptor interlocks. If the shielding material in any protective barrier requires the presence of a beam interceptor to ensure compliance with 641—paragraphs </w:t>
      </w:r>
      <w:hyperlink r:id="rId542">
        <w:r>
          <w:rPr>
            <w:rStyle w:val="Hyperlink"/>
            <w:rFonts w:ascii="Times New Roman" w:hAnsi="Times New Roman"/>
            <w:b w:val="false"/>
            <w:i w:val="false"/>
            <w:color w:val="000000"/>
            <w:sz w:val="22"/>
          </w:rPr>
          <w:t>40.26(1)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interlocks shall be provided to prevent the production of radiation, unless the beam interceptor is in place, whenever the useful beam is directed at the designated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cutoff switches. At least one emergency power cutoff switch shall be located in the radiation therapy room and shall terminate all equipment electrical power including radiation and mechanical motion. This switch is in addition to the termination switch required by </w:t>
      </w:r>
      <w:hyperlink r:id="rId543">
        <w:r>
          <w:rPr>
            <w:rStyle w:val="Hyperlink"/>
            <w:rFonts w:ascii="Times New Roman" w:hAnsi="Times New Roman"/>
            <w:b w:val="false"/>
            <w:i w:val="false"/>
            <w:color w:val="000000"/>
            <w:sz w:val="22"/>
          </w:rPr>
          <w:t>41.3(18)</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All emergency power cutoff switches shall include a manual reset so that the therapeutic radiation machine cannot be restarted from the unit’s control console without resetting the emergency cutoff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Safety interlocks. All safety interlocks shall be designed so that any defect or component failure in the safety interlock system prevents or terminates operation of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Surveys for residual radiation. Surveys for residual activity shall be conducted on all therapeutic radiation machines capable of generating photon and electron energies above 10 MV prior to machining, removing, or working on therapeutic radiation machine components which may have become activated due to photoneutron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Possession of survey instrument(s). Each facility location authorized to use a therapeutic radiation machine in accordance with </w:t>
      </w:r>
      <w:hyperlink r:id="rId544">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have at its disposal appropriately calibrated portable monitoring equipment. As a minimum, such equipment shall include a portable radiation measurement survey instrument capable of measuring dose rates over the range 1 mrem (10 μSv) per hour to 1000 mrem (10 mSv) per hour. The survey instrument(s) shall be operable and calibrated at intervals not to exceed 12 months for the radiation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Radiation therapy physicist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of a radiation therapy physicist shall be required in facilities having therapeutic radiation machines with energies of 500 kV and above. The radiation therapy physicist shall be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Full calibration(s) required by </w:t>
      </w:r>
      <w:hyperlink r:id="rId545">
        <w:r>
          <w:rPr>
            <w:rStyle w:val="Hyperlink"/>
            <w:rFonts w:ascii="Times New Roman" w:hAnsi="Times New Roman"/>
            <w:b w:val="false"/>
            <w:i w:val="false"/>
            <w:color w:val="000000"/>
            <w:sz w:val="22"/>
          </w:rPr>
          <w:t>41.3(18)</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protection surveys required by </w:t>
      </w:r>
      <w:hyperlink r:id="rId546">
        <w:r>
          <w:rPr>
            <w:rStyle w:val="Hyperlink"/>
            <w:rFonts w:ascii="Times New Roman" w:hAnsi="Times New Roman"/>
            <w:b w:val="false"/>
            <w:i w:val="false"/>
            <w:color w:val="000000"/>
            <w:sz w:val="22"/>
          </w:rPr>
          <w:t>41.3(16)</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Supervision and review of dosimetry;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Beam data acquisition and transfer for computerized dosimetry, and supervision of its use;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Quality assurance, including quality assurance check review required by </w:t>
      </w:r>
      <w:hyperlink r:id="rId547">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of these regulations;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Consultation with the authorized user in treatment planning, as needed;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Performing calculations/assessments regarding misadministrations.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radiation therapy physicist is not a full-time employee of the registrant, the operating procedures required by </w:t>
      </w:r>
      <w:hyperlink r:id="rId548">
        <w:r>
          <w:rPr>
            <w:rStyle w:val="Hyperlink"/>
            <w:rFonts w:ascii="Times New Roman" w:hAnsi="Times New Roman"/>
            <w:b w:val="false"/>
            <w:i w:val="false"/>
            <w:color w:val="000000"/>
            <w:sz w:val="22"/>
          </w:rPr>
          <w:t>41.3(18)</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also specifically address how the radiation therapy physicist is to be contacted for problems or emergencies, as well as the specific actions, if any, to be taken until the radiation therapy physicist can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individual, other than the patient, shall be in the treatment room during treatment or during any irradiation for testing or calibration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Therapeutic radiation machines shall not be made available for medical use unless the requirements of </w:t>
      </w:r>
      <w:hyperlink r:id="rId549">
        <w:r>
          <w:rPr>
            <w:rStyle w:val="Hyperlink"/>
            <w:rFonts w:ascii="Times New Roman" w:hAnsi="Times New Roman"/>
            <w:b w:val="false"/>
            <w:i w:val="false"/>
            <w:color w:val="000000"/>
            <w:sz w:val="22"/>
          </w:rPr>
          <w:t>41.3(16)</w:t>
        </w:r>
        <w:r>
          <w:rPr>
            <w:rFonts w:ascii="Times New Roman" w:hAnsi="Times New Roman"/>
            <w:b w:val="false"/>
            <w:i/>
            <w:color w:val="000000"/>
            <w:sz w:val="22"/>
          </w:rPr>
          <w:t>“a,”</w:t>
        </w:r>
      </w:hyperlink>
      <w:r>
        <w:rPr>
          <w:rFonts w:ascii="Times New Roman" w:hAnsi="Times New Roman"/>
          <w:b w:val="false"/>
          <w:i w:val="false"/>
          <w:color w:val="000000"/>
          <w:sz w:val="22"/>
        </w:rPr>
        <w:t> </w:t>
      </w:r>
      <w:hyperlink r:id="rId550">
        <w:r>
          <w:rPr>
            <w:rStyle w:val="Hyperlink"/>
            <w:rFonts w:ascii="Times New Roman" w:hAnsi="Times New Roman"/>
            <w:b w:val="false"/>
            <w:i w:val="false"/>
            <w:color w:val="000000"/>
            <w:sz w:val="22"/>
          </w:rPr>
          <w:t>41.3(18)</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551">
        <w:r>
          <w:rPr>
            <w:rStyle w:val="Hyperlink"/>
            <w:rFonts w:ascii="Times New Roman" w:hAnsi="Times New Roman"/>
            <w:b w:val="false"/>
            <w:i w:val="false"/>
            <w:color w:val="000000"/>
            <w:sz w:val="22"/>
          </w:rPr>
          <w:t>41.3(18)</w:t>
        </w:r>
        <w:r>
          <w:rPr>
            <w:rFonts w:ascii="Times New Roman" w:hAnsi="Times New Roman"/>
            <w:b w:val="false"/>
            <w:i/>
            <w:color w:val="000000"/>
            <w:sz w:val="22"/>
          </w:rPr>
          <w:t>“f”</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 when not in operation, shall be secured to prevent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adjustable beam-limiting devices are used, the position and shape of the radiation field shall be indicated by a light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patient must be held in position during treatment, mechanical supporting or restraining devices shall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current operating and emergency procedures shall be maintained at the therapeutic radiation machine control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Acceptance testing, commissioning, and full calibration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Acceptance testing, commissioning, and full calibration of a therapeutic radiation machine subject to </w:t>
      </w:r>
      <w:hyperlink r:id="rId552">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be performed by, or under the direct supervision of, a radiation therapy physicist: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Acceptance testing and commissioning shall be performed in accordance with “AAPM Code of Practice for Radiotherapy Accelerators: AAPM Report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47,” prepared by Radiation Therapy Task Group 45, and the manufacturer’s contractual specifications and shall be conducted before the first medical use following installation or reinstallation of the therapeutic radiation machine;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Full calibration shall include measurement of all parameters listed in Appendix D of </w:t>
      </w:r>
      <w:hyperlink r:id="rId553">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and shall be performed in accordance with “AAPM Code of Practice for Radiotherapy Accelerators: AAPM Report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47,” prepared by Radiation Therapy Task Group 45. Although it shall not be necessary to complete all elements of a full calibration at the same time, all parameters (for all energies) shall be completed at intervals not to exceed 12 calendar months, unless a more frequent interval is required by this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radiation therapy physicist shall perform all elements of a full calibration necessary to determine that all parameters are within acceptable limits: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Whenever quality assurance check measurements indicate that the radiation output differs by more than 5 percent from the value obtained at the last full calibration and the difference cannot be reconciled. Therapeutic radiation machines with multienergy or multimode capabilities or both shall only require measurements for those modes or energies that are not within their acceptable range;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Following any component replacement, major repair, or modification of components that could significantly affect the characteristics of the radiation beam. If the repair, replacement or modification does not affect all modes or energies, measurements shall be performed on the affected mode/energy that is in most frequent clinical use at the facility. The remaining energies/modes may be validated with quality assurance check procedures against the criteria in </w:t>
      </w:r>
      <w:hyperlink r:id="rId554">
        <w:r>
          <w:rPr>
            <w:rStyle w:val="Hyperlink"/>
            <w:rFonts w:ascii="Times New Roman" w:hAnsi="Times New Roman"/>
            <w:b w:val="false"/>
            <w:i w:val="false"/>
            <w:color w:val="000000"/>
            <w:sz w:val="22"/>
          </w:rPr>
          <w:t>41.3(18)</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use the dosimetry system described in </w:t>
      </w:r>
      <w:hyperlink r:id="rId555">
        <w:r>
          <w:rPr>
            <w:rStyle w:val="Hyperlink"/>
            <w:rFonts w:ascii="Times New Roman" w:hAnsi="Times New Roman"/>
            <w:b w:val="false"/>
            <w:i w:val="false"/>
            <w:color w:val="000000"/>
            <w:sz w:val="22"/>
          </w:rPr>
          <w:t>41.3(16)</w:t>
        </w:r>
        <w:r>
          <w:rPr>
            <w:rFonts w:ascii="Times New Roman" w:hAnsi="Times New Roman"/>
            <w:b w:val="false"/>
            <w:i/>
            <w:color w:val="000000"/>
            <w:sz w:val="22"/>
          </w:rPr>
          <w:t>“c”</w:t>
        </w:r>
      </w:hyperlink>
      <w:r>
        <w:rPr>
          <w:rFonts w:ascii="Times New Roman" w:hAnsi="Times New Roman"/>
          <w:b w:val="false"/>
          <w:i w:val="false"/>
          <w:color w:val="000000"/>
          <w:sz w:val="22"/>
        </w:rPr>
        <w:t xml:space="preserve"> to measure the radiation output for one set of exposure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 record of each calibration in an auditable form for the duration of the registration. The record shall include the date of the calibration, the manufacturer’s name, model number, and serial number for the therapeutic radiation machine, the model numbers and serial numbers of the instruments used to calibrate the therapeutic radiation machine, and the signature of the radiation therapy physicist responsible for performing the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Periodic quality assurance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Periodic quality assurance checks shall be performed on all therapeutic radiation machines subject to </w:t>
      </w:r>
      <w:hyperlink r:id="rId556">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at intervals as specified in Appendix D of </w:t>
      </w:r>
      <w:hyperlink r:id="rId557">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558">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quality assurance checks shall include determination of central axis radiation output and a representative sampling of periodic quality assurance checks contained in Appendix D of </w:t>
      </w:r>
      <w:hyperlink r:id="rId559">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Representative sampling shall include all referenced periodic quality assurance checks at intervals not to exceed 12 consecutive calendar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use a dosimetry system which has been intercompared within the previous 12 months with the dosimetry system described in </w:t>
      </w:r>
      <w:hyperlink r:id="rId560">
        <w:r>
          <w:rPr>
            <w:rStyle w:val="Hyperlink"/>
            <w:rFonts w:ascii="Times New Roman" w:hAnsi="Times New Roman"/>
            <w:b w:val="false"/>
            <w:i w:val="false"/>
            <w:color w:val="000000"/>
            <w:sz w:val="22"/>
          </w:rPr>
          <w:t>41.3(16)</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make the periodic quality assurance checks required in </w:t>
      </w:r>
      <w:hyperlink r:id="rId561">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perform periodic quality assurance checks required by </w:t>
      </w:r>
      <w:hyperlink r:id="rId562">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accordance with procedures established by the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registrant shall review the results of each periodic radiation output check according to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authorized user and radiation therapy physicist shall be immediately notified if any parameter is not within its acceptable tolerance. The therapeutic radiation machine shall not be made available for subsequent medical use until the radiation therapy physicist has determined that all parameters are within their acceptable tolerances;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all quality assurance check parameters appear to be within their acceptable range, the quality assurance check shall be reviewed and signed by either the authorized user or radiation therapy physicist within three treatment days;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radiation therapy physicist shall review and sign the results of each radiation output quality assurance check at intervals not to exceed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Therapeutic radiation machines subject to </w:t>
      </w:r>
      <w:hyperlink r:id="rId563">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have safety quality assurance checks of each external beam radiation therapy machine performed at intervals not to exceed one week or at longer intervals as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 of </w:t>
      </w:r>
      <w:hyperlink r:id="rId564">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(6)</w:t>
        </w:r>
      </w:hyperlink>
      <w:r>
        <w:rPr>
          <w:rFonts w:ascii="Times New Roman" w:hAnsi="Times New Roman"/>
          <w:b w:val="false"/>
          <w:i w:val="false"/>
          <w:color w:val="000000"/>
          <w:sz w:val="22"/>
        </w:rPr>
        <w:t>, safety quality assurance checks shall ensure proper operation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Electrical interlocks at each external beam radiation therapy room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 operation of the “BEAM-ON,” interrupt and termination switches;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Beam condition indicator lights on the access doors, control console, and in the radiation therapy room;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Viewing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Aural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Electrically operated treatment room door(s) from inside and outside the treatment room;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At least one emergency power cutoff switch. If more than one emergency power cutoff switch is installed and not all switches are tested at once, each switch shall be tested on a rotating basis. Safety quality assurance checks of the emergency power cutoff switches may be conducted at the end of the treatment day in order to minimize possible stability problems with the therapeutic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promptly repair any system identified in </w:t>
      </w:r>
      <w:hyperlink r:id="rId565">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that is not operating properly;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maintain a record of each quality assurance check required by </w:t>
      </w:r>
      <w:hyperlink r:id="rId566">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567">
        <w:r>
          <w:rPr>
            <w:rStyle w:val="Hyperlink"/>
            <w:rFonts w:ascii="Times New Roman" w:hAnsi="Times New Roman"/>
            <w:b w:val="false"/>
            <w:i w:val="false"/>
            <w:color w:val="000000"/>
            <w:sz w:val="22"/>
          </w:rPr>
          <w:t>41.3(18)</w:t>
        </w:r>
        <w:r>
          <w:rPr>
            <w:rFonts w:ascii="Times New Roman" w:hAnsi="Times New Roman"/>
            <w:b w:val="false"/>
            <w:i/>
            <w:color w:val="000000"/>
            <w:sz w:val="22"/>
          </w:rPr>
          <w:t>“f”</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for three years. The record shall include the date of the quality assurance check, the manufacturer’s name, model number, and serial number for the therapeutic radiation machine, the manufacturer’s name, model number and serial number of the instrument(s) used to measure the radiation output of the therapeutic radiation machine, and the signature of the individual who performed the periodic quality assurance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41.3(19)</w:t>
      </w:r>
      <w:r>
        <w:rPr>
          <w:rFonts w:ascii="Times New Roman" w:hAnsi="Times New Roman"/>
          <w:b w:val="false"/>
          <w:i w:val="false"/>
          <w:color w:val="000000"/>
          <w:sz w:val="22"/>
        </w:rPr>
        <w:t> </w:t>
      </w:r>
      <w:r>
        <w:rPr>
          <w:rFonts w:ascii="Times New Roman" w:hAnsi="Times New Roman"/>
          <w:b w:val="false"/>
          <w:i w:val="false"/>
          <w:color w:val="000000"/>
          <w:sz w:val="22"/>
        </w:rPr>
        <w:t>Shielding and safety design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therapeutic radiation machine subject to </w:t>
      </w:r>
      <w:hyperlink r:id="rId568">
        <w:r>
          <w:rPr>
            <w:rStyle w:val="Hyperlink"/>
            <w:rFonts w:ascii="Times New Roman" w:hAnsi="Times New Roman"/>
            <w:b w:val="false"/>
            <w:i w:val="false"/>
            <w:color w:val="000000"/>
            <w:sz w:val="22"/>
          </w:rPr>
          <w:t>41.3(17)</w:t>
        </w:r>
      </w:hyperlink>
      <w:r>
        <w:rPr>
          <w:rFonts w:ascii="Times New Roman" w:hAnsi="Times New Roman"/>
          <w:b w:val="false"/>
          <w:i w:val="false"/>
          <w:color w:val="000000"/>
          <w:sz w:val="22"/>
        </w:rPr>
        <w:t xml:space="preserve"> or </w:t>
      </w:r>
      <w:hyperlink r:id="rId569">
        <w:r>
          <w:rPr>
            <w:rStyle w:val="Hyperlink"/>
            <w:rFonts w:ascii="Times New Roman" w:hAnsi="Times New Roman"/>
            <w:b w:val="false"/>
            <w:i w:val="false"/>
            <w:color w:val="000000"/>
            <w:sz w:val="22"/>
          </w:rPr>
          <w:t>41.3(18)</w:t>
        </w:r>
      </w:hyperlink>
      <w:r>
        <w:rPr>
          <w:rFonts w:ascii="Times New Roman" w:hAnsi="Times New Roman"/>
          <w:b w:val="false"/>
          <w:i w:val="false"/>
          <w:color w:val="000000"/>
          <w:sz w:val="22"/>
        </w:rPr>
        <w:t xml:space="preserve"> shall be provided with such primary or secondary barriers as are necessary to ensure compliance with </w:t>
      </w:r>
      <w:hyperlink r:id="rId570">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xml:space="preserve"> and </w:t>
      </w:r>
      <w:hyperlink r:id="rId571">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design information for all new installations of a therapeutic radiation machine or installations of a therapeutic radiation machine of higher energy into a room not previously approved for that energy shall be submitted for agency approval prior to actual installation of the therapeutic radiation machine. The minimum facility design information that must be submitted is contained in Appendix E of </w:t>
      </w:r>
      <w:hyperlink r:id="rId572">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w:t>
      </w:r>
      <w:r>
        <w:rPr>
          <w:rFonts w:ascii="Times New Roman" w:hAnsi="Times New Roman"/>
          <w:b w:val="false"/>
          <w:i w:val="false"/>
          <w:color w:val="000000"/>
          <w:sz w:val="22"/>
        </w:rPr>
        <w:t> </w:t>
      </w:r>
      <w:r>
        <w:rPr>
          <w:rFonts w:ascii="Times New Roman" w:hAnsi="Times New Roman"/>
          <w:b w:val="false"/>
          <w:i w:val="false"/>
          <w:color w:val="000000"/>
          <w:sz w:val="22"/>
        </w:rPr>
        <w:t>Calibration of survey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ensure that the survey instruments used to show compliance with </w:t>
      </w:r>
      <w:hyperlink r:id="rId573">
        <w:r>
          <w:rPr>
            <w:rStyle w:val="Hyperlink"/>
            <w:rFonts w:ascii="Times New Roman" w:hAnsi="Times New Roman"/>
            <w:b w:val="false"/>
            <w:i w:val="false"/>
            <w:color w:val="000000"/>
            <w:sz w:val="22"/>
          </w:rPr>
          <w:t>641—41.3</w:t>
        </w:r>
      </w:hyperlink>
      <w:r>
        <w:rPr>
          <w:rFonts w:ascii="Times New Roman" w:hAnsi="Times New Roman"/>
          <w:b w:val="false"/>
          <w:i w:val="false"/>
          <w:color w:val="000000"/>
          <w:sz w:val="22"/>
        </w:rPr>
        <w:t>(136C) have been calibrated before first use, at intervals not to exceed 12 months, and following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the requirements of </w:t>
      </w:r>
      <w:hyperlink r:id="rId574">
        <w:r>
          <w:rPr>
            <w:rStyle w:val="Hyperlink"/>
            <w:rFonts w:ascii="Times New Roman" w:hAnsi="Times New Roman"/>
            <w:b w:val="false"/>
            <w:i w:val="false"/>
            <w:color w:val="000000"/>
            <w:sz w:val="22"/>
          </w:rPr>
          <w:t>41.3(20)</w:t>
        </w:r>
      </w:hyperlink>
      <w:r>
        <w:rPr>
          <w:rFonts w:ascii="Times New Roman" w:hAnsi="Times New Roman"/>
          <w:b w:val="false"/>
          <w:i w:val="false"/>
          <w:color w:val="000000"/>
          <w:sz w:val="22"/>
        </w:rPr>
        <w:t>,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Calibrate all required scale readings up to 1000 mrem (10 mSv) per hour with an appropriate radiation source that is traceable to the National Institute of Standards and Technology (NIST);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Calibrate at least two points on each scale to be calibrated. These points should be at approximately 1/3 and 2/3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Consider a point as calibrated if the indicated dose rate differs from the calculated dose rate by not more than 10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Consider a point as calibrated if the indicated dose rate differs from the calculated dose rate by not more than 20 percent if a correction factor or graph is conspicuously attached to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retain a record of each calibration required in </w:t>
      </w:r>
      <w:hyperlink r:id="rId575">
        <w:r>
          <w:rPr>
            <w:rStyle w:val="Hyperlink"/>
            <w:rFonts w:ascii="Times New Roman" w:hAnsi="Times New Roman"/>
            <w:b w:val="false"/>
            <w:i w:val="false"/>
            <w:color w:val="000000"/>
            <w:sz w:val="22"/>
          </w:rPr>
          <w:t>41.3(20)</w:t>
        </w:r>
      </w:hyperlink>
      <w:r>
        <w:rPr>
          <w:rFonts w:ascii="Times New Roman" w:hAnsi="Times New Roman"/>
          <w:b w:val="false"/>
          <w:i w:val="false"/>
          <w:color w:val="000000"/>
          <w:sz w:val="22"/>
        </w:rPr>
        <w:t xml:space="preserve"> for three years.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calibration procedure;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source used and the certified dose rates from the source, and the rates indicated by the instrument being calibrated, the correction factors deduced from the calibration data, the signature of the individual who performed the calibration, and the date of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may obtain the services of individuals licensed by this agency, the U.S. Nuclear Regulatory Commission, an agreement state, or a licensing state to perform calibrations of survey instruments. Records of calibrations that contain information required in </w:t>
      </w:r>
      <w:hyperlink r:id="rId576">
        <w:r>
          <w:rPr>
            <w:rStyle w:val="Hyperlink"/>
            <w:rFonts w:ascii="Times New Roman" w:hAnsi="Times New Roman"/>
            <w:b w:val="false"/>
            <w:i w:val="false"/>
            <w:color w:val="000000"/>
            <w:sz w:val="22"/>
          </w:rPr>
          <w:t>41.3(20)</w:t>
        </w:r>
      </w:hyperlink>
      <w:r>
        <w:rPr>
          <w:rFonts w:ascii="Times New Roman" w:hAnsi="Times New Roman"/>
          <w:b w:val="false"/>
          <w:i w:val="false"/>
          <w:color w:val="000000"/>
          <w:sz w:val="22"/>
        </w:rPr>
        <w:t xml:space="preserve"> shall be maintained by the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—41.4</w:t>
      </w:r>
      <w:r>
        <w:rPr>
          <w:rFonts w:ascii="Times New Roman" w:hAnsi="Times New Roman"/>
          <w:b w:val="false"/>
          <w:i w:val="false"/>
          <w:color w:val="000000"/>
          <w:sz w:val="22"/>
        </w:rPr>
        <w:t xml:space="preserve"> and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i w:val="false"/>
          <w:color w:val="000000"/>
          <w:sz w:val="22"/>
        </w:rPr>
        <w:t>641—41.6</w:t>
      </w:r>
      <w:r>
        <w:rPr>
          <w:rFonts w:ascii="Times New Roman" w:hAnsi="Times New Roman"/>
          <w:b/>
          <w:i w:val="false"/>
          <w:color w:val="000000"/>
          <w:sz w:val="22"/>
        </w:rPr>
        <w:t xml:space="preserve">(136C) </w:t>
      </w:r>
      <w:r>
        <w:rPr>
          <w:rFonts w:ascii="Times New Roman" w:hAnsi="Times New Roman"/>
          <w:b/>
          <w:i w:val="false"/>
          <w:color w:val="000000"/>
          <w:sz w:val="22"/>
        </w:rPr>
        <w:t xml:space="preserve">X-ray machines used for screening and diagnostic mammography.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provided in </w:t>
      </w:r>
      <w:hyperlink r:id="rId577">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 xml:space="preserve">, </w:t>
      </w:r>
      <w:hyperlink r:id="rId578">
        <w:r>
          <w:rPr>
            <w:rStyle w:val="Hyperlink"/>
            <w:rFonts w:ascii="Times New Roman" w:hAnsi="Times New Roman"/>
            <w:b w:val="false"/>
            <w:i w:val="false"/>
            <w:color w:val="000000"/>
            <w:sz w:val="22"/>
          </w:rPr>
          <w:t>641—40.2(136C)</w:t>
        </w:r>
      </w:hyperlink>
      <w:r>
        <w:rPr>
          <w:rFonts w:ascii="Times New Roman" w:hAnsi="Times New Roman"/>
          <w:b w:val="false"/>
          <w:i w:val="false"/>
          <w:color w:val="000000"/>
          <w:sz w:val="22"/>
        </w:rPr>
        <w:t xml:space="preserve">, and </w:t>
      </w:r>
      <w:hyperlink r:id="rId579">
        <w:r>
          <w:rPr>
            <w:rStyle w:val="Hyperlink"/>
            <w:rFonts w:ascii="Times New Roman" w:hAnsi="Times New Roman"/>
            <w:b w:val="false"/>
            <w:i w:val="false"/>
            <w:color w:val="000000"/>
            <w:sz w:val="22"/>
          </w:rPr>
          <w:t>641—41.1(136C)</w:t>
        </w:r>
      </w:hyperlink>
      <w:r>
        <w:rPr>
          <w:rFonts w:ascii="Times New Roman" w:hAnsi="Times New Roman"/>
          <w:b w:val="false"/>
          <w:i w:val="false"/>
          <w:color w:val="000000"/>
          <w:sz w:val="22"/>
        </w:rPr>
        <w:t>, the following definitions shall be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body” </w:t>
      </w:r>
      <w:r>
        <w:rPr>
          <w:rFonts w:ascii="Times New Roman" w:hAnsi="Times New Roman"/>
          <w:b w:val="false"/>
          <w:i w:val="false"/>
          <w:color w:val="000000"/>
          <w:sz w:val="22"/>
        </w:rPr>
        <w:t>means an entity that has been approved by FDA to accredit mammography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workstation”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“AWS” </w:t>
      </w:r>
      <w:r>
        <w:rPr>
          <w:rFonts w:ascii="Times New Roman" w:hAnsi="Times New Roman"/>
          <w:b w:val="false"/>
          <w:i w:val="false"/>
          <w:color w:val="000000"/>
          <w:sz w:val="22"/>
        </w:rPr>
        <w:t>means the soft copy display workstation used in conjunction with the mammography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limits”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“action levels” </w:t>
      </w:r>
      <w:r>
        <w:rPr>
          <w:rFonts w:ascii="Times New Roman" w:hAnsi="Times New Roman"/>
          <w:b w:val="false"/>
          <w:i w:val="false"/>
          <w:color w:val="000000"/>
          <w:sz w:val="22"/>
        </w:rPr>
        <w:t>means the minimum and maximum values of a quality assurance measurement that can be interpreted as representing acceptable performance with respect to the parameter being tested. Values less than the minimum or greater than the maximum action limit or level indicate that corrective action must be taken by the facility. Action limits or levels are also sometimes called control limits or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event” </w:t>
      </w:r>
      <w:r>
        <w:rPr>
          <w:rFonts w:ascii="Times New Roman" w:hAnsi="Times New Roman"/>
          <w:b w:val="false"/>
          <w:i w:val="false"/>
          <w:color w:val="000000"/>
          <w:sz w:val="22"/>
        </w:rPr>
        <w:t>means an undesirable experience associated with mammography activities. Adverse events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Poor image quality;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send mammography reports within 30 days to the referring physician or in a timely manner to the self-referred patient;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personnel who do not meet the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kerma” </w:t>
      </w:r>
      <w:r>
        <w:rPr>
          <w:rFonts w:ascii="Times New Roman" w:hAnsi="Times New Roman"/>
          <w:b w:val="false"/>
          <w:i w:val="false"/>
          <w:color w:val="000000"/>
          <w:sz w:val="22"/>
        </w:rPr>
        <w:t>means kerma in a given mass of air. The unit used to measure the quantity of air kerma is the Gray (Gy). For X-rays with energies less than 300 kiloelectronvolts (keV), 1 Gray of absorbed dose is delivered by 114 roentgens (R)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“Annually” </w:t>
      </w:r>
      <w:r>
        <w:rPr>
          <w:rFonts w:ascii="Times New Roman" w:hAnsi="Times New Roman"/>
          <w:b w:val="false"/>
          <w:i w:val="false"/>
          <w:color w:val="000000"/>
          <w:sz w:val="22"/>
        </w:rPr>
        <w:t>means within 10 to 14 months of previous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“Artifact” </w:t>
      </w:r>
      <w:r>
        <w:rPr>
          <w:rFonts w:ascii="Times New Roman" w:hAnsi="Times New Roman"/>
          <w:b w:val="false"/>
          <w:i w:val="false"/>
          <w:color w:val="000000"/>
          <w:sz w:val="22"/>
        </w:rPr>
        <w:t>means a substance or structure not naturally present in living tissue but of which an authentic image appears in a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exposure control systems” </w:t>
      </w:r>
      <w:r>
        <w:rPr>
          <w:rFonts w:ascii="Times New Roman" w:hAnsi="Times New Roman"/>
          <w:b w:val="false"/>
          <w:i w:val="false"/>
          <w:color w:val="000000"/>
          <w:sz w:val="22"/>
        </w:rPr>
        <w:t>means automatic exposure control systems, often referred to as phototimers, which are designed to automatically determine and provide the exposure needed to produce an adequate density image by sampling the X-ray intensity after passage through the patient and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glandular dose” </w:t>
      </w:r>
      <w:r>
        <w:rPr>
          <w:rFonts w:ascii="Times New Roman" w:hAnsi="Times New Roman"/>
          <w:b w:val="false"/>
          <w:i w:val="false"/>
          <w:color w:val="000000"/>
          <w:sz w:val="22"/>
        </w:rPr>
        <w:t>means the energy deposited per unit mass of glandular tissue averaged over all the glandular tissue in the breast, calculated from values of entrance exposure in air, the X-ray beam quality (half-value layer), and compressed breast thickness. For a 50 percent-50 percent adipose and glandular 4.2 centimeter breast, the average glandular dose shall not exceed 300 millirad (3 mGy). See also: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“Breast implant” </w:t>
      </w:r>
      <w:r>
        <w:rPr>
          <w:rFonts w:ascii="Times New Roman" w:hAnsi="Times New Roman"/>
          <w:b w:val="false"/>
          <w:i w:val="false"/>
          <w:color w:val="000000"/>
          <w:sz w:val="22"/>
        </w:rPr>
        <w:t>means a prosthetic device implanted in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“Calendar quarter” </w:t>
      </w:r>
      <w:r>
        <w:rPr>
          <w:rFonts w:ascii="Times New Roman" w:hAnsi="Times New Roman"/>
          <w:b w:val="false"/>
          <w:i w:val="false"/>
          <w:color w:val="000000"/>
          <w:sz w:val="22"/>
        </w:rPr>
        <w:t>means any one of the following time periods during a given year: January 1 through March 31, April 1 through June 30, July 1 through September 30, or October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w:t>
      </w:r>
      <w:r>
        <w:rPr>
          <w:rFonts w:ascii="Times New Roman" w:hAnsi="Times New Roman"/>
          <w:b w:val="false"/>
          <w:i w:val="false"/>
          <w:color w:val="000000"/>
          <w:sz w:val="22"/>
        </w:rPr>
        <w:t>means medical education activities that have been designated as Category 1 by the Accreditation Council for Continuing Medical Education (ACCME), the American Osteopathic Association (AOA), a state medical society, or an equivalent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the certificate described in </w:t>
      </w:r>
      <w:hyperlink r:id="rId580">
        <w:r>
          <w:rPr>
            <w:rStyle w:val="Hyperlink"/>
            <w:rFonts w:ascii="Times New Roman" w:hAnsi="Times New Roman"/>
            <w:b w:val="false"/>
            <w:i w:val="false"/>
            <w:color w:val="000000"/>
            <w:sz w:val="22"/>
          </w:rPr>
          <w:t>41.6(2)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of approval of a facility by the FDA or this agency to provide mammography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image” </w:t>
      </w:r>
      <w:r>
        <w:rPr>
          <w:rFonts w:ascii="Times New Roman" w:hAnsi="Times New Roman"/>
          <w:b w:val="false"/>
          <w:i w:val="false"/>
          <w:color w:val="000000"/>
          <w:sz w:val="22"/>
        </w:rPr>
        <w:t>means a mammogram.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“Compression device” </w:t>
      </w:r>
      <w:r>
        <w:rPr>
          <w:rFonts w:ascii="Times New Roman" w:hAnsi="Times New Roman"/>
          <w:b w:val="false"/>
          <w:i w:val="false"/>
          <w:color w:val="000000"/>
          <w:sz w:val="22"/>
        </w:rPr>
        <w:t>means a firm plastic paddle used to help hold the breast stationary and eliminate blurring due to motion, to help separate structures within the breast, and to decrease the thickness of breast tissue, minimizing the amount of radiation used and the amount of scattered radiation reaching the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“Computed radiography mammography” </w:t>
      </w:r>
      <w:r>
        <w:rPr>
          <w:rFonts w:ascii="Times New Roman" w:hAnsi="Times New Roman"/>
          <w:b w:val="false"/>
          <w:i w:val="false"/>
          <w:color w:val="000000"/>
          <w:sz w:val="22"/>
        </w:rPr>
        <w:t>means a type of digital mammography in which the digital image receptor must be removed from the X-ray unit for the image to be read and processed by a separate image receptor reader.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 individual who chooses to comment or complain in reference to a mammography examination, including the patient or representative of the patient (e.g., family member or referring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“Contact hour” </w:t>
      </w:r>
      <w:r>
        <w:rPr>
          <w:rFonts w:ascii="Times New Roman" w:hAnsi="Times New Roman"/>
          <w:b w:val="false"/>
          <w:i w:val="false"/>
          <w:color w:val="000000"/>
          <w:sz w:val="22"/>
        </w:rPr>
        <w:t>means an hour of training received through direct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“continuing education credit” </w:t>
      </w:r>
      <w:r>
        <w:rPr>
          <w:rFonts w:ascii="Times New Roman" w:hAnsi="Times New Roman"/>
          <w:b w:val="false"/>
          <w:i w:val="false"/>
          <w:color w:val="000000"/>
          <w:sz w:val="22"/>
        </w:rPr>
        <w:t>means one contact hour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“Craniocaudal view” </w:t>
      </w:r>
      <w:r>
        <w:rPr>
          <w:rFonts w:ascii="Times New Roman" w:hAnsi="Times New Roman"/>
          <w:b w:val="false"/>
          <w:i w:val="false"/>
          <w:color w:val="000000"/>
          <w:sz w:val="22"/>
        </w:rPr>
        <w:t>means one of two routine views for mammography. The detector system is placed caudad to (below) the breast and the vertical X-ray beam is directed from cranial to caudad (downward) through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“Dedicated mammography equipment” </w:t>
      </w:r>
      <w:r>
        <w:rPr>
          <w:rFonts w:ascii="Times New Roman" w:hAnsi="Times New Roman"/>
          <w:b w:val="false"/>
          <w:i w:val="false"/>
          <w:color w:val="000000"/>
          <w:sz w:val="22"/>
        </w:rPr>
        <w:t>means X-ray systems designed specifically for breast imaging, providing optimum imaging geometry, a device for breast compression and low dose exposure that can generate reproducible images of high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“Digital breast tomosynthesis”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“DBT” </w:t>
      </w:r>
      <w:r>
        <w:rPr>
          <w:rFonts w:ascii="Times New Roman" w:hAnsi="Times New Roman"/>
          <w:b w:val="false"/>
          <w:i w:val="false"/>
          <w:color w:val="000000"/>
          <w:sz w:val="22"/>
        </w:rPr>
        <w:t>means mammography that uses reconstructions to create three-dimensional images of the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detector technology” </w:t>
      </w:r>
      <w:r>
        <w:rPr>
          <w:rFonts w:ascii="Times New Roman" w:hAnsi="Times New Roman"/>
          <w:b w:val="false"/>
          <w:i w:val="false"/>
          <w:color w:val="000000"/>
          <w:sz w:val="22"/>
        </w:rPr>
        <w:t>means a digital mammogram captured using a material which converts the X-ray energies directly to an electric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instruction”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Face-to-face interaction between instructor(s) and student(s), as when the instructor provides a lecture, conducts demonstrations, or reviews student performance;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administration and correction of student examinations by an instructor(s) with subsequent feedback to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During joint interpretation of mammograms, the supervising interpreting physician reviews, discusses, and confirms the diagnosis of the physician being supervised and signs the resulting report before it is entered into the patient’s records;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During the performance of a mammography examination or survey of the facility’s equipment and quality assurance program, the supervisor is present to observe and correct, as needed, the performance of the individual being supervised who is performing the examination or conducting the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“Dose” </w:t>
      </w:r>
      <w:r>
        <w:rPr>
          <w:rFonts w:ascii="Times New Roman" w:hAnsi="Times New Roman"/>
          <w:b w:val="false"/>
          <w:i w:val="false"/>
          <w:color w:val="000000"/>
          <w:sz w:val="22"/>
        </w:rPr>
        <w:t>means the amount of energy deposited per unit mass of tissue due to X-radiation. The newer unit of absorbed dose is the Gray: 1 Gray=1 Joule of energy deposited per kilogram of tissue. The older unit of absorbed dose is the rad: 1 rad=0.01 Gray, 1 centiGray, or 10 milliGray.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 </w:t>
      </w:r>
      <w:r>
        <w:rPr>
          <w:rFonts w:ascii="Times New Roman" w:hAnsi="Times New Roman"/>
          <w:b w:val="false"/>
          <w:i w:val="false"/>
          <w:color w:val="000000"/>
          <w:sz w:val="22"/>
        </w:rPr>
        <w:t>means Enhancing Quality Using the Inspection Program and uses inspection questions related to the image quality regulations of MQSA to emphasize the significance of continuous clinical image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w:t>
      </w:r>
      <w:r>
        <w:rPr>
          <w:rFonts w:ascii="Times New Roman" w:hAnsi="Times New Roman"/>
          <w:b w:val="false"/>
          <w:i w:val="false"/>
          <w:color w:val="000000"/>
          <w:sz w:val="22"/>
        </w:rPr>
        <w:t>means the amount of X-radiation, quantitated by measuring the amount of ionization in air caused by the radiation. The units of exposure are Coulombs of charge ionized per kilogram of air. The older unit of exposure is the Roentgen: 1 Roentgen=2.58 × 10E-4 Coulombs of charge per kilogram of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hospital, outpatient department, clinic, radiology practice, mobile unit, office of a physician, or other facility that conducts mammography activities, including the following: operation of equipment to produce a mammogram, initial interpretation of the mammogram, and maintaining viewing conditions for that interpretation. This term does not include a facility of the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allowable time” </w:t>
      </w:r>
      <w:r>
        <w:rPr>
          <w:rFonts w:ascii="Times New Roman" w:hAnsi="Times New Roman"/>
          <w:b w:val="false"/>
          <w:i w:val="false"/>
          <w:color w:val="000000"/>
          <w:sz w:val="22"/>
        </w:rPr>
        <w:t>means the earliest time a resident physician is eligible to take the diagnostic radiology boards from an FDA-designated certifying body. The “first allowable time” may vary with the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field digital mammography”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“FFDM” </w:t>
      </w:r>
      <w:r>
        <w:rPr>
          <w:rFonts w:ascii="Times New Roman" w:hAnsi="Times New Roman"/>
          <w:b w:val="false"/>
          <w:i w:val="false"/>
          <w:color w:val="000000"/>
          <w:sz w:val="22"/>
        </w:rPr>
        <w:t>means radiographic imaging of the breast using a digital image receptor with minimum dimensions of 18×23 cm to allow imaging the average size breast in a single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“Grids” </w:t>
      </w:r>
      <w:r>
        <w:rPr>
          <w:rFonts w:ascii="Times New Roman" w:hAnsi="Times New Roman"/>
          <w:b w:val="false"/>
          <w:i w:val="false"/>
          <w:color w:val="000000"/>
          <w:sz w:val="22"/>
        </w:rPr>
        <w:t>means a set of thin lead strips spaced close to one another, interspaced by carbon fiber for mammographic grids. The grid is placed between the breast and the screen-film image receptor to reduce scattered radiation reaching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noise.” </w:t>
      </w:r>
      <w:r>
        <w:rPr>
          <w:rFonts w:ascii="Times New Roman" w:hAnsi="Times New Roman"/>
          <w:b w:val="false"/>
          <w:i w:val="false"/>
          <w:color w:val="000000"/>
          <w:sz w:val="22"/>
        </w:rPr>
        <w:t>See “Radiographic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“Image receptor support device” </w:t>
      </w:r>
      <w:r>
        <w:rPr>
          <w:rFonts w:ascii="Times New Roman" w:hAnsi="Times New Roman"/>
          <w:b w:val="false"/>
          <w:i w:val="false"/>
          <w:color w:val="000000"/>
          <w:sz w:val="22"/>
        </w:rPr>
        <w:t>means, for mammography X-ray systems, that part of the system designed to support the image receptor during a mammographic examination and to provide a primary protective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to assess and determine compliance with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“Interpreting physician” </w:t>
      </w:r>
      <w:r>
        <w:rPr>
          <w:rFonts w:ascii="Times New Roman" w:hAnsi="Times New Roman"/>
          <w:b w:val="false"/>
          <w:i w:val="false"/>
          <w:color w:val="000000"/>
          <w:sz w:val="22"/>
        </w:rPr>
        <w:t xml:space="preserve">means a licensed radiologist who interprets mammograms and who meets the requirements set forth in </w:t>
      </w:r>
      <w:hyperlink r:id="rId581">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“Kerma” </w:t>
      </w:r>
      <w:r>
        <w:rPr>
          <w:rFonts w:ascii="Times New Roman" w:hAnsi="Times New Roman"/>
          <w:b w:val="false"/>
          <w:i w:val="false"/>
          <w:color w:val="000000"/>
          <w:sz w:val="22"/>
        </w:rPr>
        <w:t>means the sum of the initial energies of all the charged particles liberated by uncharged ionizing particles in a material of given 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“Laterality” </w:t>
      </w:r>
      <w:r>
        <w:rPr>
          <w:rFonts w:ascii="Times New Roman" w:hAnsi="Times New Roman"/>
          <w:b w:val="false"/>
          <w:i w:val="false"/>
          <w:color w:val="000000"/>
          <w:sz w:val="22"/>
        </w:rPr>
        <w:t>means the designation of either the right or left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interpreting physician” </w:t>
      </w:r>
      <w:r>
        <w:rPr>
          <w:rFonts w:ascii="Times New Roman" w:hAnsi="Times New Roman"/>
          <w:b w:val="false"/>
          <w:i w:val="false"/>
          <w:color w:val="000000"/>
          <w:sz w:val="22"/>
        </w:rPr>
        <w:t>means the interpreting physician assigned the general responsibility for ensuring that a facility’s quality assurance program meets all of the requirements of this chapter. The administrative title and other supervisory responsibilities of the individual, if any, are left to the discretion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“Mammogram” </w:t>
      </w:r>
      <w:r>
        <w:rPr>
          <w:rFonts w:ascii="Times New Roman" w:hAnsi="Times New Roman"/>
          <w:b w:val="false"/>
          <w:i w:val="false"/>
          <w:color w:val="000000"/>
          <w:sz w:val="22"/>
        </w:rPr>
        <w:t>means a radiographic image produced through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“Mammographic modality” </w:t>
      </w:r>
      <w:r>
        <w:rPr>
          <w:rFonts w:ascii="Times New Roman" w:hAnsi="Times New Roman"/>
          <w:b w:val="false"/>
          <w:i w:val="false"/>
          <w:color w:val="000000"/>
          <w:sz w:val="22"/>
        </w:rPr>
        <w:t>means a technology for radiography of the breast. Examples are screen-film mammography, full field digital mammography and digital breast tomosynthesis.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“Mammography” </w:t>
      </w:r>
      <w:r>
        <w:rPr>
          <w:rFonts w:ascii="Times New Roman" w:hAnsi="Times New Roman"/>
          <w:b w:val="false"/>
          <w:i w:val="false"/>
          <w:color w:val="000000"/>
          <w:sz w:val="22"/>
        </w:rPr>
        <w:t xml:space="preserve">means radiography of the breast but, for the purposes of </w:t>
      </w:r>
      <w:hyperlink r:id="rId582">
        <w:r>
          <w:rPr>
            <w:rStyle w:val="Hyperlink"/>
            <w:rFonts w:ascii="Times New Roman" w:hAnsi="Times New Roman"/>
            <w:b w:val="false"/>
            <w:i w:val="false"/>
            <w:color w:val="000000"/>
            <w:sz w:val="22"/>
          </w:rPr>
          <w:t>641—41.6(136C)</w:t>
        </w:r>
      </w:hyperlink>
      <w:r>
        <w:rPr>
          <w:rFonts w:ascii="Times New Roman" w:hAnsi="Times New Roman"/>
          <w:b w:val="false"/>
          <w:i w:val="false"/>
          <w:color w:val="000000"/>
          <w:sz w:val="22"/>
        </w:rPr>
        <w:t>,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Radiography of the breast performed during invasive interventions for localization or biopsy procedures;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Radiography of the breast performed with an investigational mammography device as part of a scientific study conducted in accordance with FDA investigational device exemption regulations;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Radiography of the breast performed as part of either a breast localization procedure or a post-stereotactic clip placement localization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“Mammography equipment evaluation” </w:t>
      </w:r>
      <w:r>
        <w:rPr>
          <w:rFonts w:ascii="Times New Roman" w:hAnsi="Times New Roman"/>
          <w:b w:val="false"/>
          <w:i w:val="false"/>
          <w:color w:val="000000"/>
          <w:sz w:val="22"/>
        </w:rPr>
        <w:t>means an on-site assessment of the mammography unit or review workstation by a medical physicist for the purpose of making a preliminary determination as to whether the equipment meets all of the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“Mammography medical outcomes audit” </w:t>
      </w:r>
      <w:r>
        <w:rPr>
          <w:rFonts w:ascii="Times New Roman" w:hAnsi="Times New Roman"/>
          <w:b w:val="false"/>
          <w:i w:val="false"/>
          <w:color w:val="000000"/>
          <w:sz w:val="22"/>
        </w:rPr>
        <w:t>means a systematic collection of mammography results and the comparison of those results with outcomes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“Mammography unit(s)” </w:t>
      </w:r>
      <w:r>
        <w:rPr>
          <w:rFonts w:ascii="Times New Roman" w:hAnsi="Times New Roman"/>
          <w:b w:val="false"/>
          <w:i w:val="false"/>
          <w:color w:val="000000"/>
          <w:sz w:val="22"/>
        </w:rPr>
        <w:t>means an assemblage of components for the production of X-rays for use during mammography including, at a minimum: an X-ray generator, an X-ray control, a tube housing assembly, a beam limiting device, and the supporting structures for these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“Mean optical density” </w:t>
      </w:r>
      <w:r>
        <w:rPr>
          <w:rFonts w:ascii="Times New Roman" w:hAnsi="Times New Roman"/>
          <w:b w:val="false"/>
          <w:i w:val="false"/>
          <w:color w:val="000000"/>
          <w:sz w:val="22"/>
        </w:rPr>
        <w:t>means the average of the optical densities measured using phantom thicknesses of 2, 4, and 6 centimeters with values of kilovolt peak (kVp) clinically appropriate for those thicknesses.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physicist” </w:t>
      </w:r>
      <w:r>
        <w:rPr>
          <w:rFonts w:ascii="Times New Roman" w:hAnsi="Times New Roman"/>
          <w:b w:val="false"/>
          <w:i w:val="false"/>
          <w:color w:val="000000"/>
          <w:sz w:val="22"/>
        </w:rPr>
        <w:t xml:space="preserve">means a person trained in evaluating the performance of mammography equipment and facility quality assurance programs and who meets the qualifications for a medical physicist set forth in </w:t>
      </w:r>
      <w:hyperlink r:id="rId583">
        <w:r>
          <w:rPr>
            <w:rStyle w:val="Hyperlink"/>
            <w:rFonts w:ascii="Times New Roman" w:hAnsi="Times New Roman"/>
            <w:b w:val="false"/>
            <w:i w:val="false"/>
            <w:color w:val="000000"/>
            <w:sz w:val="22"/>
          </w:rPr>
          <w:t>41.6(3)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“Mediolateral view” </w:t>
      </w:r>
      <w:r>
        <w:rPr>
          <w:rFonts w:ascii="Times New Roman" w:hAnsi="Times New Roman"/>
          <w:b w:val="false"/>
          <w:i w:val="false"/>
          <w:color w:val="000000"/>
          <w:sz w:val="22"/>
        </w:rPr>
        <w:t>means one of the routine views for mammography in addition to the craniocaudal view. The detector system is placed lateral to the breast and the horizontal X-ray beam is directed from medial to lateral aspect through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“MQSA” </w:t>
      </w:r>
      <w:r>
        <w:rPr>
          <w:rFonts w:ascii="Times New Roman" w:hAnsi="Times New Roman"/>
          <w:b w:val="false"/>
          <w:i w:val="false"/>
          <w:color w:val="000000"/>
          <w:sz w:val="22"/>
        </w:rPr>
        <w:t>means the Mammography Quality Standards Act of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“Multi-reading” </w:t>
      </w:r>
      <w:r>
        <w:rPr>
          <w:rFonts w:ascii="Times New Roman" w:hAnsi="Times New Roman"/>
          <w:b w:val="false"/>
          <w:i w:val="false"/>
          <w:color w:val="000000"/>
          <w:sz w:val="22"/>
        </w:rPr>
        <w:t>means two or more physicians, at least one of whom is an interpreting physician, interpreting the same mammogram. A radiologist may count the current mammographic examination and one prior mammographic examination, provided the radiologist was not the interpreter of the prior mammographic examination. A separate tally shall be kept for the prior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“Oblique mediolateral view” </w:t>
      </w:r>
      <w:r>
        <w:rPr>
          <w:rFonts w:ascii="Times New Roman" w:hAnsi="Times New Roman"/>
          <w:b w:val="false"/>
          <w:i w:val="false"/>
          <w:color w:val="000000"/>
          <w:sz w:val="22"/>
        </w:rPr>
        <w:t>means one of the standard two views of the breast. The detector system is angled 30-60 degrees from horizontal so that the detector system is parallel to the pectoral muscle and the corner of the detector system fits comfortably into the axilla. The X-ray beam is directed from the supero-medial to the infero-lateral aspect of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undergoes a mammography evaluation in a facility, regardless of whether the person is referred by a physician or is self-referred.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“Phantom” </w:t>
      </w:r>
      <w:r>
        <w:rPr>
          <w:rFonts w:ascii="Times New Roman" w:hAnsi="Times New Roman"/>
          <w:b w:val="false"/>
          <w:i w:val="false"/>
          <w:color w:val="000000"/>
          <w:sz w:val="22"/>
        </w:rPr>
        <w:t>means an artificial test object used to simulate radiographic characteristics of compressed breast tissue and containing components that radiographically model aspects of breast disease and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“Phantom image” </w:t>
      </w:r>
      <w:r>
        <w:rPr>
          <w:rFonts w:ascii="Times New Roman" w:hAnsi="Times New Roman"/>
          <w:b w:val="false"/>
          <w:i w:val="false"/>
          <w:color w:val="000000"/>
          <w:sz w:val="22"/>
        </w:rPr>
        <w:t>means a radiographic image of a phantom.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science” </w:t>
      </w:r>
      <w:r>
        <w:rPr>
          <w:rFonts w:ascii="Times New Roman" w:hAnsi="Times New Roman"/>
          <w:b w:val="false"/>
          <w:i w:val="false"/>
          <w:color w:val="000000"/>
          <w:sz w:val="22"/>
        </w:rPr>
        <w:t>means physics, chemistry, radiation science (including medical physics and health physics), and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mammogram” </w:t>
      </w:r>
      <w:r>
        <w:rPr>
          <w:rFonts w:ascii="Times New Roman" w:hAnsi="Times New Roman"/>
          <w:b w:val="false"/>
          <w:i w:val="false"/>
          <w:color w:val="000000"/>
          <w:sz w:val="22"/>
        </w:rPr>
        <w:t>means a mammogram that has an overall assessment of findings that are either “suspicious” or “highly suggestive of malignancy.”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w:t>
      </w:r>
      <w:r>
        <w:rPr>
          <w:rFonts w:ascii="Times New Roman" w:hAnsi="Times New Roman"/>
          <w:b w:val="false"/>
          <w:i w:val="false"/>
          <w:color w:val="000000"/>
          <w:sz w:val="22"/>
        </w:rPr>
        <w:t>means the six-month certification time period in which a facility has to complete the accreditation/certification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instructor” </w:t>
      </w:r>
      <w:r>
        <w:rPr>
          <w:rFonts w:ascii="Times New Roman" w:hAnsi="Times New Roman"/>
          <w:b w:val="false"/>
          <w:i w:val="false"/>
          <w:color w:val="000000"/>
          <w:sz w:val="22"/>
        </w:rPr>
        <w:t xml:space="preserve">means individuals whose training and experience adequately prepare them to carry out specified training assignments. Interpreting physicians, radiologic technologists, or medical physicists who meet the requirements of </w:t>
      </w:r>
      <w:hyperlink r:id="rId584">
        <w:r>
          <w:rPr>
            <w:rStyle w:val="Hyperlink"/>
            <w:rFonts w:ascii="Times New Roman" w:hAnsi="Times New Roman"/>
            <w:b w:val="false"/>
            <w:i w:val="false"/>
            <w:color w:val="000000"/>
            <w:sz w:val="22"/>
          </w:rPr>
          <w:t>41.6(3)</w:t>
        </w:r>
      </w:hyperlink>
      <w:r>
        <w:rPr>
          <w:rFonts w:ascii="Times New Roman" w:hAnsi="Times New Roman"/>
          <w:b w:val="false"/>
          <w:i w:val="false"/>
          <w:color w:val="000000"/>
          <w:sz w:val="22"/>
        </w:rPr>
        <w:t xml:space="preserve"> would be considered qualified instructors in their respective areas of mammography. Radiological technologists who meet the requirements of </w:t>
      </w:r>
      <w:hyperlink r:id="rId585">
        <w:r>
          <w:rPr>
            <w:rStyle w:val="Hyperlink"/>
            <w:rFonts w:ascii="Times New Roman" w:hAnsi="Times New Roman"/>
            <w:b w:val="false"/>
            <w:i w:val="false"/>
            <w:color w:val="000000"/>
            <w:sz w:val="22"/>
          </w:rPr>
          <w:t>41.6(3)</w:t>
        </w:r>
      </w:hyperlink>
      <w:r>
        <w:rPr>
          <w:rFonts w:ascii="Times New Roman" w:hAnsi="Times New Roman"/>
          <w:b w:val="false"/>
          <w:i w:val="false"/>
          <w:color w:val="000000"/>
          <w:sz w:val="22"/>
        </w:rPr>
        <w:t xml:space="preserve"> and have passed a state-approved mammography examination such as the examination given by the American Registry of Radiography Technologists would be considered qualified instructors in their respective areas of mammography. The examination would include, but not necessarily be limited to: breast anatomy and physiology, positioning and compression, quality assurance/quality control techniques, and imaging of patients with breast implants. Other examples of individuals who may be qualified instructors for the purpose of providing training to meet the regulations of this chapter include, but are not limited to, instructors in a post-high school training institution and manufacturers’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control technologist” </w:t>
      </w:r>
      <w:r>
        <w:rPr>
          <w:rFonts w:ascii="Times New Roman" w:hAnsi="Times New Roman"/>
          <w:b w:val="false"/>
          <w:i w:val="false"/>
          <w:color w:val="000000"/>
          <w:sz w:val="22"/>
        </w:rPr>
        <w:t xml:space="preserve">means an individual meeting the requirements of </w:t>
      </w:r>
      <w:hyperlink r:id="rId586">
        <w:r>
          <w:rPr>
            <w:rStyle w:val="Hyperlink"/>
            <w:rFonts w:ascii="Times New Roman" w:hAnsi="Times New Roman"/>
            <w:b w:val="false"/>
            <w:i w:val="false"/>
            <w:color w:val="000000"/>
            <w:sz w:val="22"/>
          </w:rPr>
          <w:t>41.6(5)</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who is responsible for those quality assurance responsibilities not assigned to the lead interpreting physician or to the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equipment” </w:t>
      </w:r>
      <w:r>
        <w:rPr>
          <w:rFonts w:ascii="Times New Roman" w:hAnsi="Times New Roman"/>
          <w:b w:val="false"/>
          <w:i w:val="false"/>
          <w:color w:val="000000"/>
          <w:sz w:val="22"/>
        </w:rPr>
        <w:t>means X-ray equipment used for the production of static X-ray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“Radiologic technologist” </w:t>
      </w:r>
      <w:r>
        <w:rPr>
          <w:rFonts w:ascii="Times New Roman" w:hAnsi="Times New Roman"/>
          <w:b w:val="false"/>
          <w:i w:val="false"/>
          <w:color w:val="000000"/>
          <w:sz w:val="22"/>
        </w:rPr>
        <w:t xml:space="preserve">means an individual specifically trained in the use of radiographic equipment and in the positioning of patients for radiographic examinations and who meets the requirements set forth in </w:t>
      </w:r>
      <w:hyperlink r:id="rId587">
        <w:r>
          <w:rPr>
            <w:rStyle w:val="Hyperlink"/>
            <w:rFonts w:ascii="Times New Roman" w:hAnsi="Times New Roman"/>
            <w:b w:val="false"/>
            <w:i w:val="false"/>
            <w:color w:val="000000"/>
            <w:sz w:val="22"/>
          </w:rPr>
          <w:t>41.6(3)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“Radiologist continuing experience” </w:t>
      </w:r>
      <w:r>
        <w:rPr>
          <w:rFonts w:ascii="Times New Roman" w:hAnsi="Times New Roman"/>
          <w:b w:val="false"/>
          <w:i w:val="false"/>
          <w:color w:val="000000"/>
          <w:sz w:val="22"/>
        </w:rPr>
        <w:t>means the number of mammograms interpreted by a radiologist in the past 24-month period. For the purpose of counting, a radiologist may count the current mammographic examination and one prior mammographic examination, provided the radiologist was not the interpreter of the prior mammographic examination. A separate tally shall be kept for the prior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means the process of recertification of a facility that has lost or voluntarily given up previous accreditation/certification.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workstation”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“RWS” </w:t>
      </w:r>
      <w:r>
        <w:rPr>
          <w:rFonts w:ascii="Times New Roman" w:hAnsi="Times New Roman"/>
          <w:b w:val="false"/>
          <w:i w:val="false"/>
          <w:color w:val="000000"/>
          <w:sz w:val="22"/>
        </w:rPr>
        <w:t>means soft copy display device intended for use in mammography interpretations.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“Screen-film mammography” </w:t>
      </w:r>
      <w:r>
        <w:rPr>
          <w:rFonts w:ascii="Times New Roman" w:hAnsi="Times New Roman"/>
          <w:b w:val="false"/>
          <w:i w:val="false"/>
          <w:color w:val="000000"/>
          <w:sz w:val="22"/>
        </w:rPr>
        <w:t>means mammography performed with high-detailed intensifying screen(s) in close contact with the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mammography” </w:t>
      </w:r>
      <w:r>
        <w:rPr>
          <w:rFonts w:ascii="Times New Roman" w:hAnsi="Times New Roman"/>
          <w:b w:val="false"/>
          <w:i w:val="false"/>
          <w:color w:val="000000"/>
          <w:sz w:val="22"/>
        </w:rPr>
        <w:t>means X-ray breast examination of asymptomatic individuals in an attempt to detect breast cancer when it is small, nonpalpable, and confined to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adverse event” </w:t>
      </w:r>
      <w:r>
        <w:rPr>
          <w:rFonts w:ascii="Times New Roman" w:hAnsi="Times New Roman"/>
          <w:b w:val="false"/>
          <w:i w:val="false"/>
          <w:color w:val="000000"/>
          <w:sz w:val="22"/>
        </w:rPr>
        <w:t>means an adverse event that may significantly compromise clinical outcomes or an adverse event for which a facility fails to take appropriate corrective action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complaint” </w:t>
      </w:r>
      <w:r>
        <w:rPr>
          <w:rFonts w:ascii="Times New Roman" w:hAnsi="Times New Roman"/>
          <w:b w:val="false"/>
          <w:i w:val="false"/>
          <w:color w:val="000000"/>
          <w:sz w:val="22"/>
        </w:rPr>
        <w:t>means a report of a serious adverse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breast” </w:t>
      </w:r>
      <w:r>
        <w:rPr>
          <w:rFonts w:ascii="Times New Roman" w:hAnsi="Times New Roman"/>
          <w:b w:val="false"/>
          <w:i w:val="false"/>
          <w:color w:val="000000"/>
          <w:sz w:val="22"/>
        </w:rPr>
        <w:t>means a 4.2 centimeter (cm) thick compressed breast consisting of 50 percent glandular and 50 percent adipose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“Survey” </w:t>
      </w:r>
      <w:r>
        <w:rPr>
          <w:rFonts w:ascii="Times New Roman" w:hAnsi="Times New Roman"/>
          <w:b w:val="false"/>
          <w:i w:val="false"/>
          <w:color w:val="000000"/>
          <w:sz w:val="22"/>
        </w:rPr>
        <w:t>means an on-site physics consultation and evaluation of a facility quality assurance program performed by a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 cycle” </w:t>
      </w:r>
      <w:r>
        <w:rPr>
          <w:rFonts w:ascii="Times New Roman" w:hAnsi="Times New Roman"/>
          <w:b w:val="false"/>
          <w:i w:val="false"/>
          <w:color w:val="000000"/>
          <w:sz w:val="22"/>
        </w:rPr>
        <w:t>means the film development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“Traceable to a national standard” </w:t>
      </w:r>
      <w:r>
        <w:rPr>
          <w:rFonts w:ascii="Times New Roman" w:hAnsi="Times New Roman"/>
          <w:b w:val="false"/>
          <w:i w:val="false"/>
          <w:color w:val="000000"/>
          <w:sz w:val="22"/>
        </w:rPr>
        <w:t>means an instrument is calibrated at either the National Institute of Standards and Technology (NIST) or at a calibration laboratory that participates in a proficiency program with NIST at least once every two years and the results of the proficiency test conducted within 24 months of calibration show agreement within ± 3 percent of the national standard in the mammography energy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means interpreting physician’s technical narrative of a mammography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statement” </w:t>
      </w:r>
      <w:r>
        <w:rPr>
          <w:rFonts w:ascii="Times New Roman" w:hAnsi="Times New Roman"/>
          <w:b w:val="false"/>
          <w:i w:val="false"/>
          <w:color w:val="000000"/>
          <w:sz w:val="22"/>
        </w:rPr>
        <w:t>means interpreting physician’s description of a mammography examination written in lay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application standards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radiation machine used to perform mammography shall be registered according to </w:t>
      </w:r>
      <w:hyperlink r:id="rId588">
        <w:r>
          <w:rPr>
            <w:rStyle w:val="Hyperlink"/>
            <w:rFonts w:ascii="Times New Roman" w:hAnsi="Times New Roman"/>
            <w:b w:val="false"/>
            <w:i w:val="false"/>
            <w:color w:val="000000"/>
            <w:sz w:val="22"/>
          </w:rPr>
          <w:t>641—subrule 39.3(2)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issued by the FDA or this agency is required for lawful operation of all mammography facilities subject to the provisions of this subrule. To obtain a certificate from the FDA or this agency, facilities are required to meet the quality standards in </w:t>
      </w:r>
      <w:hyperlink r:id="rId589">
        <w:r>
          <w:rPr>
            <w:rStyle w:val="Hyperlink"/>
            <w:rFonts w:ascii="Times New Roman" w:hAnsi="Times New Roman"/>
            <w:b w:val="false"/>
            <w:i w:val="false"/>
            <w:color w:val="000000"/>
            <w:sz w:val="22"/>
          </w:rPr>
          <w:t>641—41.6(136C)</w:t>
        </w:r>
      </w:hyperlink>
      <w:r>
        <w:rPr>
          <w:rFonts w:ascii="Times New Roman" w:hAnsi="Times New Roman"/>
          <w:b w:val="false"/>
          <w:i w:val="false"/>
          <w:color w:val="000000"/>
          <w:sz w:val="22"/>
        </w:rPr>
        <w:t xml:space="preserve"> and to be accredited and approved by an approved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facility wishing to perform mammography shall apply for authorization by providing or verifying the following information for each mammography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mammography unit meets the criteria for agency-approved mammography accreditation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mammography equipment and facility meet the general requirements of these rules for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specifically designed to perform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used according to these rules on patient radiation exposure and radiation dose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operated by individuals meeting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entire mammography system is evaluated at least annually by a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equipment, personnel, procedures, and records are evaluated annually by a physician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 or reinstatement certification. A new facility beginning operation after September 30, 1994, is eligible to apply for provisional or reinstatement certification. This will enable the facility to perform mammography and to obtain the clinical images needed to complete the accreditation process. To apply for and receive provisional or reinstatement certification, a facility must meet the requirements of </w:t>
      </w:r>
      <w:hyperlink r:id="rId590">
        <w:r>
          <w:rPr>
            <w:rStyle w:val="Hyperlink"/>
            <w:rFonts w:ascii="Times New Roman" w:hAnsi="Times New Roman"/>
            <w:b w:val="false"/>
            <w:i w:val="false"/>
            <w:color w:val="000000"/>
            <w:sz w:val="22"/>
          </w:rPr>
          <w:t>641—41.6(136C)</w:t>
        </w:r>
      </w:hyperlink>
      <w:r>
        <w:rPr>
          <w:rFonts w:ascii="Times New Roman" w:hAnsi="Times New Roman"/>
          <w:b w:val="false"/>
          <w:i w:val="false"/>
          <w:color w:val="000000"/>
          <w:sz w:val="22"/>
        </w:rPr>
        <w:t>. Provisional or reinstatement certification shall be effective for up to six months from the date of issuance and cannot be renewed. The facility may apply for one 90-day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revocation, or denial of mammography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Mammography certification may be suspended or revoked with cause if any facility or machine does not meet one or more of the standards of these rules, will not permit inspections or provide access to records or information in a timely fashion, or has been guilty of misrepresentation in obtaining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have opportunity for a hearing in connection with a denial, suspension or revocation of mammography certification in accordance with </w:t>
      </w:r>
      <w:hyperlink r:id="rId591">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order suspending or revoking certification may be issued in accordance with </w:t>
      </w:r>
      <w:hyperlink r:id="rId592">
        <w:r>
          <w:rPr>
            <w:rStyle w:val="Hyperlink"/>
            <w:rFonts w:ascii="Times New Roman" w:hAnsi="Times New Roman"/>
            <w:b w:val="false"/>
            <w:i w:val="false"/>
            <w:color w:val="000000"/>
            <w:sz w:val="22"/>
          </w:rPr>
          <w:t>641—173.31(17A)</w:t>
        </w:r>
      </w:hyperlink>
      <w:r>
        <w:rPr>
          <w:rFonts w:ascii="Times New Roman" w:hAnsi="Times New Roman"/>
          <w:b w:val="false"/>
          <w:i w:val="false"/>
          <w:color w:val="000000"/>
          <w:sz w:val="22"/>
        </w:rPr>
        <w:t xml:space="preserve"> if the agency finds the radiation unit or facility violates rules that seriously affect the health, safety, and welfare of the public. An opportunity for hearing shall be held within 20 working days after the issuance of the order. The order shall be effective during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certification is revoked, the radiation machine shall not be used for mammography until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facility’s certification is revoked, no person who owned or operated that facility at the time the act occurred may own or operate a mammography facility in Iowa within two years of the date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Reinstatement of mammography certification after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be submitted and processed as an initial application. Appropriate corrective actions must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shall inspect the radiation machine within 60 days of the approved reinstatement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full certificate shall be issued only after the agency has inspected the radiation machine and determined that it meets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Inspections. The agency shall conduct an inspection of each radiation machine no later than 14 months after initial mammography certification and at least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authorization shall be submitted to the department and processed for agency approval. A mammography authorization is effective for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phantom image taken with the authorized unit(s) shall be reviewed at the time of annual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Federal mammography regulations. All Iowa facilities performing mammography shall comply with the applicable regulations found in 21 CFR Part 900 which has an effective date of April 28, 1999. Persons certified to perform mammography in Iowa shall be responsible for ensuring compliance with the appropriate CFR regulations or Iowa administrative rules, whichever are more stringent.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Review workstation (RWS)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RWS used for final interpretation of mammogram images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5 megapixel resolution;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approved by the United States Food and Drug Administration 510K process and be intended for digital mammography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workstation must have a quality control program substantially the same as that outlined by the mammography unit manufacturer’s quality control manual, that outlined by the RWS monitor manufacturer’s quality control manual or the quality control program outlined by an FDA-approved accrediting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color w:val="000000"/>
          <w:sz w:val="22"/>
        </w:rPr>
        <w:t xml:space="preserve">Mammography personnel. </w:t>
      </w:r>
      <w:r>
        <w:rPr>
          <w:rFonts w:ascii="Times New Roman" w:hAnsi="Times New Roman"/>
          <w:b w:val="false"/>
          <w:i w:val="false"/>
          <w:color w:val="000000"/>
          <w:sz w:val="22"/>
        </w:rPr>
        <w:t>The following requirements apply to all personnel involved in any aspect of mammography, including the production, processing, and interpretation of mammograms and related quality assurance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Interpreting physicians. </w:t>
      </w:r>
      <w:r>
        <w:rPr>
          <w:rFonts w:ascii="Times New Roman" w:hAnsi="Times New Roman"/>
          <w:b w:val="false"/>
          <w:i w:val="false"/>
          <w:color w:val="000000"/>
          <w:sz w:val="22"/>
        </w:rPr>
        <w:t>All radiologists interpreting mammograms shall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qualifications. Unless the exemption in </w:t>
      </w:r>
      <w:hyperlink r:id="rId593">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“1” applies, before beginning to interpret mammograms independently, the interpreting radiologist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licensed to practice medicine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 certified in an appropriate specialty area by a body determined by FDA to have procedures and requirements adequate to ensure that physicians certified by the body are competent to interpret radiological procedures, including mammography;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Have had at least three months of documented formal training in the interpretation of mammograms and in topics related to mammography. The training shall include instruction in radiation physics, including radiation physics specific to mammography, radiation effects, and radiation protection. The mammographic interpretation component shall be under the direct supervision of a radiologist who meets the requirements of </w:t>
      </w:r>
      <w:hyperlink r:id="rId594">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a minimum of 60 hours of documented medical education in mammography, which shall include: instruction in the interpretation of mammograms and education in basic breast anatomy, pathology, and physiology, technical aspects of mammography, and quality assurance and quality control in mammography. All 60 of these hours shall be Category 1 and at least 15 of the Category 1 hours shall have been acquired within the 36 months immediately prior to the date that the radiologist qualifies as an interpreting physician. Hours spent in residency specifically devoted to mammography will be considered as equivalent to Category 1 continuing medical education credits and will be accepted if documented in writing by the appropriate representative of the training institution;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Unless the exemption in </w:t>
      </w:r>
      <w:hyperlink r:id="rId595">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“2” applies, have interpreted or multi-read at least 240 mammographic examinations within the six-month period immediately prior to the date that the radiologist qualifies as an interpreting physician. This interpretation or multi-reading shall be under the direct supervision of an interpreting physician;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Before an interpreting physician may begin independently interpreting mammograms produced by a new mammographic modality other than the modality in which the initial training was received, the interpreting physician shall have at least eight hours of training in the new mammographic modality.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Continuing experience and education. All interpreting physicians shall maintain their qualifications by meeting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Following the second anniversary date of the end of the calendar quarter in which the requirements of </w:t>
      </w:r>
      <w:hyperlink r:id="rId596">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were completed, the interpreting physician shall have read or multi-read at least 960 mammographic examinations during the 24 months immediately preceding the date of the facility’s annual MQSA inspection, during the 24-month period ending on the last day of the calendar quarter preceding the inspection, or during any 24-month period between the two. The facility will choose one of these dates to determine the 24-month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Following the third anniversary date of the end of the calendar quarter in which the requirements of </w:t>
      </w:r>
      <w:hyperlink r:id="rId597">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were completed, the interpreting physician shall have taught or completed at least 15 Category 1 continuing education units in mammography during the 36 months immediately preceding the date of the facility’s annual MQSA inspection, during the 36-month period ending on the last day of the calendar quarter preceding the inspection, or during any 36-month period between the two. The facility will choose one of these dates to determine the 36-month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Units earned through teaching a specific course can be counted only once towards the 15 required by </w:t>
      </w:r>
      <w:hyperlink r:id="rId598">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“2” even if the course is taught multiple times during the previous 36 months.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A current state of Iowa medical license must be in effect whenever mammography interpretations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Exemptions.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Those physicians who qualified as interpreting physicians under </w:t>
      </w:r>
      <w:hyperlink r:id="rId599">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FDA interim regulations prior to April 28, 1999, are considered to have met the initial requirements of </w:t>
      </w:r>
      <w:hyperlink r:id="rId600">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r>
        <w:rPr>
          <w:rFonts w:ascii="Times New Roman" w:hAnsi="Times New Roman"/>
          <w:b w:val="false"/>
          <w:i w:val="false"/>
          <w:color w:val="000000"/>
          <w:sz w:val="22"/>
        </w:rPr>
        <w:t xml:space="preserve"> They may continue to interpret mammograms provided they continue to meet the licensure requirements of </w:t>
      </w:r>
      <w:hyperlink r:id="rId601">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“1” and the continuing experience and education requirements of this subrule.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Physicians who have interpreted or multi-read at least 240 mammographic examinations under the direct supervision of an interpreting physician in any six-month period during the last two years of a diagnostic radiology residency and who become appropriately board certified at the first allowable time, as defined by an eligible certifying body, are otherwise exempt from </w:t>
      </w:r>
      <w:hyperlink r:id="rId602">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Reestablishing qualifications. Interpreting physicians who fail to maintain the required continuing experience or continuing education requirements shall reestablish their qualifications before resuming the independent interpretation of mammograms, as follows:</w:t>
      </w:r>
    </w:p>
    <w:p>
      <w:pPr>
        <w:spacing w:before="0" w:after="0"/>
        <w:ind w:left="120"/>
        <w:jc w:val="both"/>
      </w:pPr>
      <w:r>
        <w:rPr>
          <w:rFonts w:ascii="Times New Roman" w:hAnsi="Times New Roman"/>
          <w:b w:val="false"/>
          <w:i w:val="false"/>
          <w:color w:val="000000"/>
          <w:sz w:val="22"/>
        </w:rPr>
        <w:t xml:space="preserve">1. Interpreting physicians who fail to meet the continuing experience requirements of </w:t>
      </w:r>
      <w:hyperlink r:id="rId603">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“1” shall: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Interpret or multi-read at least 240 mammographic examinations under the direct supervision of an interpreting physician,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Interpret or multi-read a sufficient number of mammographic examinations, under the direct supervision of an interpreting physician, to bring the physician’s total to at least 960 examinations for the prior 24 months, whichever is less. The interpretations required under </w:t>
      </w:r>
      <w:hyperlink r:id="rId604">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“1” shall be done within the six months immediately prior to resuming independent interpretation. Consecutive or back-to-back requalification of mammography personnel, due to failure to meet continuing education or experience requirements, will be allowed once without proof of extenuating circumstances. This agency will determine the validity of such proof and render a decision after review of all pertinent information. Those individuals who are denied requalification will be allowed to resubmit for requalification following a 90-day waiting period.</w:t>
      </w:r>
    </w:p>
    <w:p>
      <w:pPr>
        <w:spacing w:before="0" w:after="0"/>
        <w:ind w:left="120"/>
        <w:jc w:val="both"/>
      </w:pPr>
      <w:r>
        <w:rPr>
          <w:rFonts w:ascii="Times New Roman" w:hAnsi="Times New Roman"/>
          <w:b w:val="false"/>
          <w:i w:val="false"/>
          <w:color w:val="000000"/>
          <w:sz w:val="22"/>
        </w:rPr>
        <w:t xml:space="preserve">2. Interpreting physicians who fail to meet the continuing education requirements of </w:t>
      </w:r>
      <w:hyperlink r:id="rId605">
        <w:r>
          <w:rPr>
            <w:rStyle w:val="Hyperlink"/>
            <w:rFonts w:ascii="Times New Roman" w:hAnsi="Times New Roman"/>
            <w:b w:val="false"/>
            <w:i w:val="false"/>
            <w:color w:val="000000"/>
            <w:sz w:val="22"/>
          </w:rPr>
          <w:t>41.6(3)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“2” shall obtain a sufficient number of additional Category 1 continuing medical education credits in mammography to bring their total up to the required 15 credits in the previous 36 months before resuming independent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Radiologic technologists. </w:t>
      </w:r>
      <w:r>
        <w:rPr>
          <w:rFonts w:ascii="Times New Roman" w:hAnsi="Times New Roman"/>
          <w:b w:val="false"/>
          <w:i w:val="false"/>
          <w:color w:val="000000"/>
          <w:sz w:val="22"/>
        </w:rPr>
        <w:t>All mammographic examinations shall be performed by general radiographers who meet the following general requirements, mammography requirements, and continuing education and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Be permitted to operate as a general radiographer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requirements. Have qualified as a radiologic technologist under </w:t>
      </w:r>
      <w:hyperlink r:id="rId606">
        <w:r>
          <w:rPr>
            <w:rStyle w:val="Hyperlink"/>
            <w:rFonts w:ascii="Times New Roman" w:hAnsi="Times New Roman"/>
            <w:b w:val="false"/>
            <w:i w:val="false"/>
            <w:color w:val="000000"/>
            <w:sz w:val="22"/>
          </w:rPr>
          <w:t>41.6(3)</w:t>
        </w:r>
        <w:r>
          <w:rPr>
            <w:rFonts w:ascii="Times New Roman" w:hAnsi="Times New Roman"/>
            <w:b w:val="false"/>
            <w:i/>
            <w:color w:val="000000"/>
            <w:sz w:val="22"/>
          </w:rPr>
          <w:t>“b”</w:t>
        </w:r>
      </w:hyperlink>
      <w:r>
        <w:rPr>
          <w:rFonts w:ascii="Times New Roman" w:hAnsi="Times New Roman"/>
          <w:b w:val="false"/>
          <w:i w:val="false"/>
          <w:color w:val="000000"/>
          <w:sz w:val="22"/>
        </w:rPr>
        <w:t xml:space="preserve"> before April 28, 1999, or have completed at least 40 contact hours of documented training specific to mammography under the supervision of a qualified instructor after successful completion of a formal radiography training program. The hours of documented training shall include, but not necessarily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in breast anatomy and physiology, positioning and compression, quality assurance/quality control techniques, and imaging of patients with breast implants;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performance of a minimum of 25 examinations under the direct supervision of an individual qualified under </w:t>
      </w:r>
      <w:hyperlink r:id="rId607">
        <w:r>
          <w:rPr>
            <w:rStyle w:val="Hyperlink"/>
            <w:rFonts w:ascii="Times New Roman" w:hAnsi="Times New Roman"/>
            <w:b w:val="false"/>
            <w:i w:val="false"/>
            <w:color w:val="000000"/>
            <w:sz w:val="22"/>
          </w:rPr>
          <w:t>41.6(3)</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Before a radiologic technologist may begin independently performing mammographic examinations using a mammographic modality other than one of those for which the technologist received training under </w:t>
      </w:r>
      <w:hyperlink r:id="rId608">
        <w:r>
          <w:rPr>
            <w:rStyle w:val="Hyperlink"/>
            <w:rFonts w:ascii="Times New Roman" w:hAnsi="Times New Roman"/>
            <w:b w:val="false"/>
            <w:i w:val="false"/>
            <w:color w:val="000000"/>
            <w:sz w:val="22"/>
          </w:rPr>
          <w:t>41.6(3)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“3,” the technologist shall have at least eight hours of continuing education units in the new modality. The eight hours may not be derived from the supervised examination of patients;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Continuing education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Following the third anniversary date of the end of the calendar quarter in which the requirements of </w:t>
      </w:r>
      <w:hyperlink r:id="rId609">
        <w:r>
          <w:rPr>
            <w:rStyle w:val="Hyperlink"/>
            <w:rFonts w:ascii="Times New Roman" w:hAnsi="Times New Roman"/>
            <w:b w:val="false"/>
            <w:i w:val="false"/>
            <w:color w:val="000000"/>
            <w:sz w:val="22"/>
          </w:rPr>
          <w:t>41.6(3)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were completed, the radiologic technologist shall have taught or completed at least 15 continuing education units in mammography during the 36 months immediately preceding the date of the facility’s annual MQSA inspection, during the 36-month period ending on the last day of the calendar quarter preceding the inspection, or during any 36-month period between the two. The facility will choose one of these dates to determine the 36-month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Units earned through teaching a specific course can be counted only once towards the 15 required in </w:t>
      </w:r>
      <w:hyperlink r:id="rId610">
        <w:r>
          <w:rPr>
            <w:rStyle w:val="Hyperlink"/>
            <w:rFonts w:ascii="Times New Roman" w:hAnsi="Times New Roman"/>
            <w:b w:val="false"/>
            <w:i w:val="false"/>
            <w:color w:val="000000"/>
            <w:sz w:val="22"/>
          </w:rPr>
          <w:t>41.6(3)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“1” even if the course is taught multiple times during the previous 36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Requalification. A radiologic technologist who fails to meet the continuing education requirements of </w:t>
      </w:r>
      <w:hyperlink r:id="rId611">
        <w:r>
          <w:rPr>
            <w:rStyle w:val="Hyperlink"/>
            <w:rFonts w:ascii="Times New Roman" w:hAnsi="Times New Roman"/>
            <w:b w:val="false"/>
            <w:i w:val="false"/>
            <w:color w:val="000000"/>
            <w:sz w:val="22"/>
          </w:rPr>
          <w:t>41.6(3)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“1” shall obtain a sufficient number of continuing education units in mammography to bring the total up to at least 15 in the previous 36 months. The continuing education for requalification cannot be obtained by performing supervised mammography examinations. The technologist may not resume performing unsupervised mammography examinations until the continuing education requirements are completed.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An Iowa permit to practice radiography must be in effect whenever mammogram procedures are performed by the radiologic technologist.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Only 50 percent of the total required mammography continuing education hours may be obtained through presenting, or acting as a trainer for, a continuing education 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Continuing experience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Following the second anniversary date on which the requirements of </w:t>
      </w:r>
      <w:hyperlink r:id="rId612">
        <w:r>
          <w:rPr>
            <w:rStyle w:val="Hyperlink"/>
            <w:rFonts w:ascii="Times New Roman" w:hAnsi="Times New Roman"/>
            <w:b w:val="false"/>
            <w:i w:val="false"/>
            <w:color w:val="000000"/>
            <w:sz w:val="22"/>
          </w:rPr>
          <w:t>41.6(3)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were completed, the radiologic technologist shall have performed a minimum of 200 mammography examinations during the 24 months immediately preceding the date of the facility’s annual inspection, during the 24-month period ending on the last day of the calendar quarter preceding the inspection, or during any 24-month period between the two. The facility will choose one of these dates to determine the 24-month period.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Requalification. Radiologic technologists who fail to meet the continuing experience requirements of this subrule shall perform a minimum of 25 mammography examinations under the direct supervision of a qualified radiologic technologist before resuming the performance of unsupervised mammography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Consecutive or back-to-back requalification of mammography personnel, due to failure to meet continuing education or experience requirements, will be allowed once without proof of extenuating circumstances. This agency will determine the validity of such proof and render a decision after review of all pertinent information. Those individuals who are denied requalification will be allowed to resubmit for requalification following a 90-day waiting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physicists. </w:t>
      </w:r>
      <w:r>
        <w:rPr>
          <w:rFonts w:ascii="Times New Roman" w:hAnsi="Times New Roman"/>
          <w:b w:val="false"/>
          <w:i w:val="false"/>
          <w:color w:val="000000"/>
          <w:sz w:val="22"/>
        </w:rPr>
        <w:t xml:space="preserve">All medical physicists conducting surveys of mammography facilities and providing oversight of the facility quality assurance program under </w:t>
      </w:r>
      <w:hyperlink r:id="rId613">
        <w:r>
          <w:rPr>
            <w:rStyle w:val="Hyperlink"/>
            <w:rFonts w:ascii="Times New Roman" w:hAnsi="Times New Roman"/>
            <w:b w:val="false"/>
            <w:i w:val="false"/>
            <w:color w:val="000000"/>
            <w:sz w:val="22"/>
          </w:rPr>
          <w:t>41.6(3)</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Iowa approved;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 master’s degree or higher in a physical science from an accredited institution, with no less than 20 semester hours or 30 quarter hours of college undergraduate or graduate level physics;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20 contact hours of documented specialized training in conducting surveys of mammography facilities;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Have at least eight hours of training in surveying units of a new modality other than the one for which the physicist received training to qualify under </w:t>
      </w:r>
      <w:hyperlink r:id="rId614">
        <w:r>
          <w:rPr>
            <w:rStyle w:val="Hyperlink"/>
            <w:rFonts w:ascii="Times New Roman" w:hAnsi="Times New Roman"/>
            <w:b w:val="false"/>
            <w:i w:val="false"/>
            <w:color w:val="000000"/>
            <w:sz w:val="22"/>
          </w:rPr>
          <w:t>41.6(3)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“3” before independently performing the new mammographic modality;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Have experience conducting surveys in at least one mammography facility and have a total of at least 10 mammography units. No more than one survey of a specific unit within a period of 60 days can be counted towards the total mammography unit survey requirement. After April 28, 1999, experience conducting surveys must be acquired under the direct supervision of a medical physicist who meets all the requirements of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 initial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qualified as a medical physicist under FDA interim regulations and have retained that qualification by maintenance of the active status of any licensure, approval, or certification required under the interim regulations;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Prior to April 28, 1999,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bachelor’s degree or higher in a physical science from an accredited institution with no less than 10 semester hours or equivalent of college undergraduate or graduate level physics.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Forty contact hours of documented specialized training in conducting surveys of mammography facilities.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Experience conducting surveys in at least one mammography facility and have a total of at least 20 mammography units. No more than one survey of a specific unit within a period of 60 days can be counted towards the total mammography unit survey requirement. The training and experience requirements must be met after fulfilling the degree requirement.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At least eight hours of training in surveying units of a new modality other than the one for which the physicist received training to qualify under </w:t>
      </w:r>
      <w:hyperlink r:id="rId615">
        <w:r>
          <w:rPr>
            <w:rStyle w:val="Hyperlink"/>
            <w:rFonts w:ascii="Times New Roman" w:hAnsi="Times New Roman"/>
            <w:b w:val="false"/>
            <w:i w:val="false"/>
            <w:color w:val="000000"/>
            <w:sz w:val="22"/>
          </w:rPr>
          <w:t>41.6(3)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“3” before independently performing the new mammographic modality.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Continuing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Continuing education. Following the third anniversary date on which the requirements of </w:t>
      </w:r>
      <w:hyperlink r:id="rId616">
        <w:r>
          <w:rPr>
            <w:rStyle w:val="Hyperlink"/>
            <w:rFonts w:ascii="Times New Roman" w:hAnsi="Times New Roman"/>
            <w:b w:val="false"/>
            <w:i w:val="false"/>
            <w:color w:val="000000"/>
            <w:sz w:val="22"/>
          </w:rPr>
          <w:t>41.6(3)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(2) were completed, the medical physicist shall have taught or completed at least 15 continuing education units in mammography during the prior 36 months, during the 36-month period ending on the last day of the previous calendar quarter, or during any 36-month period between the two. The facility shall choose one of these dates to determine the 36-month period. Units earned through teaching a specific course shall be counted only once towards the required 15 units in a 36-month period, even if the course is taught multiple times during the 36 months.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Continuing experience. Following the second anniversary date on which the requirements of this subrule were completed, the medical physicist shall have surveyed at least two mammography facilities and a total of at least 6 mammography units during the prior 24 months, during the 24-month period ending on the last day of the previous calendar quarter, or during any 24-month period between the two. The facility shall choose one of these dates to determine the 24-month period. No more than one survey of a specific facility within a 10-month period or a specific unit within a period of 60 days shall be counted towards this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Continuing qualifications must be met whenever medical physics services are provided by the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Reestablishing qualifications. Medical physicists who fail to maintain the required continuing qualifications of this subrule may not perform the MQSA surveys without the supervision of a qualified medical physicist. Before independently surveying another facility, medical physicists must reestablish their qualifications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physicists who fail to meet the continuing education requirements of this subrule shall obtain a sufficient number of continuing education units to bring their total units up to the required 15 in the previous three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physicists who fail to meet the continuing experience requirements of this subrule shall complete a sufficient number of surveys under the direct supervision of a medical physicist who meets the qualifications of this subrule to bring their total surveys up to the required two facilities and 6 units in the previous 24 months. No more than one survey of a specific unit within a period of 60 days can be counted towards the total mammography unit survey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Retention of personnel records. </w:t>
      </w:r>
      <w:r>
        <w:rPr>
          <w:rFonts w:ascii="Times New Roman" w:hAnsi="Times New Roman"/>
          <w:b w:val="false"/>
          <w:i w:val="false"/>
          <w:color w:val="000000"/>
          <w:sz w:val="22"/>
        </w:rPr>
        <w:t>Facilities shall maintain records to document the qualifications of all personnel who worked at the facility as interpreting physicians, general radiographers, or medical physicists. These records must be available for review by the MQSA inspectors. Records of personnel no longer employed by the facility should not be discarded until the next annual inspection has been completed and the agency has determined that the facility is in compliance with the MQSA personnel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color w:val="000000"/>
          <w:sz w:val="22"/>
        </w:rPr>
        <w:t xml:space="preserve">Obtaining and preserving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performing the current mammography examination must make all reasonable efforts to obtain the patient’s recent mammography records, including original images or films, copies of written reports prepared by interpreting physicians, and other relevant information pertinent to previous mammograms that might be available from other facilities, for comparison with the current mammography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must make, for each patient, a written report of each mammography examination performed. This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mammography procedure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the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interpreting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an additional patient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referring physician (if any) or other physician (if any) identified by the patient to receive the interpreting physician’s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the interpreting physician’s written report was sent to the appropriate physician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separate and distinct section entitled, “Assessment” with the appropriate assessment term. One of the following terms in quotations or an approved equivalent must be included in the assessment: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“Negative”: Nothing to comment upon (if the interpreting physician is aware of clinical findings or symptoms, despite the negative assessment, these shall be explained).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“Benign”: Also a negative assessment.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“Probably benign”: Finding(s) has a high probability of being benign.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“Suspicious”: Finding(s) without all the characteristic morphology of breast cancer but indicating a definite probability of being malignant.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“Highly suggestive of malignancy”: Finding(s) has a high probability of being malignant.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 “Incomplete: Need additional imaging evaluation” shall be assigned as an assessment in cases where no final assessment category can be assigned due to incomplete workup, and reasons why no assessment can be made shall be stated by the interpreting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Recommendations made to the health care provider about what additional actions, if any, should be taken. All clinical questions raised by the referring health care provider shall be addressed in the report to the extent possible, even if the assessment is negative or benign.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Information on a patient’s breast density, as categorized by an interpreting physician at the facility based on standards as defined in nationally recognized guidelines or systems for breast imaging reporting of mammography screening, including the breast imaging reporting and data system of the American College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Preservation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must provide satisfactory assurances (as documented in its medical records) that the images or films of the first and subsequent mammography procedures and the related written reports of the interpreting physician for each patient are either placed in the patient’s medical record kept by the facility or sent for placement in the patient’s medical record as directed by the patient’s physician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retained by the facility must be retained for at least 60 calendar months following the date of service, as long as the patient continues consecutive mammograms. If no additional mammograms of the patient are performed, the records must be retained for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should cease to exist before the end of the retention period, the records must be transferred to the patient or patient’s physician or other mammographic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shall upon request by, or on behalf of, the patient, permanently or temporarily, transfer the original mammograms and copies of the patient’s reports to a medical institution, or to a physician or health care provider of the patient, or to the patient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fee charged to the patient for providing the services in subparagraph (4) above shall not exceed the documented costs associated with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 of results to the patient. Each facility shall maintain a system to ensure that the results of each mammographic examination are communicated in lay terms to each patient in a time period not to exceed 30 days from the date of the mammography examination. If assessments are “Suspicious” or “Highly suggestive of malignancy” and the patient has not named a health care provider, the facility shall make reasonable attempts to ensure that the results are communicated to the patient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 soon as possible, but no later than 30 days from the date of the mammography examination, patients who do not name a health care provider to receive the mammography report shall be sent the report described in </w:t>
      </w:r>
      <w:hyperlink r:id="rId617">
        <w:r>
          <w:rPr>
            <w:rStyle w:val="Hyperlink"/>
            <w:rFonts w:ascii="Times New Roman" w:hAnsi="Times New Roman"/>
            <w:b w:val="false"/>
            <w:i w:val="false"/>
            <w:color w:val="000000"/>
            <w:sz w:val="22"/>
          </w:rPr>
          <w:t>41.6(4)</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addition to a written notification of results in lay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facility that accepts patients who do not have a primary care provider shall maintain a system for referring such patients to a health care provider when clinically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breast density information as designated in the report pursuant to </w:t>
      </w:r>
      <w:hyperlink r:id="rId618">
        <w:r>
          <w:rPr>
            <w:rStyle w:val="Hyperlink"/>
            <w:rFonts w:ascii="Times New Roman" w:hAnsi="Times New Roman"/>
            <w:b w:val="false"/>
            <w:i w:val="false"/>
            <w:color w:val="000000"/>
            <w:sz w:val="22"/>
          </w:rPr>
          <w:t>41.6(4)</w:t>
        </w:r>
      </w:hyperlink>
      <w:r>
        <w:rPr>
          <w:rFonts w:ascii="Times New Roman" w:hAnsi="Times New Roman"/>
          <w:b w:val="false"/>
          <w:i/>
          <w:color w:val="000000"/>
          <w:sz w:val="22"/>
        </w:rPr>
        <w:t>“b”</w:t>
      </w:r>
      <w:r>
        <w:rPr>
          <w:rFonts w:ascii="Times New Roman" w:hAnsi="Times New Roman"/>
          <w:b w:val="false"/>
          <w:i w:val="false"/>
          <w:color w:val="000000"/>
          <w:sz w:val="22"/>
        </w:rPr>
        <w:t>(10) shall be included in the patient lay letter with a reference to a department-accepted site or document where the patient can obtain more information about breast density. For patients categorized as having heterogeneously dense breasts or extremely dense breasts, or an equivalent determination by another nationally recognized density gradient system, the notification to the patient shall include evidence-based information on dense breast tissue, the increased risk associated with dense breast tissue, and the effects of dense breast tissue on screening mammography and shall be stated in language appropriate for the facility’s patient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Communication of results to health care providers. When the patient has a referring health care provider or the patient has named a health care provider,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report of the mammography examination, including all of the items listed in </w:t>
      </w:r>
      <w:hyperlink r:id="rId619">
        <w:r>
          <w:rPr>
            <w:rStyle w:val="Hyperlink"/>
            <w:rFonts w:ascii="Times New Roman" w:hAnsi="Times New Roman"/>
            <w:b w:val="false"/>
            <w:i w:val="false"/>
            <w:color w:val="000000"/>
            <w:sz w:val="22"/>
          </w:rPr>
          <w:t>41.6(4)</w:t>
        </w:r>
        <w:r>
          <w:rPr>
            <w:rFonts w:ascii="Times New Roman" w:hAnsi="Times New Roman"/>
            <w:b w:val="false"/>
            <w:i/>
            <w:color w:val="000000"/>
            <w:sz w:val="22"/>
          </w:rPr>
          <w:t>“b,”</w:t>
        </w:r>
      </w:hyperlink>
      <w:r>
        <w:rPr>
          <w:rFonts w:ascii="Times New Roman" w:hAnsi="Times New Roman"/>
          <w:b w:val="false"/>
          <w:i w:val="false"/>
          <w:color w:val="000000"/>
          <w:sz w:val="22"/>
        </w:rPr>
        <w:t xml:space="preserve"> to the health care provider as soon as possible, but no later than 30 days from the date of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assessment is “Suspicious” or “Highly suggestive of malignancy,” make reasonable attempts to communicate with the health care provider as soon as possible or, if the health care provider is unavailable, to a responsible designee of the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Mammographic image identification. Each mammographic image shall have the following information indicated on it in a permanent, legible, and unambiguous manner and placed so as not to obscure anatomic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patient and an additional patient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View and laterality. This information shall be placed on the image in a position near the axilla. Standardized codes specified by the accreditation body and approved by the FDA shall be used to identify view and laterality.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Facility name and location. At a minimum, the location shall include the city, state, and ZIP code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Technologist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Mammography unit identification, if there is more than one unit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41.6(5)</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the facility has an equipment quality assurance program specific to mammography and covering all components of the system to ensure consistently high-quality images with minimum patient exposure. Responsibility for the quality assurance program and for each of its elements shall be assigned to individuals who are qualified for their assignments and who shall be allowed adequate time to perform these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 interpreting physician. The facility shall identify a lead interpreting physician who shall have the general responsibility of ensuring that the quality assurance program, EQUIP included, meets all requirements of these rules. No other individual shall be assigned or shall retain responsibility for quality assurance tasks unless the lead interpreting physician has determined that the individual’s qualifications for, and performance of, the assignment are 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physicians. All interpreting physicians interpreting mammograms for the facility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Follow the facility procedures for corrective action when the images they are asked to interpret are of poor quality,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Participate in the facility’s medical outcomes audit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physicist. Each facility shall have the services of a medical physicist available to survey mammography equipment and oversee the equipment-related quality assurance practices of the facility. At a minimum, the medical physicist(s) shall be responsible for performing the surveys and mammography equipment evaluations and providing the facility with the applicable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Quality control technologist. Responsibility for all individual tasks within the quality assurance program not assigned to the lead interpreting physician or the medical physicist shall be assigned to a quality control technologist(s). The tasks are to be performed by the quality control technologist or by other personnel qualified to perform the tasks. When other personnel are utilized for these tasks, the quality control technologist shall ensure that the tasks are completed in such a way as to meet the requirements of </w:t>
      </w:r>
      <w:hyperlink r:id="rId620">
        <w:r>
          <w:rPr>
            <w:rStyle w:val="Hyperlink"/>
            <w:rFonts w:ascii="Times New Roman" w:hAnsi="Times New Roman"/>
            <w:b w:val="false"/>
            <w:i w:val="false"/>
            <w:color w:val="000000"/>
            <w:sz w:val="22"/>
          </w:rPr>
          <w:t>41.6(5)</w:t>
        </w:r>
        <w:r>
          <w:rPr>
            <w:rFonts w:ascii="Times New Roman" w:hAnsi="Times New Roman"/>
            <w:b w:val="false"/>
            <w:i/>
            <w:color w:val="000000"/>
            <w:sz w:val="22"/>
          </w:rPr>
          <w:t>“e”</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 general review of the program is conducted at least annually and have available the services of a qualified medical physicist who is capable of establishing and conducting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the direction of the lead interpreting physician, the medical physicist shall have responsibility for establishing and conducting the equipment quality assurance program. The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Conducting or training others to conduct equipment performance monitoring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Analyzing the monitoring results to determine if there are any problems requiring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the facility has procedures in place for carrying out or arranging for the necessary corrective actions as well as for the calibrations and other preventive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Calibration of equipment. All variable parameters of the equipment shall be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equipment is first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any major changes or replacement of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annually during use based on recommendations of the mammography imaging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quality assurance tests indicate that calibration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Performance monitoring. The facility shall routinely ensure that the performance of the mammography system is monitored. The parameters to be monitored shall include all testing as outlined in the manufacturer’s mammography unit’s quality control manual and the RWS quality control requirements of </w:t>
      </w:r>
      <w:hyperlink r:id="rId621">
        <w:r>
          <w:rPr>
            <w:rStyle w:val="Hyperlink"/>
            <w:rFonts w:ascii="Times New Roman" w:hAnsi="Times New Roman"/>
            <w:b w:val="false"/>
            <w:i w:val="false"/>
            <w:color w:val="000000"/>
            <w:sz w:val="22"/>
          </w:rPr>
          <w:t>41.6(2)</w:t>
        </w:r>
      </w:hyperlink>
      <w:r>
        <w:rPr>
          <w:rFonts w:ascii="Times New Roman" w:hAnsi="Times New Roman"/>
          <w:b w:val="false"/>
          <w:i/>
          <w:color w:val="000000"/>
          <w:sz w:val="22"/>
        </w:rPr>
        <w:t>“i”</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Availability and use of technique charts that shall include an indication of the kV-target-filter combination to be used with each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Evaluation of monitoring results. FFDM and DBT mammography units must comply with the quality control test requirements outlined by the performance criteria in the appropriate manufacturer’s quality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Standards of image quality giving acceptable ranges of values for each of the parameters tested shall be established to aid in the evaluation. The standards of image quality related to dose shall include a requirement that the mean glandular dose for one craniocaudal view of a 4.2 cm compressed breast (50 percent adipose/50 percent glandular) or equivalent phantom shall not exceed 300 millirad for full field digital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monitoring results shall be compared routinely by the facility staff to the standards of image quality in </w:t>
      </w:r>
      <w:hyperlink r:id="rId622">
        <w:r>
          <w:rPr>
            <w:rStyle w:val="Hyperlink"/>
            <w:rFonts w:ascii="Times New Roman" w:hAnsi="Times New Roman"/>
            <w:b w:val="false"/>
            <w:i w:val="false"/>
            <w:color w:val="000000"/>
            <w:sz w:val="22"/>
          </w:rPr>
          <w:t>41.6(5)</w:t>
        </w:r>
      </w:hyperlink>
      <w:r>
        <w:rPr>
          <w:rFonts w:ascii="Times New Roman" w:hAnsi="Times New Roman"/>
          <w:b w:val="false"/>
          <w:i/>
          <w:color w:val="000000"/>
          <w:sz w:val="22"/>
        </w:rPr>
        <w:t>“j.”</w:t>
      </w:r>
      <w:r>
        <w:rPr>
          <w:rFonts w:ascii="Times New Roman" w:hAnsi="Times New Roman"/>
          <w:b w:val="false"/>
          <w:i w:val="false"/>
          <w:color w:val="000000"/>
          <w:sz w:val="22"/>
        </w:rPr>
        <w:t xml:space="preserve"> If any test results fall outside the performance criteria range listed for the unit, specific actions as directed in the appropriate quality control manual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 outcomes audit. Each facility shall establish a system for reviewing outcome data from all mammography performed, including follow-up on the disposition of positive mammograms and correlation of surgical biopsy results with the interpreting physician’s findings. This program shall be designed to ensure the reliability, clarity, and accuracy of the interpretation of mammograms.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Analysis of these outcome data shall be made individually and collectively for all interpreting physicians at the facility. In addition, any cases of breast cancer among women imaged at the facility that subsequently become known to the facility shall prompt the facility to initiate follow-up on surgical and pathology results, or both, and review of the mammograms taken prior to the diagnosis of a malignancy. Responsibility for each requirement for monitoring shall be assigned to qualified personnel and documented in the facility’s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Frequency of audit analysis. The facility’s first audit analysis shall be initiated no later than 12 months after the date the facility becomes certified, or 12 months after April 28, 1999, whichever date is the latest. This audit analysis shall be completed within an additional 12 months to permit completion of diagnostic procedures and data collection. Subsequent audit analyses will be conducted at least once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Reviewing interpreting physician. Each facility shall designate at least one interpreting physician to review the medical outcomes audit data at least once every 12 months. This individual shall record the dates of the audit period(s) and shall be responsible for analyzing results based on this audit. This individual shall also be responsible for documenting the results and notifying other interpreting physicians of the results and the facility aggregate results. If follow-up actions are taken, the reviewing interpreting physician shall also be responsible for documenting the nature of the follow-up. The reviewing physician shall sign the medical audit as proof of the evaluation of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Quality assurance records. The lead interpreting physician, quality control technologist, and medical physicist shall ensure that records concerning employee qualifications to meet assigned quality assurance tasks, mammography technique and procedures, quality control (including monitoring data, problems detected by analysis of that data, corrective actions, and the effectiveness of the corrective actions), safety, and protection are properly maintained and updated. These quality control records shall be kept for each test specified in these rules until the next annual inspection has been completed and the facility is in compliance with the quality assurance requirements or until the test has been performed two additional times at the required frequency,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Quality assurance—equipment.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weekly, biweekly, monthly, quarterly, semiannual and annual quality control tests. Facilities shall perform quality control tests as required by the manufacturer’s mammography unit’s quality control manual, the RWS quality control requirements of </w:t>
      </w:r>
      <w:hyperlink r:id="rId623">
        <w:r>
          <w:rPr>
            <w:rStyle w:val="Hyperlink"/>
            <w:rFonts w:ascii="Times New Roman" w:hAnsi="Times New Roman"/>
            <w:b w:val="false"/>
            <w:i w:val="false"/>
            <w:color w:val="000000"/>
            <w:sz w:val="22"/>
          </w:rPr>
          <w:t>41.6(2)</w:t>
        </w:r>
        <w:r>
          <w:rPr>
            <w:rFonts w:ascii="Times New Roman" w:hAnsi="Times New Roman"/>
            <w:b w:val="false"/>
            <w:i/>
            <w:color w:val="000000"/>
            <w:sz w:val="22"/>
          </w:rPr>
          <w:t>“i”</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the quality control program outlined by an FDA-approved accrediting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Surveys.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least annually, each facility shall undergo a survey by a medical physicist or by an individual under the direct supervision of a medical physicist. The survey shall include testing as required by the manufacturer’s mammography unit’s quality control manual, the RWS quality control manual or the quality control program outlined by the accrediting body.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results of the tests, any corrective actions taken and their results shall be evaluated for adequacy by the medical physicist performing the survey.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medical physicist shall prepare a survey report that includes a summary of this review and recommendations for necessary improvements.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survey report shall be sent to the facility within 30 days of the date of the survey.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survey report shall be dated and signed by the medical physicist performing or supervising the survey. If the survey was performed entirely or in part by another individual under the direct supervision of the medical physicist, that individual and the part of the survey that individual performed shall also be identified in the survey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equipment evaluations. Additional evaluations of mammography units or image processors or any other applicable mammography system ancillary parts shall be conducted at new installations, at disassembly, at reassembly, at the same or a new location, or when major components are changed or repaired. These evaluations shall be used to determine whether the new or changed equipment meets the requirements of applicable standards in </w:t>
      </w:r>
      <w:hyperlink r:id="rId624">
        <w:r>
          <w:rPr>
            <w:rStyle w:val="Hyperlink"/>
            <w:rFonts w:ascii="Times New Roman" w:hAnsi="Times New Roman"/>
            <w:b w:val="false"/>
            <w:i w:val="false"/>
            <w:color w:val="000000"/>
            <w:sz w:val="22"/>
          </w:rPr>
          <w:t>41.6(5)</w:t>
        </w:r>
      </w:hyperlink>
      <w:r>
        <w:rPr>
          <w:rFonts w:ascii="Times New Roman" w:hAnsi="Times New Roman"/>
          <w:b w:val="false"/>
          <w:i w:val="false"/>
          <w:color w:val="000000"/>
          <w:sz w:val="22"/>
        </w:rPr>
        <w:t xml:space="preserve"> and </w:t>
      </w:r>
      <w:hyperlink r:id="rId625">
        <w:r>
          <w:rPr>
            <w:rStyle w:val="Hyperlink"/>
            <w:rFonts w:ascii="Times New Roman" w:hAnsi="Times New Roman"/>
            <w:b w:val="false"/>
            <w:i w:val="false"/>
            <w:color w:val="000000"/>
            <w:sz w:val="22"/>
          </w:rPr>
          <w:t>41.6(6)</w:t>
        </w:r>
      </w:hyperlink>
      <w:r>
        <w:rPr>
          <w:rFonts w:ascii="Times New Roman" w:hAnsi="Times New Roman"/>
          <w:b w:val="false"/>
          <w:i w:val="false"/>
          <w:color w:val="000000"/>
          <w:sz w:val="22"/>
        </w:rPr>
        <w:t>. All problems shall be corrected before the new or changed equipment is put into service for examinations. The mammography equipment evaluation shall be performed by a medical physicist or by an individual under the direct supervision of an Iowa-approved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Calibration of air kerma measuring instruments. Instruments used by medical physicists in their annual survey to measure the air kerma or air kerma rate from a mammography unit shall be calibrated at least once every two years and each time the instrument is repaired. The instrument calibration must be traceable to a national standard and calibrated with an accuracy of plus or minus 6 percent (95 percent confidence level) in the mammography energy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Infection control. Facilities shall establish and comply with a system specifying procedures to be followed by the facility for cleaning and disinfecting mammography equipment after contact with blood or other potentially infectious materials. This system shall specify the methods for documenting facility compliance with the infection control procedures established and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Comply with all applicable federal, state, and local regulations pertaining to infection control;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Comply with the manufacturer’s recommended procedures for the cleaning and disinfecting of the mammography equipment used in the facility;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adequate manufacturer’s recommendations are not available, comply with generally accepted guidance on infection control, until such recommendations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Mammography procedures and techniques for mammography of patients with breast implants.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a procedure to inquire whether or not the patient has breast implants prior to the actual mammographic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where contraindicated, or unless modified by a physician’s directions, patients with breast implants undergoing mammography shall have mammographic views to maximize the visualization of breast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Consumer complaint mechanism. Each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 written and documented system for collecting and resolving consumer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record of each serious complaint received by the facility for at least three years from the date the complaint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the consumer with adequate directions for filing serious complaints with the facility’s accreditation body and any other appropriate regulatory entity if the facility is unable to resolve a serious complaint to the consumer’s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 unresolved serious complaints to the accreditation body in a manner and time frame specified by the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Clinical image quality. Clinical images produced by any certified facility must continue to comply with the standards for clinical image quality established by that facility’s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Additional mammography review and patient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agency believes that mammography quality at a facility has been compromised and may present a serious risk to human health, the facility shall provide clinical images and other relevant information, as specified by the agency, for review by the accreditation body or other entity designated by the agency. This additional mammography review will help the agency to determine whether the facility is in compliance with rule </w:t>
      </w:r>
      <w:hyperlink r:id="rId626">
        <w:r>
          <w:rPr>
            <w:rStyle w:val="Hyperlink"/>
            <w:rFonts w:ascii="Times New Roman" w:hAnsi="Times New Roman"/>
            <w:b w:val="false"/>
            <w:i w:val="false"/>
            <w:color w:val="000000"/>
            <w:sz w:val="22"/>
          </w:rPr>
          <w:t>641—41.6(136C)</w:t>
        </w:r>
      </w:hyperlink>
      <w:r>
        <w:rPr>
          <w:rFonts w:ascii="Times New Roman" w:hAnsi="Times New Roman"/>
          <w:b w:val="false"/>
          <w:i w:val="false"/>
          <w:color w:val="000000"/>
          <w:sz w:val="22"/>
        </w:rPr>
        <w:t xml:space="preserve"> and, if not, whether there is a need to notify affected patients, their physicians, or the public that the reliability, clarity, and accuracy of interpretation of mammograms has been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agency determines that any activity related to the provision of mammography at a facility may present a serious risk to human health such that patient notification is necessary, the facility shall notify patients or their designees, their physicians, or the public of action that may be taken to minimize the effects of the risk. Such notification shall occur within a time frame and a manner specified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41.6(6)</w:t>
      </w:r>
      <w:r>
        <w:rPr>
          <w:rFonts w:ascii="Times New Roman" w:hAnsi="Times New Roman"/>
          <w:b w:val="false"/>
          <w:i w:val="false"/>
          <w:color w:val="000000"/>
          <w:sz w:val="22"/>
        </w:rPr>
        <w:t> </w:t>
      </w:r>
      <w:r>
        <w:rPr>
          <w:rFonts w:ascii="Times New Roman" w:hAnsi="Times New Roman"/>
          <w:b w:val="false"/>
          <w:i/>
          <w:color w:val="000000"/>
          <w:sz w:val="22"/>
        </w:rPr>
        <w:t xml:space="preserve">Equipment standards. </w:t>
      </w:r>
      <w:r>
        <w:rPr>
          <w:rFonts w:ascii="Times New Roman" w:hAnsi="Times New Roman"/>
          <w:b w:val="false"/>
          <w:i w:val="false"/>
          <w:color w:val="000000"/>
          <w:sz w:val="22"/>
        </w:rPr>
        <w:t>The equipment used to perform mammography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 Be specifically designed for mammography. This prohibits systems that have been modified or equipped with special attachments for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Performance standards: Meet the Food and Drug Administration (FDA) performance standards for diagnostic X-ray systems and their major components found in 21 CFR 1020.30 and FDA standards for radiographic equipment in 21 CFR 1020.31.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Image receptor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image receptor systems and individual components which are appropriate for mammography and used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used for magnification procedures shall be capable of operation with the grid removed from between the source and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Light fields: For any system with a light beam that passes through the X-ray beam-limiting device, the light shall provide an average illumination of not less than 160 lux (15 foot candles) at 100 centimeters or the maximum source-image receptor distance (SID),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Magnification: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used to perform noninterventional problem-solving procedures shall have radiographic magnification capability available for use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Systems used for magnification procedures shall provide, at a minimum, at least one magnification value within the range of 1.4 to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Tube-image receptor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assembly shall be capable of being fixed in any position where it is designed to operate. Once fixed in any such position, it shall not undergo unintended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mechanism ensuring compliance with this subrule shall not fail in the event of power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Focal spot: The focal spot size, magnification factor and source to image receptor distance (SID) shall be appropriate for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more than one focal spot is provided, the system shall indicate, prior to exposure, which focal spot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more than one target material is provided, the system shall indicate, prior to exposure, the preselected target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target material or focal spot, or both, is selected by a system algorithm that is based on the exposure or on a test exposure, the system shall display, after the exposure, the target material or focal spot, or both, actually used during the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Compression devices: Shall have compression devices able to immobilize and compress the breast with a force of at least 25 pounds per square inch and shall be capable of maintaining this compression for at least three seconds. Each system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initial power-driven compression activated by hands-free controls operable from both sides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Fine adjustment compression controls operable from both sides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Systems shall be equipped with different sized compression paddles that match the sizes of all full field image receptors provided for the system. Compression paddles for special purposes, including those smaller than the full size of the image receptor (for “spot compression”), may be provided. Such compression paddles for special purposes are not subject to </w:t>
      </w:r>
      <w:hyperlink r:id="rId627">
        <w:r>
          <w:rPr>
            <w:rStyle w:val="Hyperlink"/>
            <w:rFonts w:ascii="Times New Roman" w:hAnsi="Times New Roman"/>
            <w:b w:val="false"/>
            <w:i w:val="false"/>
            <w:color w:val="000000"/>
            <w:sz w:val="22"/>
          </w:rPr>
          <w:t>41.6(6)</w:t>
        </w:r>
      </w:hyperlink>
      <w:r>
        <w:rPr>
          <w:rFonts w:ascii="Times New Roman" w:hAnsi="Times New Roman"/>
          <w:b w:val="false"/>
          <w:i/>
          <w:color w:val="000000"/>
          <w:sz w:val="22"/>
        </w:rPr>
        <w:t>“h”</w:t>
      </w:r>
      <w:r>
        <w:rPr>
          <w:rFonts w:ascii="Times New Roman" w:hAnsi="Times New Roman"/>
          <w:b w:val="false"/>
          <w:i w:val="false"/>
          <w:color w:val="000000"/>
          <w:sz w:val="22"/>
        </w:rPr>
        <w:t>(6)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628">
        <w:r>
          <w:rPr>
            <w:rStyle w:val="Hyperlink"/>
            <w:rFonts w:ascii="Times New Roman" w:hAnsi="Times New Roman"/>
            <w:b w:val="false"/>
            <w:i w:val="false"/>
            <w:color w:val="000000"/>
            <w:sz w:val="22"/>
          </w:rPr>
          <w:t>41.6(6)</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compression paddle shall be flat and parallel to the breast support table and shall not deflect from parallel by more than 1.0 cm at any point on the surface of the compression paddle when compression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intended by the manufacturer’s design not to be flat and parallel to the breast support table during compression shall meet the manufacturer’s design specifications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chest wall edge of the compression paddle shall be straight and parallel to the edge of the image receptor. Equipment intended by the manufacturer’s design not to be straight and parallel to the edge of the image receptor shall meet the manufacturer’s design specifications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chest wall edge of the compression paddle may allow for patient comfort but shall not appear on the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Grids: Shall have the capability for using antiscatter grids.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AEC: Shall have automatic exposure control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positioning or selection of the detector shall permit flexibility in the placement of the detector under the target tissue.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size and available positions of the detector shall be clearly indicated at the X-ray input surface of the breast compression paddle.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selected position of the detector shall be clearly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shall provide means for the operator to vary the selected optical density from the normal (zero)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Control panel: Shall have a control panel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Gives a positive indication when X-rays are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Gives an audible signal indicating termination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manual selection of milliampere seconds (mAs) or at least one of its component parts (milliampere (mA) or time,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the technique factors (peak tube potential in kilovolts (kV) and either tube current in mA and exposure time in seconds or the product of tube current and exposure time in mAs) to be used during an exposure indicated before the exposure begins, except when AEC is used, in which case the technique factors that are set prior to the exposure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 system that, following AEC mode use, shall indicate the actual kilovoltage peak (kVp) and mAs used during the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mAs: Shall indicate, or provide a means of determining, the mAs resulting from each exposure made with automatic exposure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Mobile units and vans. Appropriate manufacturer’s quality control manual procedures and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41.6(7)</w:t>
      </w:r>
      <w:r>
        <w:rPr>
          <w:rFonts w:ascii="Times New Roman" w:hAnsi="Times New Roman"/>
          <w:b w:val="false"/>
          <w:i w:val="false"/>
          <w:color w:val="000000"/>
          <w:sz w:val="22"/>
        </w:rPr>
        <w:t> </w:t>
      </w:r>
      <w:r>
        <w:rPr>
          <w:rFonts w:ascii="Times New Roman" w:hAnsi="Times New Roman"/>
          <w:b w:val="false"/>
          <w:i/>
          <w:color w:val="000000"/>
          <w:sz w:val="22"/>
        </w:rPr>
        <w:t xml:space="preserve">Safety standards for mammography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safety precautions shall be maintained and shall include, but not be limited to, adequate shielding for patients, personnel, and facilities. The equipment shall be operated only from a shielded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operators shall be monitored in accordance with </w:t>
      </w:r>
      <w:hyperlink r:id="rId629">
        <w:r>
          <w:rPr>
            <w:rStyle w:val="Hyperlink"/>
            <w:rFonts w:ascii="Times New Roman" w:hAnsi="Times New Roman"/>
            <w:b w:val="false"/>
            <w:i w:val="false"/>
            <w:color w:val="000000"/>
            <w:sz w:val="22"/>
          </w:rPr>
          <w:t>641—40.37(136C)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inspections shall be conducted by an inspector from the agency to ensure compliance with these rules. Identified hazards shall be promptly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shall be shockproof and grounded to protect against electrical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of all inspection reports and medical physicist surveys shall be maintained for at least seven years.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xml:space="preserve">RULE </w:t>
      </w:r>
      <w:hyperlink r:id="rId630">
        <w:r>
          <w:rPr>
            <w:rStyle w:val="Hyperlink"/>
            <w:rFonts w:ascii="Times New Roman" w:hAnsi="Times New Roman"/>
            <w:b w:val="false"/>
            <w:i w:val="false"/>
            <w:color w:val="000000"/>
            <w:sz w:val="22"/>
          </w:rPr>
          <w:t>641—41.6(136C)</w:t>
        </w:r>
      </w:hyperlink>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4/5/00</w:t>
      </w:r>
      <w:r>
        <w:rPr>
          <w:rFonts w:ascii="Times New Roman" w:hAnsi="Times New Roman"/>
          <w:b w:val="false"/>
          <w:i w:val="false"/>
          <w:color w:val="000000"/>
          <w:sz w:val="22"/>
        </w:rPr>
        <w:t>, effective 5/10/00</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xml:space="preserve">RULE </w:t>
      </w:r>
      <w:hyperlink r:id="rId631">
        <w:r>
          <w:rPr>
            <w:rStyle w:val="Hyperlink"/>
            <w:rFonts w:ascii="Times New Roman" w:hAnsi="Times New Roman"/>
            <w:b w:val="false"/>
            <w:i w:val="false"/>
            <w:color w:val="000000"/>
            <w:sz w:val="22"/>
          </w:rPr>
          <w:t>641—41.6(136C)</w:t>
        </w:r>
      </w:hyperlink>
      <w:r>
        <w:rPr>
          <w:rFonts w:ascii="Times New Roman" w:hAnsi="Times New Roman"/>
          <w:b w:val="false"/>
          <w:i w:val="false"/>
          <w:color w:val="000000"/>
          <w:sz w:val="22"/>
        </w:rPr>
        <w:t>—APPENDIX II</w:t>
      </w:r>
    </w:p>
    <w:p>
      <w:pPr>
        <w:spacing w:before="0" w:after="0"/>
        <w:ind w:left="120"/>
        <w:jc w:val="center"/>
      </w:pPr>
      <w:r>
        <w:rPr>
          <w:rFonts w:ascii="Times New Roman" w:hAnsi="Times New Roman"/>
          <w:b w:val="false"/>
          <w:i w:val="false"/>
          <w:color w:val="000000"/>
          <w:sz w:val="22"/>
        </w:rPr>
        <w:t>Glandular Dose (in mrad) for 1 Roentgen Entrance Exposure</w:t>
      </w:r>
    </w:p>
    <w:p>
      <w:pPr>
        <w:spacing w:before="0" w:after="0"/>
        <w:ind w:left="120"/>
        <w:jc w:val="center"/>
      </w:pPr>
      <w:r>
        <w:rPr>
          <w:rFonts w:ascii="Times New Roman" w:hAnsi="Times New Roman"/>
          <w:b w:val="false"/>
          <w:i w:val="false"/>
          <w:color w:val="000000"/>
          <w:sz w:val="22"/>
        </w:rPr>
        <w:t>4.2 cm Breast Thickness—50% Adipose/50% Glandular Breast Tissue*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1401C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3393C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6164C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641—41.7</w:t>
      </w:r>
      <w:r>
        <w:rPr>
          <w:rFonts w:ascii="Times New Roman" w:hAnsi="Times New Roman"/>
          <w:b/>
          <w:i w:val="false"/>
          <w:color w:val="000000"/>
          <w:sz w:val="22"/>
        </w:rPr>
        <w:t xml:space="preserve">(136C) </w:t>
      </w:r>
      <w:r>
        <w:rPr>
          <w:rFonts w:ascii="Times New Roman" w:hAnsi="Times New Roman"/>
          <w:b/>
          <w:i w:val="false"/>
          <w:color w:val="000000"/>
          <w:sz w:val="22"/>
        </w:rPr>
        <w:t xml:space="preserve">X-ray machines used for stereotactically guided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provided in rules </w:t>
      </w:r>
      <w:hyperlink r:id="rId632">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 xml:space="preserve">, </w:t>
      </w:r>
      <w:hyperlink r:id="rId633">
        <w:r>
          <w:rPr>
            <w:rStyle w:val="Hyperlink"/>
            <w:rFonts w:ascii="Times New Roman" w:hAnsi="Times New Roman"/>
            <w:b w:val="false"/>
            <w:i w:val="false"/>
            <w:color w:val="000000"/>
            <w:sz w:val="22"/>
          </w:rPr>
          <w:t>641—40.2(136C)</w:t>
        </w:r>
      </w:hyperlink>
      <w:r>
        <w:rPr>
          <w:rFonts w:ascii="Times New Roman" w:hAnsi="Times New Roman"/>
          <w:b w:val="false"/>
          <w:i w:val="false"/>
          <w:color w:val="000000"/>
          <w:sz w:val="22"/>
        </w:rPr>
        <w:t xml:space="preserve">, and </w:t>
      </w:r>
      <w:hyperlink r:id="rId634">
        <w:r>
          <w:rPr>
            <w:rStyle w:val="Hyperlink"/>
            <w:rFonts w:ascii="Times New Roman" w:hAnsi="Times New Roman"/>
            <w:b w:val="false"/>
            <w:i w:val="false"/>
            <w:color w:val="000000"/>
            <w:sz w:val="22"/>
          </w:rPr>
          <w:t>641—41.1(136C)</w:t>
        </w:r>
      </w:hyperlink>
      <w:r>
        <w:rPr>
          <w:rFonts w:ascii="Times New Roman" w:hAnsi="Times New Roman"/>
          <w:b w:val="false"/>
          <w:i w:val="false"/>
          <w:color w:val="000000"/>
          <w:sz w:val="22"/>
        </w:rPr>
        <w:t>, 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“Collaborative setting” </w:t>
      </w:r>
      <w:r>
        <w:rPr>
          <w:rFonts w:ascii="Times New Roman" w:hAnsi="Times New Roman"/>
          <w:b w:val="false"/>
          <w:i w:val="false"/>
          <w:color w:val="000000"/>
          <w:sz w:val="22"/>
        </w:rPr>
        <w:t xml:space="preserve">means a setting in which a qualified radiologist and surgeon (under </w:t>
      </w:r>
      <w:hyperlink r:id="rId635">
        <w:r>
          <w:rPr>
            <w:rStyle w:val="Hyperlink"/>
            <w:rFonts w:ascii="Times New Roman" w:hAnsi="Times New Roman"/>
            <w:b w:val="false"/>
            <w:i w:val="false"/>
            <w:color w:val="000000"/>
            <w:sz w:val="22"/>
          </w:rPr>
          <w:t>41.7(3)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636">
        <w:r>
          <w:rPr>
            <w:rStyle w:val="Hyperlink"/>
            <w:rFonts w:ascii="Times New Roman" w:hAnsi="Times New Roman"/>
            <w:b w:val="false"/>
            <w:i w:val="false"/>
            <w:color w:val="000000"/>
            <w:sz w:val="22"/>
          </w:rPr>
          <w:t>41.7(3)</w:t>
        </w:r>
        <w:r>
          <w:rPr>
            <w:rFonts w:ascii="Times New Roman" w:hAnsi="Times New Roman"/>
            <w:b w:val="false"/>
            <w:i/>
            <w:color w:val="000000"/>
            <w:sz w:val="22"/>
          </w:rPr>
          <w:t>“c”</w:t>
        </w:r>
      </w:hyperlink>
      <w:r>
        <w:rPr>
          <w:rFonts w:ascii="Times New Roman" w:hAnsi="Times New Roman"/>
          <w:b w:val="false"/>
          <w:i w:val="false"/>
          <w:color w:val="000000"/>
          <w:sz w:val="22"/>
        </w:rPr>
        <w:t>) are working together in consultation and in performing stereotactically guided breast biopsies with a common goal of the patient’s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“Phantom” </w:t>
      </w:r>
      <w:r>
        <w:rPr>
          <w:rFonts w:ascii="Times New Roman" w:hAnsi="Times New Roman"/>
          <w:b w:val="false"/>
          <w:i w:val="false"/>
          <w:color w:val="000000"/>
          <w:sz w:val="22"/>
        </w:rPr>
        <w:t>means an artificial test object used to simulate radiographic characteristics of compressed breast tissue and containing components that radiographically model aspects of breast disease and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means a stereotactically guided breast biopsy performed on a patient for diagnostic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training physician” </w:t>
      </w:r>
      <w:r>
        <w:rPr>
          <w:rFonts w:ascii="Times New Roman" w:hAnsi="Times New Roman"/>
          <w:b w:val="false"/>
          <w:i w:val="false"/>
          <w:color w:val="000000"/>
          <w:sz w:val="22"/>
        </w:rPr>
        <w:t xml:space="preserve">means a physician who is qualified under </w:t>
      </w:r>
      <w:hyperlink r:id="rId637">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to perform stereotactically guided breast biopsies and who has performed at least 24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“Stereotactic training phantom” </w:t>
      </w:r>
      <w:r>
        <w:rPr>
          <w:rFonts w:ascii="Times New Roman" w:hAnsi="Times New Roman"/>
          <w:b w:val="false"/>
          <w:i w:val="false"/>
          <w:color w:val="000000"/>
          <w:sz w:val="22"/>
        </w:rPr>
        <w:t>means a training or practice tool or medium used for stereotactically guided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“Stereotactically guided breast biopsy” </w:t>
      </w:r>
      <w:r>
        <w:rPr>
          <w:rFonts w:ascii="Times New Roman" w:hAnsi="Times New Roman"/>
          <w:b w:val="false"/>
          <w:i w:val="false"/>
          <w:color w:val="000000"/>
          <w:sz w:val="22"/>
        </w:rPr>
        <w:t>means a breast biopsy procedure performed with the utilization of a dedicated system which emits ionizing radiation and is designed specifically for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the physician designated by the facility/owner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Evaluate the equipment, personnel, procedures, and records annually;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 and conduct the quality assurance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application standards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radiation machine used to perform stereotactically guided breast biopsies shall be registered according to </w:t>
      </w:r>
      <w:hyperlink r:id="rId638">
        <w:r>
          <w:rPr>
            <w:rStyle w:val="Hyperlink"/>
            <w:rFonts w:ascii="Times New Roman" w:hAnsi="Times New Roman"/>
            <w:b w:val="false"/>
            <w:i w:val="false"/>
            <w:color w:val="000000"/>
            <w:sz w:val="22"/>
          </w:rPr>
          <w:t>641—subrule 39.3(2)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facility wishing to perform stereotactically guided breast biopsies shall apply to the agency for authorization by providing or verifying the following information for each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stereotactically guided breast biopsy equipment and facility meet the general requirements of these rules for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specifically designed to perform stereotactically guided breast biopsies.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used according to these rules on patient radiation exposure and radiation dose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operated by individuals meeting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entire stereotactically guided breast biopsy system is evaluated annually by a medical physicist who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equipment, personnel, procedures and records are evaluated annually by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revocation, or denial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may be suspended or revoked with cause if any machine does not meet one or more of the standards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an opportunity for a hearing in connection with a denial,suspension, or revocation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emergency order suspending or revoking authorization may be issued if the agency finds the radiation machine or facility violates rules that seriously affect the health, safety and welfare of the public. An opportunity for hearing shall be held within 20 working days after the issuance of the order. The order shall be effective during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authorization is revoked, the radiation machine shall not be used until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Reinstatement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be submitted and processed the same as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shall inspect the radiation machine within 60 days of the approved reinstatement application. If the reinstatement is after a revocation, appropriate corrective action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full reinstatement shall be issued only after the agency has inspected the radiation machine and facility and determined that they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Inspections. The agency shall conduct an inspection of each radiation machine no later than 14 months after initial authorization and at least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color w:val="000000"/>
          <w:sz w:val="22"/>
        </w:rPr>
        <w:t xml:space="preserve">Physicians. </w:t>
      </w:r>
      <w:r>
        <w:rPr>
          <w:rFonts w:ascii="Times New Roman" w:hAnsi="Times New Roman"/>
          <w:b w:val="false"/>
          <w:i w:val="false"/>
          <w:color w:val="000000"/>
          <w:sz w:val="22"/>
        </w:rPr>
        <w:t>Physicians must be qualified according to the setting and their role in performing stereotactically guided breast biopsies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a radiologist in a collaborative setting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training and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Must be qualified according to </w:t>
      </w:r>
      <w:hyperlink r:id="rId639">
        <w:r>
          <w:rPr>
            <w:rStyle w:val="Hyperlink"/>
            <w:rFonts w:ascii="Times New Roman" w:hAnsi="Times New Roman"/>
            <w:b w:val="false"/>
            <w:i w:val="false"/>
            <w:color w:val="000000"/>
            <w:sz w:val="22"/>
          </w:rPr>
          <w:t>41.6(3)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Shall have performed at least 12 stereotactically guided breast biopsies prior to July 1, 1998, or at least 3 hands-on stereotactically guided breast biopsies under a physician who is qualified under </w:t>
      </w:r>
      <w:hyperlink r:id="rId640">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and has performed at least 24 stereotactically guided breast biopsies.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Shall have at least three hours of Category 1 CME or three hours of training approved by the agency in stereotactically guided breast biopsy.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Shall be responsible for mammographic interpretation, be experienced as noted in </w:t>
      </w:r>
      <w:hyperlink r:id="rId641">
        <w:r>
          <w:rPr>
            <w:rStyle w:val="Hyperlink"/>
            <w:rFonts w:ascii="Times New Roman" w:hAnsi="Times New Roman"/>
            <w:b w:val="false"/>
            <w:i w:val="false"/>
            <w:color w:val="000000"/>
            <w:sz w:val="22"/>
          </w:rPr>
          <w:t>41.7(3)</w:t>
        </w:r>
        <w:r>
          <w:rPr>
            <w:rFonts w:ascii="Times New Roman" w:hAnsi="Times New Roman"/>
            <w:b w:val="false"/>
            <w:i/>
            <w:color w:val="000000"/>
            <w:sz w:val="22"/>
          </w:rPr>
          <w:t>“a”</w:t>
        </w:r>
        <w:r>
          <w:rPr>
            <w:rFonts w:ascii="Times New Roman" w:hAnsi="Times New Roman"/>
            <w:b w:val="false"/>
            <w:i w:val="false"/>
            <w:color w:val="000000"/>
            <w:sz w:val="22"/>
          </w:rPr>
          <w:t>(1)“2”</w:t>
        </w:r>
      </w:hyperlink>
      <w:r>
        <w:rPr>
          <w:rFonts w:ascii="Times New Roman" w:hAnsi="Times New Roman"/>
          <w:b w:val="false"/>
          <w:i w:val="false"/>
          <w:color w:val="000000"/>
          <w:sz w:val="22"/>
        </w:rPr>
        <w:t xml:space="preserve"> above and be experienced in the specific recommendations for each biopsy and lesion identification at time of each biopsy performed by that physician.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Shall be responsible for the supervision of the radiologic technologist during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CME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Following the first anniversary in which the requirements of this subrule were met, completion of a total of 12 breast biopsy procedures must be met for each calendar year with at least 6 being stereotactic breast biopsies. The remaining 6 can be any combination of the following, and demonstration of the chosen combination needs to be clearly documented: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case review, which must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Mammographic-guided, stereotactic-guided, or both, wire localization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Ultrasound-guided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MRI-guided breast biopsy procedures.</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experience is not maintained, the physician must requalify by performing three procedures under direct supervision of a qualified training physician or an agency-approved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Following the first anniversary in which the requirements of this subrule were met, obtain at least three hours of Category 1 CME or three hours of training approved by the agency in stereotactic-guided breast biopsy during the 36 months immediately preceding the date of the facility’s annual stereotactic biopsy inspection, or during the 36-month period ending on the last day of the calendar quarter preceding the inspection. If education is not maintained, the physician must requalify by obtaining additional CME credits to reach 3 CME credits in the prior 36 months before resuming unsupervised procedures. These CMEs cannot be obtained by the performance of supervised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A current state of Iowa medical license must be in effect whenever procedures are performed independently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a physician other than a qualified radiologist in a collaborative setting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training and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Must be licensed to practice medicine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Must have at least three hours of Category 1 CME or three hours of training approved by the agency in stereotactically guided breast biopsy which includes instruction on triangulation for lesion location.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Must have performed at least 12 stereotactically guided breast biopsies prior to May 9, 2001, or at least 3 hands-on stereotactically guided breast biopsy procedures under a physician who is both qualified to perform stereotactic biopsy procedures according to </w:t>
      </w:r>
      <w:hyperlink r:id="rId642">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and has performed at least 24 stereotactically guided breast biopsies.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Shall be responsible for post-biopsy management of the patient.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Shall be responsible for supervision of the radiologic technologist during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CME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Following the first anniversary in which the requirements of this subrule were met, completion of a total of 12 breast biopsy procedures must be met for each calendar year with at least 6 being stereotactic breast biopsies. The remaining 6 can be any combination of the following and demonstration of the chosen combination needs to be clearly documented: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case review, which must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Mammographic-guided, stereotactic-guided, or both, wire localization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Ultrasound-guided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MRI-guided breast biopsy procedures.</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experience is not maintained, the physician must requalify by performing three procedures under direct supervision of a qualified training physician or an agency–approved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Following the first anniversary in which the requirements of this subrule were met, obtain at least three hours of Category 1 CME immediately preceding the date of the facility’s annual stereotactic biopsy inspection, or during the 36-month period ending on the last day of the calendar quarter preceding the inspection. If education is not maintained, the physician must requalify by obtaining additional CME credits to reach 3 CME credits in the prior 36 months before resuming unsupervised procedures. These CMEs cannot be obtained by the performance of supervised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A current state of Iowa medical license must be in effect whenever unsupervised procedures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for a radiologist performing stereotactically guided breast biopsy independently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training and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Must be qualified according to </w:t>
      </w:r>
      <w:hyperlink r:id="rId643">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Initially, must have at least three hours of Category 1 CME or three hours of training approved by the agency in stereotactically guided breast biopsy.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Initially, must obtain at least 15 hours of CME in breast imaging including benign and malignant breast diseases.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Must have performed at least 12 stereotactically guided breast biopsies prior to July 1, 1998, or at least 3 hands-on stereotactically guided breast biopsy procedures under a physician who is both qualified according to </w:t>
      </w:r>
      <w:hyperlink r:id="rId644">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and has performed at least 24 stereotactically guided breast biopsies.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Must be responsible for mammographic interpretation.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Must be responsible for patient selection.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Must be responsible for the supervision of the radiologic technologist during the procedure.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Must be responsible for post-biopsy management of the patient which may include referral to a surgeon for a follow-up on certain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CME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Following the first anniversary in which the requirements of this subrule were met, completion of a total of 12 breast biopsy procedures must be met for each calendar year with at least 6 being stereotactic breast biopsies. The remaining 6 can be any combination of the following and demonstration of the chosen combination needs to be clearly documented: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case review, which must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Mammographic-guided, stereotactic-guided, or both, wire localization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Ultrasound-guided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MRI-guided breast biopsy procedures.</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experience is not maintained, the physician must requalify by performing three procedures under direct supervision of a qualified training physician or an agency-approved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Following the first anniversary in which the requirements of this subrule were met, obtain at least three hours of Category 1 CME immediately preceding the date of the facility’s annual stereotactic biopsy inspection, or during the 36-month period ending on the last day of the calendar quarter preceding the inspection which includes post-biopsy management of the patient. If education is not maintained, the physician must requalify by obtaining additional CME credits to reach 3 CME credits in the prior 36 months before resuming unsupervised procedures. These CMEs cannot be obtained by the performance of supervised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A current state of Iowa medical license must be in effect whenever unsupervised procedures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a physician other than a qualified radiologist (under </w:t>
      </w:r>
      <w:hyperlink r:id="rId645">
        <w:r>
          <w:rPr>
            <w:rStyle w:val="Hyperlink"/>
            <w:rFonts w:ascii="Times New Roman" w:hAnsi="Times New Roman"/>
            <w:b w:val="false"/>
            <w:i w:val="false"/>
            <w:color w:val="000000"/>
            <w:sz w:val="22"/>
          </w:rPr>
          <w:t>41.7(3)</w:t>
        </w:r>
        <w:r>
          <w:rPr>
            <w:rFonts w:ascii="Times New Roman" w:hAnsi="Times New Roman"/>
            <w:b w:val="false"/>
            <w:i/>
            <w:color w:val="000000"/>
            <w:sz w:val="22"/>
          </w:rPr>
          <w:t>“c”</w:t>
        </w:r>
      </w:hyperlink>
      <w:r>
        <w:rPr>
          <w:rFonts w:ascii="Times New Roman" w:hAnsi="Times New Roman"/>
          <w:b w:val="false"/>
          <w:i w:val="false"/>
          <w:color w:val="000000"/>
          <w:sz w:val="22"/>
        </w:rPr>
        <w:t>) performing stereotactically guided breast biopsy independently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training and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Must be licensed to practice medicine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Must have evaluated at least 480 mammograms in the prior 24 months in consultation with a physician who is qualified according to </w:t>
      </w:r>
      <w:hyperlink r:id="rId646">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Initially, must have at least 15 hours of Category 1 CME or 15 hours of training approved by the agency in stereotactically guided breast imaging and biopsy or three years’ experience having performed at least 36 stereotactically guided breast biopsies.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Must have four hours of Category 1 CME in medical radiation physics.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Must have performed at least 12 stereotactically guided breast biopsies prior to May 9, 2001, or at least 3 hands-on stereotactically guided breast biopsy procedures under a physician who is both qualified according to </w:t>
      </w:r>
      <w:hyperlink r:id="rId647">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and has performed at least 24 stereotactically guided breast biopsies.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Must be responsible for patient selection.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Must be responsible for the supervision of the radiologic technologist during the procedure.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Must be responsible for post-biopsy management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CME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Continue to evaluate at least 480 mammograms every 24 months in consultation with a physician who is qualified according to </w:t>
      </w:r>
      <w:hyperlink r:id="rId648">
        <w:r>
          <w:rPr>
            <w:rStyle w:val="Hyperlink"/>
            <w:rFonts w:ascii="Times New Roman" w:hAnsi="Times New Roman"/>
            <w:b w:val="false"/>
            <w:i w:val="false"/>
            <w:color w:val="000000"/>
            <w:sz w:val="22"/>
          </w:rPr>
          <w:t>41.6(3)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Following the first anniversary in which the requirements of this subrule were met, completion of a total of 12 breast biopsy procedures must be met for each calendar year with at least 6 being stereotactic breast biopsies. The remaining 6 can be any combination of the following and demonstration of the chosen combination needs to be clearly documented: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Stereotactic breast biopsy case review, which must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Mammographic-guided, stereotactic-guided, or both, wire localization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Ultrasound-guided breast biopsy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MRI-guided breast biopsy procedures.</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experience is not maintained, the physician must requalify by performing three procedures under direct supervision of a qualified training physician or an agency-approved manufacturer applications specialist before resuming unsupervised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Following the first anniversary in which the requirements of this subrule were met, obtain at least three hours of Category 1 CME immediately preceding the date of the facility’s annual stereotactic biopsy inspection, or during the 36-month period ending on the last day of the calendar quarter preceding the inspection. If education is not maintained, the physician must requalify by obtaining additional CME credits to reach 3 CME credits in the prior 36 months before resuming unsupervised procedures. The CME credits for requalification cannot be obtained by performing procedures.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A current state of Iowa medical license must be in effect whenever unsupervised procedures are performed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color w:val="000000"/>
          <w:sz w:val="22"/>
        </w:rPr>
        <w:t xml:space="preserve">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Must be qualified according to </w:t>
      </w:r>
      <w:hyperlink r:id="rId649">
        <w:r>
          <w:rPr>
            <w:rStyle w:val="Hyperlink"/>
            <w:rFonts w:ascii="Times New Roman" w:hAnsi="Times New Roman"/>
            <w:b w:val="false"/>
            <w:i w:val="false"/>
            <w:color w:val="000000"/>
            <w:sz w:val="22"/>
          </w:rPr>
          <w:t>41.6(3)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Must have performed three hands-on stereotactically guided breast biopsy system physics surveys prior to July 1, 1998; or one hands-on stereotactically guided breast biopsy system physics survey under the guidance of a medical physicist qualified through </w:t>
      </w:r>
      <w:hyperlink r:id="rId650">
        <w:r>
          <w:rPr>
            <w:rStyle w:val="Hyperlink"/>
            <w:rFonts w:ascii="Times New Roman" w:hAnsi="Times New Roman"/>
            <w:b w:val="false"/>
            <w:i w:val="false"/>
            <w:color w:val="000000"/>
            <w:sz w:val="22"/>
          </w:rPr>
          <w:t>41.7(4)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51">
        <w:r>
          <w:rPr>
            <w:rStyle w:val="Hyperlink"/>
            <w:rFonts w:ascii="Times New Roman" w:hAnsi="Times New Roman"/>
            <w:b w:val="false"/>
            <w:i w:val="false"/>
            <w:color w:val="000000"/>
            <w:sz w:val="22"/>
          </w:rPr>
          <w:t>41.7(4)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performed at least one stereotactically guided breast biopsy system physics survey per year after the initial qualifications are met or requalify by performing one survey supervised by a qualified medical physicist;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third anniversary in which the requirements of this subrule were met, have obtained at least three hours of continuing education in stereotactically guided breast biopsy system physics during the previous 36 months or requalify by obtaining additional CME credits to reach 3 CME credits in the prior 36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color w:val="000000"/>
          <w:sz w:val="22"/>
        </w:rPr>
        <w:t xml:space="preserve">Radiologic technologist.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Must be qualified according to </w:t>
      </w:r>
      <w:hyperlink r:id="rId652">
        <w:r>
          <w:rPr>
            <w:rStyle w:val="Hyperlink"/>
            <w:rFonts w:ascii="Times New Roman" w:hAnsi="Times New Roman"/>
            <w:b w:val="false"/>
            <w:i w:val="false"/>
            <w:color w:val="000000"/>
            <w:sz w:val="22"/>
          </w:rPr>
          <w:t>41.6(3)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meet the following initial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Five hands-on stereotactically guided breast biopsy procedures on patients under the supervision of a physician or technologist qualified under rule </w:t>
      </w:r>
      <w:hyperlink r:id="rId653">
        <w:r>
          <w:rPr>
            <w:rStyle w:val="Hyperlink"/>
            <w:rFonts w:ascii="Times New Roman" w:hAnsi="Times New Roman"/>
            <w:b w:val="false"/>
            <w:i w:val="false"/>
            <w:color w:val="000000"/>
            <w:sz w:val="22"/>
          </w:rPr>
          <w:t>641—41.7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contact hours in stereotactically guided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Maintenance of proficiency and continuing education and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completion of a total of 12 breast biopsy procedures must be met for each calendar year with at least 6 being stereotactic breast biopsies. The remaining 6 can be any combination of the following and demonstration of the chosen combination needs to be clearly documented: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Stereotactic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Stereotactic breast biopsy case review, must be documented to include a review of pre-biopsy mammographic examination, scout and stereotactic images, biopsy needle pre-fire and post-fire images,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Mammographic-guided, stereotactic-guided, or both, wire localization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Ultrasound-guided breast biopsy procedures.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MRI-guided breast biopsy procedures.</w:t>
      </w:r>
    </w:p>
    <w:p>
      <w:pPr>
        <w:spacing w:before="0" w:after="0"/>
        <w:ind w:left="120"/>
        <w:jc w:val="both"/>
      </w:pPr>
      <w:r>
        <w:rPr>
          <w:rFonts w:ascii="Times New Roman" w:hAnsi="Times New Roman"/>
          <w:b w:val="false"/>
          <w:i w:val="false"/>
          <w:color w:val="000000"/>
          <w:sz w:val="22"/>
        </w:rPr>
        <w:t xml:space="preserve">If experience is not maintained, the radiologic technologist must requalify by performing three stereotactically guided breast biopsies under the supervision of a physician or radiologic technologist qualified under </w:t>
      </w:r>
      <w:hyperlink r:id="rId654">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or </w:t>
      </w:r>
      <w:hyperlink r:id="rId655">
        <w:r>
          <w:rPr>
            <w:rStyle w:val="Hyperlink"/>
            <w:rFonts w:ascii="Times New Roman" w:hAnsi="Times New Roman"/>
            <w:b w:val="false"/>
            <w:i w:val="false"/>
            <w:color w:val="000000"/>
            <w:sz w:val="22"/>
          </w:rPr>
          <w:t>41.7(5)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third anniversary in which the requirements of this subrule were met, obtain at least three hours of continuing education in stereotactically guided breast biopsy during the 36 months immediately preceding the date of the facility’s annual stereotactic biopsy inspection, or during the 36-month period ending on the last day of the calendar quarter preceding the inspection, or requalify by obtaining additional CME credits to reach 3 CME credits in the prior 36 months. The CMEs cannot be obtained by the performance of supervised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stereotactic radiologic technologist performs only stereotactic procedures, the radiologic technologist must perform at least 100 stereotactic procedures during the prior 24 months immediately preceding the date of the facility’s annual stereotactic biopsy inspection, during the 24-month period ending on the last day of the previous calendar quarter, or any 24-month period between the two. In this case, all requirements for radiologic technologists must be met with the exception of </w:t>
      </w:r>
      <w:hyperlink r:id="rId656">
        <w:r>
          <w:rPr>
            <w:rStyle w:val="Hyperlink"/>
            <w:rFonts w:ascii="Times New Roman" w:hAnsi="Times New Roman"/>
            <w:b w:val="false"/>
            <w:i w:val="false"/>
            <w:color w:val="000000"/>
            <w:sz w:val="22"/>
          </w:rPr>
          <w:t>41.6(3)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Only 50 percent of the total required stereotactic continuing education hours may be obtained through presenting or acting as a trainer for a continuing education 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Iowa permit to practice radiography must be in effect whenever stereotactic procedures are performed by the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color w:val="000000"/>
          <w:sz w:val="22"/>
        </w:rPr>
        <w:t xml:space="preserve">Obtaining and preserving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must make, for each procedure, a record of the service provided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one additional patient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radiologic technologists and physicians performing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referring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retained by the medical facility must be retained for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41.7(7)</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an equipment quality assurance program specific to stereotactically guided breast biopsy systems and covering all components of the system to ensure high-quality images with minimum patient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 general review of the program is conducted at least annually and have available the services of a qualified medical physicist who is capable of establishing and conducting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name a supervising stereotactic biopsy physician who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Quality assurance activities including the medical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Oversight of the quality control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of the radiologic technologist(s) and the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the direction of the supervising physician, the medical physicist shall have the responsibility for establishing and conducting the equipment quality assurance program. The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Conducting equipment performance monitoring functions, initially and then at least annually,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biopsy unit assembly. Any failed items must be corrected within 30 days of the survey unless the medical physicist deems that the failure poses a serious injury risk to the patient, at which time the failure needs to be corrected before further procedures are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Collimation.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X-ray field must not extend beyond the image receptor by more than 5 mm on any side.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failures must be corrected within 30 days of the survey.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Evaluation of focal spot. Focal spot must not degrade from initial measurement. If reduction in lp/mm is found, focal spot must be corrected within 30 days of survey.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kVp accuracy/reproducibility. kVp accuracy/reproducibility must be accurate to within +/- 5% of nominal kVp setting. Failures must be corrected before further procedures are performed.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Half-value layer measurement. HVL shall be greater than kVp/100 (in units of mm Al). Failures must be corrected before further procedures are performed.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Exposure reproducibility. Exposure must be reproducible to within +/- 15% of mean exposure. Failures must be corrected before further procedures are performed.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Breast entrance exposure, average glandular dose. Average glandular dose must be less than 300 millirad (3 milliGray) per exposure of a 50 percent glandular/50 percent adipose 4.2 centimeter breast. Failures must be corrected before further procedures are performed.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Image quality evaluation.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Phantom image must meet the criteria of 5 fibers, 4 speck groups and 3 masses for the ACR accreditation phantom or 3 fibers, 3 speck groups and 2.5 masses for the mini phantom unless otherwise stated by the phantom manufacturer.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Failures must be corrected before further procedures are performed.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Artifact evaluation. Any significant black or white artifacts seen in the image detector field must be corrected within 30 days of the survey.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Digital field uniformity. For units with region of interest (ROI) capability, the SNR in each corner must be within +/- 15% of the SNR in the center. Failures must be corrected within 30 days of the survey.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Localization simulation (gelatin phantom) test. Localization accuracy must be within 1 mm of target, and the test must include a portion of the test “lesion” in the sample chamber. Failures must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Analyzing the monitoring results to determine if there are any problems requiring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Ensuring that the facility has procedures in place for carrying out or arranging for the necessary corrective actions as well as for the calibrations and other preventative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supervising physician shall have the responsibility for establishing and conducting the quality control program in a facility with a fixed unit. In the case of a mobile stereotactic unit, the owner or designee shall assume the responsibility for establishing and conducting the quality assurance program. The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Localization accuracy (daily before use and before using the localization unit after it is adjusted). Each coordinate must be within manufacturer specifications for the intended target value. Failures must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Visual checklist (monthly). Any failed items must be corrected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Phantom image (weekly). Phantom image must meet the criteria of 5 fibers, 4 speck groups and 3 masses for the ACR accreditation phantom or 3 fibers, 3 speck groups and 2.5 masses for the mini phantom unless otherwise stated by the phantom manufacturer. Failures must be corrected before further procedures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Compression (semiannually). The maximum auto drive compression force shall not exceed 45 pounds. Failures must be corrected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additional quality control testing indicated by the stereotactic breast biopsy unit manufacturer must be completed as outlined in the quality control manual applicable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medical audit program to ensure the accuracy and appropriateness of the procedures performed. This program shall include an imaging-pathology correlation for each biopsy performed, an ongoing analysis of biopsy results and periodic review of the utilization of the procedure. The program must include the number of biopsies performed, the number of cancers found, the number of benign lesions found, and the number of biopsies repeated.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medical physicist evaluations of stereotactic units shall be conducted whenever a new unit is installed, a unit is disassembled and reassembled at the same or a new location, or major components of a stereotactic unit are changed or repaired. These evaluations shall be used to determine whether the new or changed equipment meets the requirements of applicable standards in </w:t>
      </w:r>
      <w:hyperlink r:id="rId657">
        <w:r>
          <w:rPr>
            <w:rStyle w:val="Hyperlink"/>
            <w:rFonts w:ascii="Times New Roman" w:hAnsi="Times New Roman"/>
            <w:b w:val="false"/>
            <w:i w:val="false"/>
            <w:color w:val="000000"/>
            <w:sz w:val="22"/>
          </w:rPr>
          <w:t>41.7(7)</w:t>
        </w:r>
      </w:hyperlink>
      <w:r>
        <w:rPr>
          <w:rFonts w:ascii="Times New Roman" w:hAnsi="Times New Roman"/>
          <w:b w:val="false"/>
          <w:i w:val="false"/>
          <w:color w:val="000000"/>
          <w:sz w:val="22"/>
        </w:rPr>
        <w:t xml:space="preserve">. All problems shall be corrected before the new or changed equipment is put into service for examinations. The stereotactic equipment evaluation shall be performed by a medical physicist qualified under </w:t>
      </w:r>
      <w:hyperlink r:id="rId658">
        <w:r>
          <w:rPr>
            <w:rStyle w:val="Hyperlink"/>
            <w:rFonts w:ascii="Times New Roman" w:hAnsi="Times New Roman"/>
            <w:b w:val="false"/>
            <w:i w:val="false"/>
            <w:color w:val="000000"/>
            <w:sz w:val="22"/>
          </w:rPr>
          <w:t>41.7(4)</w:t>
        </w:r>
      </w:hyperlink>
      <w:r>
        <w:rPr>
          <w:rFonts w:ascii="Times New Roman" w:hAnsi="Times New Roman"/>
          <w:b w:val="false"/>
          <w:i w:val="false"/>
          <w:color w:val="000000"/>
          <w:sz w:val="22"/>
        </w:rPr>
        <w:t xml:space="preserve"> or by an individual under the direct supervision of a medical physicist qualified under </w:t>
      </w:r>
      <w:hyperlink r:id="rId659">
        <w:r>
          <w:rPr>
            <w:rStyle w:val="Hyperlink"/>
            <w:rFonts w:ascii="Times New Roman" w:hAnsi="Times New Roman"/>
            <w:b w:val="false"/>
            <w:i w:val="false"/>
            <w:color w:val="000000"/>
            <w:sz w:val="22"/>
          </w:rPr>
          <w:t>41.7(4)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41.7(8)</w:t>
      </w:r>
      <w:r>
        <w:rPr>
          <w:rFonts w:ascii="Times New Roman" w:hAnsi="Times New Roman"/>
          <w:b w:val="false"/>
          <w:i w:val="false"/>
          <w:color w:val="000000"/>
          <w:sz w:val="22"/>
        </w:rPr>
        <w:t> </w:t>
      </w:r>
      <w:r>
        <w:rPr>
          <w:rFonts w:ascii="Times New Roman" w:hAnsi="Times New Roman"/>
          <w:b w:val="false"/>
          <w:i/>
          <w:color w:val="000000"/>
          <w:sz w:val="22"/>
        </w:rPr>
        <w:t xml:space="preserve">Equipment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specifically designed for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 the Food and Drug Administration (FDA) standards found in 21 CFR.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41.7(9)</w:t>
      </w:r>
      <w:r>
        <w:rPr>
          <w:rFonts w:ascii="Times New Roman" w:hAnsi="Times New Roman"/>
          <w:b w:val="false"/>
          <w:i w:val="false"/>
          <w:color w:val="000000"/>
          <w:sz w:val="22"/>
        </w:rPr>
        <w:t> </w:t>
      </w:r>
      <w:r>
        <w:rPr>
          <w:rFonts w:ascii="Times New Roman" w:hAnsi="Times New Roman"/>
          <w:b w:val="false"/>
          <w:i/>
          <w:color w:val="000000"/>
          <w:sz w:val="22"/>
        </w:rPr>
        <w:t xml:space="preserve">Safety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safety precautions shall be maintained and shall include, but not be limited to, adequate shielding for patients, personnel and facilities. The equipment shall be operated only from a shielded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inspections shall be conducted by an inspector from the agency to ensure compliance with these rules. Identified hazards shall be promptly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shall be shockproof and grounded to protect against electrical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all inspection reports and medical physicist surveys shall be maintained for at least seven years.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6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1401C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6164C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CHAPTER 41—APPENDIX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INFORMATION ON RADIATION SHIELDING</w:t>
      </w:r>
    </w:p>
    <w:p>
      <w:pPr>
        <w:spacing w:before="0" w:after="0"/>
        <w:ind w:left="120"/>
        <w:jc w:val="center"/>
      </w:pPr>
      <w:r>
        <w:rPr>
          <w:rFonts w:ascii="Times New Roman" w:hAnsi="Times New Roman"/>
          <w:b w:val="false"/>
          <w:i w:val="false"/>
          <w:color w:val="000000"/>
          <w:sz w:val="22"/>
        </w:rPr>
        <w:t>REQUIRED FOR PLAN REVIEWS (EXCLUDING THERAPY MACHINES)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 order for the agency to provide an evaluation and verification that national standards have been met on shielding requirements for a radiation installation, the following information shall be submitted.</w:t>
      </w:r>
    </w:p>
    <w:p>
      <w:pPr>
        <w:spacing w:before="0" w:after="0"/>
        <w:ind w:left="120"/>
        <w:jc w:val="both"/>
      </w:pPr>
      <w:r>
        <w:rPr>
          <w:rFonts w:ascii="Times New Roman" w:hAnsi="Times New Roman"/>
          <w:b w:val="false"/>
          <w:i w:val="false"/>
          <w:color w:val="000000"/>
          <w:sz w:val="22"/>
        </w:rPr>
        <w:t>1. The plans should show, as a minimum, the following:</w:t>
      </w:r>
    </w:p>
    <w:p>
      <w:pPr>
        <w:spacing w:before="0" w:after="0"/>
        <w:ind w:left="120"/>
        <w:jc w:val="both"/>
      </w:pPr>
      <w:r>
        <w:rPr>
          <w:rFonts w:ascii="Times New Roman" w:hAnsi="Times New Roman"/>
          <w:b w:val="false"/>
          <w:i w:val="false"/>
          <w:color w:val="000000"/>
          <w:sz w:val="22"/>
        </w:rPr>
        <w:t>(a) The normal location of the X-ray system’s radiation port; the port’s travel and traverse limits; general direction(s) of the useful beam; locations of any windows and doors; the location of the operator’s booth; and the location of the X-ray control panel.</w:t>
      </w:r>
    </w:p>
    <w:p>
      <w:pPr>
        <w:spacing w:before="0" w:after="0"/>
        <w:ind w:left="120"/>
        <w:jc w:val="both"/>
      </w:pPr>
      <w:r>
        <w:rPr>
          <w:rFonts w:ascii="Times New Roman" w:hAnsi="Times New Roman"/>
          <w:b w:val="false"/>
          <w:i w:val="false"/>
          <w:color w:val="000000"/>
          <w:sz w:val="22"/>
        </w:rPr>
        <w:t>(b) The structural composition and thickness or lead equivalent of all walls, doors, partitions, floor, and ceiling of the room(s) concerned.</w:t>
      </w:r>
    </w:p>
    <w:p>
      <w:pPr>
        <w:spacing w:before="0" w:after="0"/>
        <w:ind w:left="120"/>
        <w:jc w:val="both"/>
      </w:pPr>
      <w:r>
        <w:rPr>
          <w:rFonts w:ascii="Times New Roman" w:hAnsi="Times New Roman"/>
          <w:b w:val="false"/>
          <w:i w:val="false"/>
          <w:color w:val="000000"/>
          <w:sz w:val="22"/>
        </w:rPr>
        <w:t>(c) The dimensions of the room(s) concerned.</w:t>
      </w:r>
    </w:p>
    <w:p>
      <w:pPr>
        <w:spacing w:before="0" w:after="0"/>
        <w:ind w:left="120"/>
        <w:jc w:val="both"/>
      </w:pPr>
      <w:r>
        <w:rPr>
          <w:rFonts w:ascii="Times New Roman" w:hAnsi="Times New Roman"/>
          <w:b w:val="false"/>
          <w:i w:val="false"/>
          <w:color w:val="000000"/>
          <w:sz w:val="22"/>
        </w:rPr>
        <w:t>(d) The type of occupancy of all adjacent areas inclusive of space above and below the room(s) concerned. If there is an exterior wall, show distance to the closest area(s) where it is likely that individuals may be present.</w:t>
      </w:r>
    </w:p>
    <w:p>
      <w:pPr>
        <w:spacing w:before="0" w:after="0"/>
        <w:ind w:left="120"/>
        <w:jc w:val="both"/>
      </w:pPr>
      <w:r>
        <w:rPr>
          <w:rFonts w:ascii="Times New Roman" w:hAnsi="Times New Roman"/>
          <w:b w:val="false"/>
          <w:i w:val="false"/>
          <w:color w:val="000000"/>
          <w:sz w:val="22"/>
        </w:rPr>
        <w:t>(e) The make and model of the X-ray equipment, the energy waveform (single phase, three phase, etc.) and the maximum technique factors.</w:t>
      </w:r>
    </w:p>
    <w:p>
      <w:pPr>
        <w:spacing w:before="0" w:after="0"/>
        <w:ind w:left="120"/>
        <w:jc w:val="both"/>
      </w:pPr>
      <w:r>
        <w:rPr>
          <w:rFonts w:ascii="Times New Roman" w:hAnsi="Times New Roman"/>
          <w:b w:val="false"/>
          <w:i w:val="false"/>
          <w:color w:val="000000"/>
          <w:sz w:val="22"/>
        </w:rPr>
        <w:t>(f) The type of examination(s) or treatment(s) which will be performed with the equipment.</w:t>
      </w:r>
    </w:p>
    <w:p>
      <w:pPr>
        <w:spacing w:before="0" w:after="0"/>
        <w:ind w:left="120"/>
        <w:jc w:val="both"/>
      </w:pPr>
      <w:r>
        <w:rPr>
          <w:rFonts w:ascii="Times New Roman" w:hAnsi="Times New Roman"/>
          <w:b w:val="false"/>
          <w:i w:val="false"/>
          <w:color w:val="000000"/>
          <w:sz w:val="22"/>
        </w:rPr>
        <w:t>2. Information on the anticipated workload of the X-ray system(s) in mA-minutes per week.</w:t>
      </w:r>
    </w:p>
    <w:p>
      <w:pPr>
        <w:spacing w:before="0" w:after="0"/>
        <w:ind w:left="120"/>
        <w:jc w:val="both"/>
      </w:pPr>
      <w:r>
        <w:rPr>
          <w:rFonts w:ascii="Times New Roman" w:hAnsi="Times New Roman"/>
          <w:b w:val="false"/>
          <w:i w:val="false"/>
          <w:color w:val="000000"/>
          <w:sz w:val="22"/>
        </w:rPr>
        <w:t>3. If the services of a qualified expert have been utilized to determine the shielding requirements, a report, including all basic assumptions used, shall be submitted with the plans.</w:t>
      </w:r>
    </w:p>
    <w:p>
      <w:pPr>
        <w:spacing w:before="0" w:after="0"/>
        <w:ind w:left="120"/>
        <w:jc w:val="center"/>
      </w:pPr>
      <w:r>
        <w:rPr>
          <w:rFonts w:ascii="Times New Roman" w:hAnsi="Times New Roman"/>
          <w:b w:val="false"/>
          <w:i w:val="false"/>
          <w:color w:val="000000"/>
          <w:sz w:val="22"/>
        </w:rPr>
        <w:t>CHAPTER 41—APPENDIX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DESIGN REQUIREMENTS FOR AN</w:t>
      </w:r>
    </w:p>
    <w:p>
      <w:pPr>
        <w:spacing w:before="0" w:after="0"/>
        <w:ind w:left="120"/>
        <w:jc w:val="center"/>
      </w:pPr>
      <w:r>
        <w:rPr>
          <w:rFonts w:ascii="Times New Roman" w:hAnsi="Times New Roman"/>
          <w:b w:val="false"/>
          <w:i w:val="false"/>
          <w:color w:val="000000"/>
          <w:sz w:val="22"/>
        </w:rPr>
        <w:t>OPERATOR’S BOOTH</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u w:val="single"/>
        </w:rPr>
        <w:t>Space requirements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The operator shall be allotted not less than 7.5 square feet (0.697 m) of unobstructed floor space in the booth.</w:t>
      </w:r>
    </w:p>
    <w:p>
      <w:pPr>
        <w:spacing w:before="0" w:after="0"/>
        <w:ind w:left="120"/>
        <w:jc w:val="both"/>
      </w:pPr>
      <w:r>
        <w:rPr>
          <w:rFonts w:ascii="Times New Roman" w:hAnsi="Times New Roman"/>
          <w:b w:val="false"/>
          <w:i w:val="false"/>
          <w:color w:val="000000"/>
          <w:sz w:val="22"/>
        </w:rPr>
        <w:t>(b) The operator’s booth may be any geometric configuration with no dimension of less than 2 feet (0.61 m).</w:t>
      </w:r>
    </w:p>
    <w:p>
      <w:pPr>
        <w:spacing w:before="0" w:after="0"/>
        <w:ind w:left="120"/>
        <w:jc w:val="both"/>
      </w:pPr>
      <w:r>
        <w:rPr>
          <w:rFonts w:ascii="Times New Roman" w:hAnsi="Times New Roman"/>
          <w:b w:val="false"/>
          <w:i w:val="false"/>
          <w:color w:val="000000"/>
          <w:sz w:val="22"/>
        </w:rPr>
        <w:t>(c) The space shall be allotted excluding any encumbrance by the X-ray control panel, such as overhang, cables, or other similar encroachments.</w:t>
      </w:r>
    </w:p>
    <w:p>
      <w:pPr>
        <w:spacing w:before="0" w:after="0"/>
        <w:ind w:left="120"/>
        <w:jc w:val="both"/>
      </w:pPr>
      <w:r>
        <w:rPr>
          <w:rFonts w:ascii="Times New Roman" w:hAnsi="Times New Roman"/>
          <w:b w:val="false"/>
          <w:i w:val="false"/>
          <w:color w:val="000000"/>
          <w:sz w:val="22"/>
        </w:rPr>
        <w:t>(d) The booth shall be located or constructed such that unattenuated direct scatter radiation originating on the examination table or at the wall cassette will not reach the operator’s station in the booth.</w:t>
      </w:r>
    </w:p>
    <w:p>
      <w:pPr>
        <w:spacing w:before="0" w:after="0"/>
        <w:ind w:left="120"/>
        <w:jc w:val="both"/>
      </w:pPr>
      <w:r>
        <w:rPr>
          <w:rFonts w:ascii="Times New Roman" w:hAnsi="Times New Roman"/>
          <w:b w:val="false"/>
          <w:i w:val="false"/>
          <w:color w:val="000000"/>
          <w:sz w:val="22"/>
        </w:rPr>
        <w:t xml:space="preserve">2. </w:t>
      </w:r>
      <w:r>
        <w:rPr>
          <w:rFonts w:ascii="Times New Roman" w:hAnsi="Times New Roman"/>
          <w:b w:val="false"/>
          <w:i w:val="false"/>
          <w:color w:val="000000"/>
          <w:sz w:val="22"/>
          <w:u w:val="single"/>
        </w:rPr>
        <w:t>Structural requirements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The booth walls shall be permanently fixed barriers of at least 7 feet (2.13 m) high.</w:t>
      </w:r>
    </w:p>
    <w:p>
      <w:pPr>
        <w:spacing w:before="0" w:after="0"/>
        <w:ind w:left="120"/>
        <w:jc w:val="both"/>
      </w:pPr>
      <w:r>
        <w:rPr>
          <w:rFonts w:ascii="Times New Roman" w:hAnsi="Times New Roman"/>
          <w:b w:val="false"/>
          <w:i w:val="false"/>
          <w:color w:val="000000"/>
          <w:sz w:val="22"/>
        </w:rPr>
        <w:t>(b) When a door or movable panel is used as an integral part of the booth structure, it must have an interlock which will prevent an exposure when the door or panel is not closed.</w:t>
      </w:r>
    </w:p>
    <w:p>
      <w:pPr>
        <w:spacing w:before="0" w:after="0"/>
        <w:ind w:left="120"/>
        <w:jc w:val="both"/>
      </w:pPr>
      <w:r>
        <w:rPr>
          <w:rFonts w:ascii="Times New Roman" w:hAnsi="Times New Roman"/>
          <w:b w:val="false"/>
          <w:i w:val="false"/>
          <w:color w:val="000000"/>
          <w:sz w:val="22"/>
        </w:rPr>
        <w:t xml:space="preserve">(c) Shielding shall be provided to meet the requirements of </w:t>
      </w:r>
      <w:hyperlink r:id="rId661">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3. </w:t>
      </w:r>
      <w:r>
        <w:rPr>
          <w:rFonts w:ascii="Times New Roman" w:hAnsi="Times New Roman"/>
          <w:b w:val="false"/>
          <w:i w:val="false"/>
          <w:color w:val="000000"/>
          <w:sz w:val="22"/>
          <w:u w:val="single"/>
        </w:rPr>
        <w:t>X-ray control placement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X-ray control for the system shall be fixed within the booth; and</w:t>
      </w:r>
    </w:p>
    <w:p>
      <w:pPr>
        <w:spacing w:before="0" w:after="0"/>
        <w:ind w:left="120"/>
        <w:jc w:val="both"/>
      </w:pPr>
      <w:r>
        <w:rPr>
          <w:rFonts w:ascii="Times New Roman" w:hAnsi="Times New Roman"/>
          <w:b w:val="false"/>
          <w:i w:val="false"/>
          <w:color w:val="000000"/>
          <w:sz w:val="22"/>
        </w:rPr>
        <w:t>(a) Shall be at least 40 inches (1.02 m) from any point subject to direct scatter, leakage or primary beam radiation.</w:t>
      </w:r>
    </w:p>
    <w:p>
      <w:pPr>
        <w:spacing w:before="0" w:after="0"/>
        <w:ind w:left="120"/>
        <w:jc w:val="both"/>
      </w:pPr>
      <w:r>
        <w:rPr>
          <w:rFonts w:ascii="Times New Roman" w:hAnsi="Times New Roman"/>
          <w:b w:val="false"/>
          <w:i w:val="false"/>
          <w:color w:val="000000"/>
          <w:sz w:val="22"/>
        </w:rPr>
        <w:t>(b) Shall allow the operator to use the majority of the available viewing windows or mirrors.</w:t>
      </w:r>
    </w:p>
    <w:p>
      <w:pPr>
        <w:spacing w:before="0" w:after="0"/>
        <w:ind w:left="120"/>
        <w:jc w:val="both"/>
      </w:pPr>
      <w:r>
        <w:rPr>
          <w:rFonts w:ascii="Times New Roman" w:hAnsi="Times New Roman"/>
          <w:b w:val="false"/>
          <w:i w:val="false"/>
          <w:color w:val="000000"/>
          <w:sz w:val="22"/>
        </w:rPr>
        <w:t xml:space="preserve">4. </w:t>
      </w:r>
      <w:r>
        <w:rPr>
          <w:rFonts w:ascii="Times New Roman" w:hAnsi="Times New Roman"/>
          <w:b w:val="false"/>
          <w:i w:val="false"/>
          <w:color w:val="000000"/>
          <w:sz w:val="22"/>
          <w:u w:val="single"/>
        </w:rPr>
        <w:t>Viewing system requirements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Each booth shall have at least one viewing device which will:</w:t>
      </w:r>
    </w:p>
    <w:p>
      <w:pPr>
        <w:spacing w:before="0" w:after="0"/>
        <w:ind w:left="120"/>
        <w:jc w:val="both"/>
      </w:pPr>
      <w:r>
        <w:rPr>
          <w:rFonts w:ascii="Times New Roman" w:hAnsi="Times New Roman"/>
          <w:b w:val="false"/>
          <w:i w:val="false"/>
          <w:color w:val="000000"/>
          <w:sz w:val="22"/>
        </w:rPr>
        <w:t>(1) Be so placed that the operator can view the patient during any exposure, and</w:t>
      </w:r>
    </w:p>
    <w:p>
      <w:pPr>
        <w:spacing w:before="0" w:after="0"/>
        <w:ind w:left="120"/>
        <w:jc w:val="both"/>
      </w:pPr>
      <w:r>
        <w:rPr>
          <w:rFonts w:ascii="Times New Roman" w:hAnsi="Times New Roman"/>
          <w:b w:val="false"/>
          <w:i w:val="false"/>
          <w:color w:val="000000"/>
          <w:sz w:val="22"/>
        </w:rPr>
        <w:t>(2) The device shall be so placed that the operator can have full view of any occupant of the room and should be so placed that the operator can view any entry into the room. If any door which allows access to the room cannot be seen from the booth, then outside that door there shall be an “X-ray” warning sign that will be lighted anytime the rotor of the X-ray tube is activated. Alternatively, that door must have an interlock controlling the exposure which will prevent the exposure if the door is not closed.</w:t>
      </w:r>
    </w:p>
    <w:p>
      <w:pPr>
        <w:spacing w:before="0" w:after="0"/>
        <w:ind w:left="120"/>
        <w:jc w:val="both"/>
      </w:pPr>
      <w:r>
        <w:rPr>
          <w:rFonts w:ascii="Times New Roman" w:hAnsi="Times New Roman"/>
          <w:b w:val="false"/>
          <w:i w:val="false"/>
          <w:color w:val="000000"/>
          <w:sz w:val="22"/>
        </w:rPr>
        <w:t>(b) When the viewing system is a window, the following requirements also apply:</w:t>
      </w:r>
    </w:p>
    <w:p>
      <w:pPr>
        <w:spacing w:before="0" w:after="0"/>
        <w:ind w:left="120"/>
        <w:jc w:val="both"/>
      </w:pPr>
      <w:r>
        <w:rPr>
          <w:rFonts w:ascii="Times New Roman" w:hAnsi="Times New Roman"/>
          <w:b w:val="false"/>
          <w:i w:val="false"/>
          <w:color w:val="000000"/>
          <w:sz w:val="22"/>
        </w:rPr>
        <w:t>(1) The viewing area shall be at least 1 square foot (0.0929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 Regardless of size or shape, at least 0.09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(1 sq ft) of window area must be centered no less than 0.6 m (2 feet) from the open edge of the booth and no less than 1.5 m (5.0 feet) from the floor.</w:t>
      </w:r>
    </w:p>
    <w:p>
      <w:pPr>
        <w:spacing w:before="0" w:after="0"/>
        <w:ind w:left="120"/>
        <w:jc w:val="both"/>
      </w:pPr>
      <w:r>
        <w:rPr>
          <w:rFonts w:ascii="Times New Roman" w:hAnsi="Times New Roman"/>
          <w:b w:val="false"/>
          <w:i w:val="false"/>
          <w:color w:val="000000"/>
          <w:sz w:val="22"/>
        </w:rPr>
        <w:t>(3) The material constituting the window shall have the same lead equivalence as that required in the booth’s wall in which it is mounted.</w:t>
      </w:r>
    </w:p>
    <w:p>
      <w:pPr>
        <w:spacing w:before="0" w:after="0"/>
        <w:ind w:left="120"/>
        <w:jc w:val="both"/>
      </w:pPr>
      <w:r>
        <w:rPr>
          <w:rFonts w:ascii="Times New Roman" w:hAnsi="Times New Roman"/>
          <w:b w:val="false"/>
          <w:i w:val="false"/>
          <w:color w:val="000000"/>
          <w:sz w:val="22"/>
        </w:rPr>
        <w:t>(c) When the viewing system is by mirrors, the mirror(s) shall be so located as to accomplish the general requirements of Appendix B, 4(a).</w:t>
      </w:r>
    </w:p>
    <w:p>
      <w:pPr>
        <w:spacing w:before="0" w:after="0"/>
        <w:ind w:left="120"/>
        <w:jc w:val="both"/>
      </w:pPr>
      <w:r>
        <w:rPr>
          <w:rFonts w:ascii="Times New Roman" w:hAnsi="Times New Roman"/>
          <w:b w:val="false"/>
          <w:i w:val="false"/>
          <w:color w:val="000000"/>
          <w:sz w:val="22"/>
        </w:rPr>
        <w:t>(d) When the viewing system is by electronic means:</w:t>
      </w:r>
    </w:p>
    <w:p>
      <w:pPr>
        <w:spacing w:before="0" w:after="0"/>
        <w:ind w:left="120"/>
        <w:jc w:val="both"/>
      </w:pPr>
      <w:r>
        <w:rPr>
          <w:rFonts w:ascii="Times New Roman" w:hAnsi="Times New Roman"/>
          <w:b w:val="false"/>
          <w:i w:val="false"/>
          <w:color w:val="000000"/>
          <w:sz w:val="22"/>
        </w:rPr>
        <w:t>(1) The camera shall be so located as to accomplish the general requirements of Appendix B, 4(a), and</w:t>
      </w:r>
    </w:p>
    <w:p>
      <w:pPr>
        <w:spacing w:before="0" w:after="0"/>
        <w:ind w:left="120"/>
        <w:jc w:val="both"/>
      </w:pPr>
      <w:r>
        <w:rPr>
          <w:rFonts w:ascii="Times New Roman" w:hAnsi="Times New Roman"/>
          <w:b w:val="false"/>
          <w:i w:val="false"/>
          <w:color w:val="000000"/>
          <w:sz w:val="22"/>
        </w:rPr>
        <w:t>(2) There shall be an alternate viewing system as a backup for the primary system.</w:t>
      </w:r>
    </w:p>
    <w:p>
      <w:pPr>
        <w:spacing w:before="0" w:after="0"/>
        <w:ind w:left="120"/>
        <w:jc w:val="center"/>
      </w:pPr>
      <w:r>
        <w:rPr>
          <w:rFonts w:ascii="Times New Roman" w:hAnsi="Times New Roman"/>
          <w:b w:val="false"/>
          <w:i w:val="false"/>
          <w:color w:val="000000"/>
          <w:sz w:val="22"/>
        </w:rPr>
        <w:t>CHAPTER 41—APPENDIX C</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INFORMATION TO BE SUBMITTED BY PERSONS</w:t>
      </w:r>
    </w:p>
    <w:p>
      <w:pPr>
        <w:spacing w:before="0" w:after="0"/>
        <w:ind w:left="120"/>
        <w:jc w:val="center"/>
      </w:pPr>
      <w:r>
        <w:rPr>
          <w:rFonts w:ascii="Times New Roman" w:hAnsi="Times New Roman"/>
          <w:b w:val="false"/>
          <w:i w:val="false"/>
          <w:color w:val="000000"/>
          <w:sz w:val="22"/>
        </w:rPr>
        <w:t>PROPOSING TO CONDUCT HEALING</w:t>
      </w:r>
    </w:p>
    <w:p>
      <w:pPr>
        <w:spacing w:before="0" w:after="0"/>
        <w:ind w:left="120"/>
        <w:jc w:val="center"/>
      </w:pPr>
      <w:r>
        <w:rPr>
          <w:rFonts w:ascii="Times New Roman" w:hAnsi="Times New Roman"/>
          <w:b w:val="false"/>
          <w:i w:val="false"/>
          <w:color w:val="000000"/>
          <w:sz w:val="22"/>
        </w:rPr>
        <w:t>ARTS SCREENING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Persons requesting that the agency approve a healing arts screening program shall submit the following information and evaluation: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applicant and, where applicable, the names and addresses of agents within this state.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Diseases or conditions for which the X-ray examinations are to be used in diagnoses.</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 detailed description of the X-ray examinations proposed in the screening program.</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Description of the population to be examined in the screening program, i.e., age, sex, physical condition, and other appropriate information. Any person conducting a screening program for cardiac scoring shall conduct screening only on either women over age 45 or men over age 50 who meet any two of the following criteria: family history, smoker, high blood pressure, high cholesterol, obesity (at least 20 pounds overweight), diabetes.</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An evaluation of any known alternate methods not involving ionizing radiation which could achieve the goals of the screening program and why these methods are not used instead of the X-ray examinations.</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An evaluation by a qualified expert of the X-ray system(s) to be used in the screening program. The evaluation by the qualified expert shall show that such system(s) does satisfy all requirements of these regulations. The evaluation shall include a measurement of patient exposures from the X-ray examinations to be performed.</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A description of the diagnostic film quality control program.</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A copy of the technique chart for the X-ray examination procedures to be used.</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The qualifications of each individual who will be operating the X-ray system(s).</w:t>
      </w:r>
    </w:p>
    <w:p>
      <w:pPr>
        <w:spacing w:before="0" w:after="0"/>
        <w:ind w:left="120"/>
        <w:jc w:val="left"/>
      </w:pPr>
      <w:r>
        <w:rPr>
          <w:rFonts w:ascii="Times New Roman" w:hAnsi="Times New Roman"/>
          <w:b w:val="false"/>
          <w:i w:val="false"/>
          <w:color w:val="000000"/>
          <w:sz w:val="22"/>
        </w:rPr>
        <w:t>     10.   </w:t>
      </w:r>
      <w:r>
        <w:rPr>
          <w:rFonts w:ascii="Times New Roman" w:hAnsi="Times New Roman"/>
          <w:b w:val="false"/>
          <w:i w:val="false"/>
          <w:color w:val="000000"/>
          <w:sz w:val="22"/>
        </w:rPr>
        <w:t>The qualifications of the individual who will be supervising the operators of the X-ray system(s). The extent of supervision and the method of work performance evaluation shall be specified.</w:t>
      </w:r>
    </w:p>
    <w:p>
      <w:pPr>
        <w:spacing w:before="0" w:after="0"/>
        <w:ind w:left="120"/>
        <w:jc w:val="left"/>
      </w:pPr>
      <w:r>
        <w:rPr>
          <w:rFonts w:ascii="Times New Roman" w:hAnsi="Times New Roman"/>
          <w:b w:val="false"/>
          <w:i w:val="false"/>
          <w:color w:val="000000"/>
          <w:sz w:val="22"/>
        </w:rPr>
        <w:t>     11.   </w:t>
      </w:r>
      <w:r>
        <w:rPr>
          <w:rFonts w:ascii="Times New Roman" w:hAnsi="Times New Roman"/>
          <w:b w:val="false"/>
          <w:i w:val="false"/>
          <w:color w:val="000000"/>
          <w:sz w:val="22"/>
        </w:rPr>
        <w:t>The name and address of the physician who will interpret the radiograph(s) and a copy of the physician’s license to practice in Iowa.</w:t>
      </w:r>
    </w:p>
    <w:p>
      <w:pPr>
        <w:spacing w:before="0" w:after="0"/>
        <w:ind w:left="120"/>
        <w:jc w:val="left"/>
      </w:pPr>
      <w:r>
        <w:rPr>
          <w:rFonts w:ascii="Times New Roman" w:hAnsi="Times New Roman"/>
          <w:b w:val="false"/>
          <w:i w:val="false"/>
          <w:color w:val="000000"/>
          <w:sz w:val="22"/>
        </w:rPr>
        <w:t>     12.   </w:t>
      </w:r>
      <w:r>
        <w:rPr>
          <w:rFonts w:ascii="Times New Roman" w:hAnsi="Times New Roman"/>
          <w:b w:val="false"/>
          <w:i w:val="false"/>
          <w:color w:val="000000"/>
          <w:sz w:val="22"/>
        </w:rPr>
        <w:t>A description of the procedures to be used in advising the individuals screened and their private practitioners of the healing arts of the results of the screening procedure and any further medical needs indicated.</w:t>
      </w:r>
    </w:p>
    <w:p>
      <w:pPr>
        <w:spacing w:before="0" w:after="0"/>
        <w:ind w:left="120"/>
        <w:jc w:val="left"/>
      </w:pPr>
      <w:r>
        <w:rPr>
          <w:rFonts w:ascii="Times New Roman" w:hAnsi="Times New Roman"/>
          <w:b w:val="false"/>
          <w:i w:val="false"/>
          <w:color w:val="000000"/>
          <w:sz w:val="22"/>
        </w:rPr>
        <w:t>     13.   </w:t>
      </w:r>
      <w:r>
        <w:rPr>
          <w:rFonts w:ascii="Times New Roman" w:hAnsi="Times New Roman"/>
          <w:b w:val="false"/>
          <w:i w:val="false"/>
          <w:color w:val="000000"/>
          <w:sz w:val="22"/>
        </w:rPr>
        <w:t>A description of the procedures for the retention or disposition of the radiographs and other records pertaining to the X-ray examinations.</w:t>
      </w:r>
    </w:p>
    <w:p>
      <w:pPr>
        <w:spacing w:before="0" w:after="0"/>
        <w:ind w:left="120"/>
        <w:jc w:val="left"/>
      </w:pPr>
      <w:r>
        <w:rPr>
          <w:rFonts w:ascii="Times New Roman" w:hAnsi="Times New Roman"/>
          <w:b w:val="false"/>
          <w:i w:val="false"/>
          <w:color w:val="000000"/>
          <w:sz w:val="22"/>
        </w:rPr>
        <w:t>     14.   </w:t>
      </w:r>
      <w:r>
        <w:rPr>
          <w:rFonts w:ascii="Times New Roman" w:hAnsi="Times New Roman"/>
          <w:b w:val="false"/>
          <w:i w:val="false"/>
          <w:color w:val="000000"/>
          <w:sz w:val="22"/>
        </w:rPr>
        <w:t>An indication of the frequency of screening and the duration of the entire screening program.</w:t>
      </w:r>
    </w:p>
    <w:p>
      <w:pPr>
        <w:spacing w:before="0" w:after="0"/>
        <w:ind w:left="120"/>
        <w:jc w:val="left"/>
      </w:pPr>
      <w:r>
        <w:rPr>
          <w:rFonts w:ascii="Times New Roman" w:hAnsi="Times New Roman"/>
          <w:b w:val="false"/>
          <w:i w:val="false"/>
          <w:color w:val="000000"/>
          <w:sz w:val="22"/>
        </w:rPr>
        <w:t>     15.   </w:t>
      </w:r>
      <w:r>
        <w:rPr>
          <w:rFonts w:ascii="Times New Roman" w:hAnsi="Times New Roman"/>
          <w:b w:val="false"/>
          <w:i w:val="false"/>
          <w:color w:val="000000"/>
          <w:sz w:val="22"/>
        </w:rPr>
        <w:t>Documentation justifying the reason for the screening. The applicant must submit data which supports the efficacy of the screening test in diagnosing the disease or condition being screened. Data which will be acceptable to the department includes, but is not limited to, the following: (1) the recommendation of a nationally recognized certifying medical or government body; (2) the recommendation of one of the following national organizations: American Cancer Association, American Lung Association, American Heart Association; or (3) medical literature from peer-reviewed journals supporting the screening.</w:t>
      </w:r>
    </w:p>
    <w:p>
      <w:pPr>
        <w:spacing w:before="0" w:after="0"/>
        <w:ind w:left="120"/>
        <w:jc w:val="left"/>
      </w:pPr>
      <w:r>
        <w:rPr>
          <w:rFonts w:ascii="Times New Roman" w:hAnsi="Times New Roman"/>
          <w:b w:val="false"/>
          <w:i w:val="false"/>
          <w:color w:val="000000"/>
          <w:sz w:val="22"/>
        </w:rPr>
        <w:t>     16.   </w:t>
      </w:r>
      <w:r>
        <w:rPr>
          <w:rFonts w:ascii="Times New Roman" w:hAnsi="Times New Roman"/>
          <w:b w:val="false"/>
          <w:i w:val="false"/>
          <w:color w:val="000000"/>
          <w:sz w:val="22"/>
        </w:rPr>
        <w:t>The procedures for preventing pregnant individuals from participating in the screening or justification for allowing pregnant individuals to participate.</w:t>
      </w:r>
    </w:p>
    <w:p>
      <w:pPr>
        <w:spacing w:before="0" w:after="0"/>
        <w:ind w:left="120"/>
        <w:jc w:val="left"/>
      </w:pPr>
      <w:r>
        <w:rPr>
          <w:rFonts w:ascii="Times New Roman" w:hAnsi="Times New Roman"/>
          <w:b w:val="false"/>
          <w:i w:val="false"/>
          <w:color w:val="000000"/>
          <w:sz w:val="22"/>
        </w:rPr>
        <w:t>     17.   </w:t>
      </w:r>
      <w:r>
        <w:rPr>
          <w:rFonts w:ascii="Times New Roman" w:hAnsi="Times New Roman"/>
          <w:b w:val="false"/>
          <w:i w:val="false"/>
          <w:color w:val="000000"/>
          <w:sz w:val="22"/>
        </w:rPr>
        <w:t>The dates of the screening to include beginning and ending dates.</w:t>
      </w:r>
    </w:p>
    <w:p>
      <w:pPr>
        <w:spacing w:before="0" w:after="0"/>
        <w:ind w:left="120"/>
        <w:jc w:val="left"/>
      </w:pPr>
      <w:r>
        <w:rPr>
          <w:rFonts w:ascii="Times New Roman" w:hAnsi="Times New Roman"/>
          <w:b w:val="false"/>
          <w:i w:val="false"/>
          <w:color w:val="000000"/>
          <w:sz w:val="22"/>
        </w:rPr>
        <w:t>     18.   </w:t>
      </w:r>
      <w:r>
        <w:rPr>
          <w:rFonts w:ascii="Times New Roman" w:hAnsi="Times New Roman"/>
          <w:b w:val="false"/>
          <w:i w:val="false"/>
          <w:color w:val="000000"/>
          <w:sz w:val="22"/>
        </w:rPr>
        <w:t>A copy of IRB for a research project or information justifying the research project.</w:t>
      </w:r>
    </w:p>
    <w:p>
      <w:pPr>
        <w:spacing w:before="0" w:after="0"/>
        <w:ind w:left="120"/>
        <w:jc w:val="center"/>
      </w:pPr>
      <w:r>
        <w:rPr>
          <w:rFonts w:ascii="Times New Roman" w:hAnsi="Times New Roman"/>
          <w:b w:val="false"/>
          <w:i w:val="false"/>
          <w:color w:val="000000"/>
          <w:sz w:val="22"/>
        </w:rPr>
        <w:t>CHAPTER 41—APPENDIX 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QA for Therapeutic Radiation Machines</w:t>
      </w:r>
    </w:p>
    <w:tbl>
      <w:tblPr>
        <w:tblW w:w="5000" w:type="pct"/>
        <w:tblCellSpacing w:w="0" w:type="auto"/>
        <w:tblBorders>
          <w:top w:val="none"/>
          <w:left w:val="none"/>
          <w:bottom w:val="none"/>
          <w:right w:val="none"/>
          <w:insideH w:val="none"/>
          <w:insideV w:val="none"/>
        </w:tblBorders>
        <w:tblLayout w:type="fixed"/>
      </w:tblPr>
      <w:tblGrid>
        <w:gridCol w:w="1905"/>
        <w:gridCol w:w="6484"/>
        <w:gridCol w:w="2801"/>
      </w:tblGrid>
      <w:tr>
        <w:trPr>
          <w:trHeight w:val="390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Frequency</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Procedure</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Tolerance</w:t>
            </w:r>
            <w:r>
              <w:rPr>
                <w:rFonts w:ascii="Times New Roman" w:hAnsi="Times New Roman"/>
                <w:b/>
                <w:i w:val="false"/>
                <w:color w:val="000000"/>
                <w:sz w:val="10"/>
              </w:rPr>
              <w:t>a</w:t>
            </w:r>
            <w:r>
              <w:rPr>
                <w:rFonts w:ascii="Times New Roman" w:hAnsi="Times New Roman"/>
                <w:b w:val="false"/>
                <w:i w:val="false"/>
                <w:color w:val="000000"/>
                <w:sz w:val="10"/>
              </w:rPr>
              <w:t>a</w:t>
            </w:r>
            <w:r>
              <w:rPr>
                <w:rFonts w:ascii="Times New Roman" w:hAnsi="Times New Roman"/>
                <w:b w:val="false"/>
                <w:i w:val="false"/>
                <w:color w:val="000000"/>
                <w:sz w:val="16"/>
              </w:rPr>
              <w:t xml:space="preserve"> The tolerances listed in the tables should be interpreted to mean that if a parameter either: (1) exceeds the tabulated value (e.g., the measured isocenter under the gantry exceeds 2 mm diameter); or (2) that the change in the parameter exceeds the nominal value (e.g., the output changes by more than 2%), then an action is required. The distinction is emphasized by the use of the term constancy for the latter case. Moreover, for constancy, percent values </w:t>
            </w:r>
            <w:r>
              <w:rPr>
                <w:rFonts w:ascii="Times New Roman" w:hAnsi="Times New Roman"/>
                <w:b w:val="false"/>
                <w:i w:val="false"/>
                <w:color w:val="000000"/>
                <w:sz w:val="16"/>
                <w:u w:val="single"/>
              </w:rPr>
              <w:t>+</w:t>
            </w:r>
            <w:r>
              <w:rPr>
                <w:rFonts w:ascii="Times New Roman" w:hAnsi="Times New Roman"/>
                <w:b w:val="false"/>
                <w:i w:val="false"/>
                <w:color w:val="000000"/>
                <w:sz w:val="16"/>
              </w:rPr>
              <w:t xml:space="preserve"> the deviation of the parameter with respect to its nominal value; distances are referenced to the isocenter or nominal SSD.</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Daily</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Dosimetry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 output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r>
      <w:tr>
        <w:trPr>
          <w:trHeight w:val="39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Electron output constancy</w:t>
            </w:r>
            <w:r>
              <w:rPr>
                <w:rFonts w:ascii="Times New Roman" w:hAnsi="Times New Roman"/>
                <w:b w:val="false"/>
                <w:i w:val="false"/>
                <w:color w:val="000000"/>
                <w:sz w:val="10"/>
              </w:rPr>
              <w:t>b</w:t>
            </w:r>
            <w:r>
              <w:rPr>
                <w:rFonts w:ascii="Times New Roman" w:hAnsi="Times New Roman"/>
                <w:b w:val="false"/>
                <w:i w:val="false"/>
                <w:color w:val="000000"/>
                <w:sz w:val="10"/>
              </w:rPr>
              <w:t>b</w:t>
            </w:r>
            <w:r>
              <w:rPr>
                <w:rFonts w:ascii="Times New Roman" w:hAnsi="Times New Roman"/>
                <w:b w:val="false"/>
                <w:i w:val="false"/>
                <w:color w:val="000000"/>
                <w:sz w:val="16"/>
              </w:rPr>
              <w:t xml:space="preserve"> All electron energies need not be checked daily, but all electron energies are to be checked at least twice weekly.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Mechanical</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Localizing lasers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Distance indicator (ODI)</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Safety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Door interlocks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functional</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Audiovisual monitors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functional</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Dosimetry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 output constancy</w:t>
            </w:r>
            <w:r>
              <w:rPr>
                <w:rFonts w:ascii="Times New Roman" w:hAnsi="Times New Roman"/>
                <w:b w:val="false"/>
                <w:i w:val="false"/>
                <w:color w:val="000000"/>
                <w:sz w:val="10"/>
              </w:rPr>
              <w:t>c</w:t>
            </w:r>
            <w:r>
              <w:rPr>
                <w:rFonts w:ascii="Times New Roman" w:hAnsi="Times New Roman"/>
                <w:b w:val="false"/>
                <w:i w:val="false"/>
                <w:color w:val="000000"/>
                <w:sz w:val="10"/>
              </w:rPr>
              <w:t>c</w:t>
            </w:r>
            <w:r>
              <w:rPr>
                <w:rFonts w:ascii="Times New Roman" w:hAnsi="Times New Roman"/>
                <w:b w:val="false"/>
                <w:i w:val="false"/>
                <w:color w:val="000000"/>
                <w:sz w:val="16"/>
              </w:rPr>
              <w:t xml:space="preserve"> A constancy check with a field instrument using temperature pressure corrections.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Electron output constancy</w:t>
            </w:r>
            <w:r>
              <w:rPr>
                <w:rFonts w:ascii="Times New Roman" w:hAnsi="Times New Roman"/>
                <w:b w:val="false"/>
                <w:i w:val="false"/>
                <w:color w:val="000000"/>
                <w:sz w:val="10"/>
              </w:rPr>
              <w:t>c</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Backup monitor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 central axis dosimetry parameter (PDD, TAR)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39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Electron central axis dosimetry parameter constancy (PDD)</w:t>
            </w:r>
          </w:p>
        </w:tc>
        <w:tc>
          <w:tcPr>
            <w:tcW w:w="28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2mm @ therapeutic</w:t>
            </w:r>
          </w:p>
          <w:p>
            <w:pPr>
              <w:spacing w:before="0" w:after="0"/>
              <w:ind w:left="160"/>
              <w:jc w:val="left"/>
            </w:pPr>
            <w:r>
              <w:rPr>
                <w:rFonts w:ascii="Times New Roman" w:hAnsi="Times New Roman"/>
                <w:b w:val="false"/>
                <w:i w:val="false"/>
                <w:color w:val="000000"/>
                <w:sz w:val="16"/>
              </w:rPr>
              <w:t>depth</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 beam flatness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Electron beam flatness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 and electron symmetry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Safety Interlocks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Wedge, electron cone interlocks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functional</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Mechanical</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Light/radiation field coincidence</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or 1% on a side</w:t>
            </w:r>
            <w:r>
              <w:rPr>
                <w:rFonts w:ascii="Times New Roman" w:hAnsi="Times New Roman"/>
                <w:b w:val="false"/>
                <w:i w:val="false"/>
                <w:color w:val="000000"/>
                <w:sz w:val="10"/>
              </w:rPr>
              <w:t>d</w:t>
            </w:r>
            <w:r>
              <w:rPr>
                <w:rFonts w:ascii="Times New Roman" w:hAnsi="Times New Roman"/>
                <w:b w:val="false"/>
                <w:i w:val="false"/>
                <w:color w:val="000000"/>
                <w:sz w:val="10"/>
              </w:rPr>
              <w:t>d</w:t>
            </w:r>
            <w:r>
              <w:rPr>
                <w:rFonts w:ascii="Times New Roman" w:hAnsi="Times New Roman"/>
                <w:b w:val="false"/>
                <w:i w:val="false"/>
                <w:color w:val="000000"/>
                <w:sz w:val="16"/>
              </w:rPr>
              <w:t xml:space="preserve"> Whichever is greater. Should also be checked after change of light field source.</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Gantry/collimator angle indicators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degree</w:t>
            </w:r>
          </w:p>
        </w:tc>
      </w:tr>
      <w:tr>
        <w:trPr>
          <w:trHeight w:val="39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Wedge position</w:t>
            </w:r>
          </w:p>
        </w:tc>
        <w:tc>
          <w:tcPr>
            <w:tcW w:w="280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2mm (or 2% change in</w:t>
            </w:r>
          </w:p>
          <w:p>
            <w:pPr>
              <w:spacing w:before="0" w:after="0"/>
              <w:ind w:left="160"/>
              <w:jc w:val="left"/>
            </w:pPr>
            <w:r>
              <w:rPr>
                <w:rFonts w:ascii="Times New Roman" w:hAnsi="Times New Roman"/>
                <w:b w:val="false"/>
                <w:i w:val="false"/>
                <w:color w:val="000000"/>
                <w:sz w:val="16"/>
              </w:rPr>
              <w:t>transmission factor)</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Tray position</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Applicator position</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Field size indicators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Cross-hair centering</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diameter</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Treatment couch position indicators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2mm/1deg</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Latching of wedges, blocking tray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functional</w:t>
            </w:r>
          </w:p>
        </w:tc>
      </w:tr>
      <w:tr>
        <w:trPr>
          <w:trHeight w:val="555"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Jaw symmetry</w:t>
            </w:r>
            <w:r>
              <w:rPr>
                <w:rFonts w:ascii="Times New Roman" w:hAnsi="Times New Roman"/>
                <w:b w:val="false"/>
                <w:i w:val="false"/>
                <w:color w:val="000000"/>
                <w:sz w:val="10"/>
              </w:rPr>
              <w:t>e</w:t>
            </w:r>
            <w:r>
              <w:rPr>
                <w:rFonts w:ascii="Times New Roman" w:hAnsi="Times New Roman"/>
                <w:b w:val="false"/>
                <w:i w:val="false"/>
                <w:color w:val="000000"/>
                <w:sz w:val="10"/>
              </w:rPr>
              <w:t>e</w:t>
            </w:r>
            <w:r>
              <w:rPr>
                <w:rFonts w:ascii="Times New Roman" w:hAnsi="Times New Roman"/>
                <w:b w:val="false"/>
                <w:i w:val="false"/>
                <w:color w:val="000000"/>
                <w:sz w:val="16"/>
              </w:rPr>
              <w:t xml:space="preserve"> Jaw symmetry is defined as the difference in distance of each jaw from the isocenter.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Field Light intensity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functional</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Annual</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Dosimetry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X-ray/electron output calibration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Field size dependence of X-ray output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Output factor constancy for electron applicators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Central axis parameter constancy (PDD, TAR)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Off-axis factor constancy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Transmission factor constancy for all treatment accessories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39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Wedge transmission factor constancy</w:t>
            </w:r>
            <w:r>
              <w:rPr>
                <w:rFonts w:ascii="Times New Roman" w:hAnsi="Times New Roman"/>
                <w:b w:val="false"/>
                <w:i w:val="false"/>
                <w:color w:val="000000"/>
                <w:sz w:val="10"/>
              </w:rPr>
              <w:t>f</w:t>
            </w:r>
            <w:r>
              <w:rPr>
                <w:rFonts w:ascii="Times New Roman" w:hAnsi="Times New Roman"/>
                <w:b w:val="false"/>
                <w:i w:val="false"/>
                <w:color w:val="000000"/>
                <w:sz w:val="10"/>
              </w:rPr>
              <w:t>f</w:t>
            </w:r>
            <w:r>
              <w:rPr>
                <w:rFonts w:ascii="Times New Roman" w:hAnsi="Times New Roman"/>
                <w:b w:val="false"/>
                <w:i w:val="false"/>
                <w:color w:val="000000"/>
                <w:sz w:val="16"/>
              </w:rPr>
              <w:t xml:space="preserve"> Most wedges’ transmission factors are field size and depth dependent.</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Monitor chamber linearity</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X-ray output constancy vs. gantry angle</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Electron output constancy vs. gantry angle</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Off-axis factor constancy vs. gantry angle</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Arc mode</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Mfrs. specs.</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Safety Interlocks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Follow manufacturer’s test procedures</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functional</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Mechanical</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Collimator rotation isocenter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diameter</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Gantry rotation isocenter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diameter</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Couch rotation isocenter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diameter</w:t>
            </w:r>
          </w:p>
        </w:tc>
      </w:tr>
      <w:tr>
        <w:trPr>
          <w:trHeight w:val="21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Coincidence of collimetry, gantry, couch axes with isocenter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diameter</w:t>
            </w:r>
          </w:p>
        </w:tc>
      </w:tr>
      <w:tr>
        <w:trPr>
          <w:trHeight w:val="3780" w:hRule="atLeast"/>
        </w:trPr>
        <w:tc>
          <w:tcPr>
            <w:tcW w:w="19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4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Coincidence of radiation and mechanical isocenter</w:t>
            </w:r>
          </w:p>
        </w:tc>
        <w:tc>
          <w:tcPr>
            <w:tcW w:w="28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2mm diameter</w:t>
            </w:r>
            <w:r>
              <w:rPr>
                <w:rFonts w:ascii="Times New Roman" w:hAnsi="Times New Roman"/>
                <w:b w:val="false"/>
                <w:i w:val="false"/>
                <w:color w:val="000000"/>
                <w:sz w:val="10"/>
              </w:rPr>
              <w:t>a</w:t>
            </w:r>
            <w:r>
              <w:rPr>
                <w:rFonts w:ascii="Times New Roman" w:hAnsi="Times New Roman"/>
                <w:b w:val="false"/>
                <w:i w:val="false"/>
                <w:color w:val="000000"/>
                <w:sz w:val="16"/>
              </w:rPr>
              <w:t xml:space="preserve"> The tolerances listed in the tables should be interpreted to mean that if a parameter either: (1) exceeds the tabulated value (e.g., the measured isocenter under the gantry exceeds 2 mm diameter); or (2) that the change in the parameter exceeds the nominal value (e.g., the output changes by more than 2%), then an action is required. The distinction is emphasized by the use of the term constancy for the latter case. Moreover, for constancy, percent values </w:t>
            </w:r>
            <w:r>
              <w:rPr>
                <w:rFonts w:ascii="Times New Roman" w:hAnsi="Times New Roman"/>
                <w:b w:val="false"/>
                <w:i w:val="false"/>
                <w:color w:val="000000"/>
                <w:sz w:val="16"/>
                <w:u w:val="single"/>
              </w:rPr>
              <w:t>+</w:t>
            </w:r>
            <w:r>
              <w:rPr>
                <w:rFonts w:ascii="Times New Roman" w:hAnsi="Times New Roman"/>
                <w:b w:val="false"/>
                <w:i w:val="false"/>
                <w:color w:val="000000"/>
                <w:sz w:val="16"/>
              </w:rPr>
              <w:t xml:space="preserve"> the deviation of the parameter with respect to its nominal value; distances are referenced to the isocenter or nominal SSD.</w:t>
            </w:r>
          </w:p>
        </w:tc>
      </w:tr>
    </w:tbl>
    <w:p>
      <w:pPr>
        <w:spacing w:before="0" w:after="0"/>
        <w:ind w:left="120"/>
        <w:jc w:val="center"/>
      </w:pPr>
      <w:r>
        <w:rPr>
          <w:rFonts w:ascii="Times New Roman" w:hAnsi="Times New Roman"/>
          <w:b w:val="false"/>
          <w:i w:val="false"/>
          <w:color w:val="000000"/>
          <w:sz w:val="22"/>
        </w:rPr>
        <w:t>CHAPTER 41—APPENDIX 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INFORMATION ON RADIATION SHIELDING REQUIRED</w:t>
      </w:r>
    </w:p>
    <w:p>
      <w:pPr>
        <w:spacing w:before="0" w:after="0"/>
        <w:ind w:left="120"/>
        <w:jc w:val="center"/>
      </w:pPr>
      <w:r>
        <w:rPr>
          <w:rFonts w:ascii="Times New Roman" w:hAnsi="Times New Roman"/>
          <w:b w:val="false"/>
          <w:i w:val="false"/>
          <w:color w:val="000000"/>
          <w:sz w:val="22"/>
        </w:rPr>
        <w:t>FOR PLAN REVIEWS FOR THERAPY MACHINES</w:t>
      </w:r>
    </w:p>
    <w:p>
      <w:pPr>
        <w:spacing w:before="0" w:after="0"/>
        <w:ind w:left="120"/>
        <w:jc w:val="both"/>
      </w:pPr>
      <w:r>
        <w:rPr>
          <w:rFonts w:ascii="Times New Roman" w:hAnsi="Times New Roman"/>
          <w:b w:val="false"/>
          <w:i w:val="false"/>
          <w:color w:val="000000"/>
          <w:sz w:val="22"/>
        </w:rPr>
        <w:t>I. All therapeutic radiation machines.</w:t>
      </w:r>
    </w:p>
    <w:p>
      <w:pPr>
        <w:spacing w:before="0" w:after="0"/>
        <w:ind w:left="120"/>
        <w:jc w:val="both"/>
      </w:pPr>
      <w:r>
        <w:rPr>
          <w:rFonts w:ascii="Times New Roman" w:hAnsi="Times New Roman"/>
          <w:b w:val="false"/>
          <w:i w:val="false"/>
          <w:color w:val="000000"/>
          <w:sz w:val="22"/>
        </w:rPr>
        <w:t>A. Basic facility information including: name, telephone number and agency registration number of the individual responsible for preparation of the shielding plan; name and telephone number of the facility supervisor; and the street address (including room number if applicable) of the external beam radiation therapy facility. The plan should also indicate whether this is a new structure or a modification to existing structure(s).</w:t>
      </w:r>
    </w:p>
    <w:p>
      <w:pPr>
        <w:spacing w:before="0" w:after="0"/>
        <w:ind w:left="120"/>
        <w:jc w:val="both"/>
      </w:pPr>
      <w:r>
        <w:rPr>
          <w:rFonts w:ascii="Times New Roman" w:hAnsi="Times New Roman"/>
          <w:b w:val="false"/>
          <w:i w:val="false"/>
          <w:color w:val="000000"/>
          <w:sz w:val="22"/>
        </w:rPr>
        <w:t>B. All wall, floor, and ceiling areas struck by the useful beam shall have primary barriers.</w:t>
      </w:r>
    </w:p>
    <w:p>
      <w:pPr>
        <w:spacing w:before="0" w:after="0"/>
        <w:ind w:left="120"/>
        <w:jc w:val="both"/>
      </w:pPr>
      <w:r>
        <w:rPr>
          <w:rFonts w:ascii="Times New Roman" w:hAnsi="Times New Roman"/>
          <w:b w:val="false"/>
          <w:i w:val="false"/>
          <w:color w:val="000000"/>
          <w:sz w:val="22"/>
        </w:rPr>
        <w:t>C. Secondary barriers shall be provided in all wall, floor, and ceiling areas not having primary barriers.</w:t>
      </w:r>
    </w:p>
    <w:p>
      <w:pPr>
        <w:spacing w:before="0" w:after="0"/>
        <w:ind w:left="120"/>
        <w:jc w:val="both"/>
      </w:pPr>
      <w:r>
        <w:rPr>
          <w:rFonts w:ascii="Times New Roman" w:hAnsi="Times New Roman"/>
          <w:b w:val="false"/>
          <w:i w:val="false"/>
          <w:color w:val="000000"/>
          <w:sz w:val="22"/>
        </w:rPr>
        <w:t>II. Therapeutic machines up to 150 kV (photons only).</w:t>
      </w:r>
    </w:p>
    <w:p>
      <w:pPr>
        <w:spacing w:before="0" w:after="0"/>
        <w:ind w:left="120"/>
        <w:jc w:val="both"/>
      </w:pPr>
      <w:r>
        <w:rPr>
          <w:rFonts w:ascii="Times New Roman" w:hAnsi="Times New Roman"/>
          <w:b w:val="false"/>
          <w:i w:val="false"/>
          <w:color w:val="000000"/>
          <w:sz w:val="22"/>
        </w:rPr>
        <w:t>In addition to the requirements listed in Section I above, therapeutic radiation machine facilities which produce only photons with a maximum energy less than or equal to 150 kV shall submit shielding plans which contain, as a minimum, the following additional information:</w:t>
      </w:r>
    </w:p>
    <w:p>
      <w:pPr>
        <w:spacing w:before="0" w:after="0"/>
        <w:ind w:left="120"/>
        <w:jc w:val="both"/>
      </w:pPr>
      <w:r>
        <w:rPr>
          <w:rFonts w:ascii="Times New Roman" w:hAnsi="Times New Roman"/>
          <w:b w:val="false"/>
          <w:i w:val="false"/>
          <w:color w:val="000000"/>
          <w:sz w:val="22"/>
        </w:rPr>
        <w:t>A. Equipment specifications, including the manufacturer and model number of the therapeutic radiation machine, as well as the maximum technique factors.</w:t>
      </w:r>
    </w:p>
    <w:p>
      <w:pPr>
        <w:spacing w:before="0" w:after="0"/>
        <w:ind w:left="120"/>
        <w:jc w:val="both"/>
      </w:pPr>
      <w:r>
        <w:rPr>
          <w:rFonts w:ascii="Times New Roman" w:hAnsi="Times New Roman"/>
          <w:b w:val="false"/>
          <w:i w:val="false"/>
          <w:color w:val="000000"/>
          <w:sz w:val="22"/>
        </w:rPr>
        <w:t>B. Maximum design workload for the facility including total weekly radiation output (expressed in gray (rad) or air kerma at one meter), total beam-on time per day or week, the average treatment time per patient, along with the anticipated number of patients to be treated per day or week.</w:t>
      </w:r>
    </w:p>
    <w:p>
      <w:pPr>
        <w:spacing w:before="0" w:after="0"/>
        <w:ind w:left="120"/>
        <w:jc w:val="both"/>
      </w:pPr>
      <w:r>
        <w:rPr>
          <w:rFonts w:ascii="Times New Roman" w:hAnsi="Times New Roman"/>
          <w:b w:val="false"/>
          <w:i w:val="false"/>
          <w:color w:val="000000"/>
          <w:sz w:val="22"/>
        </w:rPr>
        <w:t xml:space="preserve">C. A facility blueprint/drawing indicating: scale (0.25 inch = 1 foot is typical); direction of north; normal location of the therapeutic radiation machine’s radiation port(s); the port’s travel and traverse limits; general direction(s) of the useful beam; locations of any windows and doors; and the location of the therapeutic radiation machine control panel. If the control panel is located inside the external beam radiation therapy treatment room, the location of the operator’s booth shall be noted on the plan and the operator’s station at the control panel shall be behind a protective barrier sufficient to ensure compliance with </w:t>
      </w:r>
      <w:hyperlink r:id="rId662">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 The structural composition and thickness or lead/concrete equivalent of all walls, doors, partitions, floor, and ceiling of the room(s) concerned.</w:t>
      </w:r>
    </w:p>
    <w:p>
      <w:pPr>
        <w:spacing w:before="0" w:after="0"/>
        <w:ind w:left="120"/>
        <w:jc w:val="both"/>
      </w:pPr>
      <w:r>
        <w:rPr>
          <w:rFonts w:ascii="Times New Roman" w:hAnsi="Times New Roman"/>
          <w:b w:val="false"/>
          <w:i w:val="false"/>
          <w:color w:val="000000"/>
          <w:sz w:val="22"/>
        </w:rPr>
        <w:t>E. The type of occupancy of all adjacent areas inclusive of space above and below the room(s) concerned. If there is an exterior wall, show distance to the closest area(s) where it is likely that individuals may be present.</w:t>
      </w:r>
    </w:p>
    <w:p>
      <w:pPr>
        <w:spacing w:before="0" w:after="0"/>
        <w:ind w:left="120"/>
        <w:jc w:val="both"/>
      </w:pPr>
      <w:r>
        <w:rPr>
          <w:rFonts w:ascii="Times New Roman" w:hAnsi="Times New Roman"/>
          <w:b w:val="false"/>
          <w:i w:val="false"/>
          <w:color w:val="000000"/>
          <w:sz w:val="22"/>
        </w:rPr>
        <w:t>F. At least one example calculation which shows the methodology used to determine the amount of shielding required for each physical condition (i.e., primary and secondary leakage barriers, restricted and unrestricted areas, entry door(s)) and shielding material in the facility.</w:t>
      </w:r>
    </w:p>
    <w:p>
      <w:pPr>
        <w:spacing w:before="0" w:after="0"/>
        <w:ind w:left="120"/>
        <w:jc w:val="both"/>
      </w:pPr>
      <w:r>
        <w:rPr>
          <w:rFonts w:ascii="Times New Roman" w:hAnsi="Times New Roman"/>
          <w:b w:val="false"/>
          <w:i w:val="false"/>
          <w:color w:val="000000"/>
          <w:sz w:val="22"/>
        </w:rPr>
        <w:t>(1) If commercial software is used to generate shielding requirements, identify the software used and the version/revision date.</w:t>
      </w:r>
    </w:p>
    <w:p>
      <w:pPr>
        <w:spacing w:before="0" w:after="0"/>
        <w:ind w:left="120"/>
        <w:jc w:val="both"/>
      </w:pPr>
      <w:r>
        <w:rPr>
          <w:rFonts w:ascii="Times New Roman" w:hAnsi="Times New Roman"/>
          <w:b w:val="false"/>
          <w:i w:val="false"/>
          <w:color w:val="000000"/>
          <w:sz w:val="22"/>
        </w:rPr>
        <w:t>(2) If the software used to generate shielding requirements is not in the open literature, submit quality control sample calculations to verify the result obtained with the software.</w:t>
      </w:r>
    </w:p>
    <w:p>
      <w:pPr>
        <w:spacing w:before="0" w:after="0"/>
        <w:ind w:left="120"/>
        <w:jc w:val="both"/>
      </w:pPr>
      <w:r>
        <w:rPr>
          <w:rFonts w:ascii="Times New Roman" w:hAnsi="Times New Roman"/>
          <w:b w:val="false"/>
          <w:i w:val="false"/>
          <w:color w:val="000000"/>
          <w:sz w:val="22"/>
        </w:rPr>
        <w:t>III. Therapeutic radiation machines over 150 kV.</w:t>
      </w:r>
    </w:p>
    <w:p>
      <w:pPr>
        <w:spacing w:before="0" w:after="0"/>
        <w:ind w:left="120"/>
        <w:jc w:val="both"/>
      </w:pPr>
      <w:r>
        <w:rPr>
          <w:rFonts w:ascii="Times New Roman" w:hAnsi="Times New Roman"/>
          <w:b w:val="false"/>
          <w:i w:val="false"/>
          <w:color w:val="000000"/>
          <w:sz w:val="22"/>
        </w:rPr>
        <w:t>In addition to the requirements listed in Section I above, therapeutic radiation machine facilities which produce photons or electrons with a maximum energy in excess of 150 kV or electrons shall submit shielding plans which contain, as a minimum, the following additional information:</w:t>
      </w:r>
    </w:p>
    <w:p>
      <w:pPr>
        <w:spacing w:before="0" w:after="0"/>
        <w:ind w:left="120"/>
        <w:jc w:val="both"/>
      </w:pPr>
      <w:r>
        <w:rPr>
          <w:rFonts w:ascii="Times New Roman" w:hAnsi="Times New Roman"/>
          <w:b w:val="false"/>
          <w:i w:val="false"/>
          <w:color w:val="000000"/>
          <w:sz w:val="22"/>
        </w:rPr>
        <w:t>A. Equipment specifications including the manufacturer and model number of the therapeutic radiation machine, and gray (rad) at the isocenter and the energy(s) and type(s) of radiation produced (i.e., photon, electron). The target to isocenter distance shall be specified.</w:t>
      </w:r>
    </w:p>
    <w:p>
      <w:pPr>
        <w:spacing w:before="0" w:after="0"/>
        <w:ind w:left="120"/>
        <w:jc w:val="both"/>
      </w:pPr>
      <w:r>
        <w:rPr>
          <w:rFonts w:ascii="Times New Roman" w:hAnsi="Times New Roman"/>
          <w:b w:val="false"/>
          <w:i w:val="false"/>
          <w:color w:val="000000"/>
          <w:sz w:val="22"/>
        </w:rPr>
        <w:t>B. Maximum design workload for the facility including total weekly radiation output (expressed in gray (rad) at one meter), total beam-on time per day or week, the average treatment time per patient, along with the anticipated number of patients to be treated per day or week.</w:t>
      </w:r>
    </w:p>
    <w:p>
      <w:pPr>
        <w:spacing w:before="0" w:after="0"/>
        <w:ind w:left="120"/>
        <w:jc w:val="both"/>
      </w:pPr>
      <w:r>
        <w:rPr>
          <w:rFonts w:ascii="Times New Roman" w:hAnsi="Times New Roman"/>
          <w:b w:val="false"/>
          <w:i w:val="false"/>
          <w:color w:val="000000"/>
          <w:sz w:val="22"/>
        </w:rPr>
        <w:t>C. Facility blueprint/drawing (including both floor plan and elevation views) indicating relative orientation of the therapeutic radiation machine, scale (0.25 inch = 1 foot is typical), type(s), thickness and minimum density of shielding material(s), direction of north, the locations and size of all penetrations through each shielding barrier (ceiling, walls and floor), as well as details of the door(s) and maze.</w:t>
      </w:r>
    </w:p>
    <w:p>
      <w:pPr>
        <w:spacing w:before="0" w:after="0"/>
        <w:ind w:left="120"/>
        <w:jc w:val="both"/>
      </w:pPr>
      <w:r>
        <w:rPr>
          <w:rFonts w:ascii="Times New Roman" w:hAnsi="Times New Roman"/>
          <w:b w:val="false"/>
          <w:i w:val="false"/>
          <w:color w:val="000000"/>
          <w:sz w:val="22"/>
        </w:rPr>
        <w:t>D. The structural composition and thickness or concrete equivalent of all walls, doors, partitions, floor, and ceiling of the room(s) concerned.</w:t>
      </w:r>
    </w:p>
    <w:p>
      <w:pPr>
        <w:spacing w:before="0" w:after="0"/>
        <w:ind w:left="120"/>
        <w:jc w:val="both"/>
      </w:pPr>
      <w:r>
        <w:rPr>
          <w:rFonts w:ascii="Times New Roman" w:hAnsi="Times New Roman"/>
          <w:b w:val="false"/>
          <w:i w:val="false"/>
          <w:color w:val="000000"/>
          <w:sz w:val="22"/>
        </w:rPr>
        <w:t>E. The type of occupancy of all adjacent areas inclusive of space above and below the room(s) concerned. If there is an exterior wall, show distance to the closest area(s) where it is likely that individuals may be present.</w:t>
      </w:r>
    </w:p>
    <w:p>
      <w:pPr>
        <w:spacing w:before="0" w:after="0"/>
        <w:ind w:left="120"/>
        <w:jc w:val="both"/>
      </w:pPr>
      <w:r>
        <w:rPr>
          <w:rFonts w:ascii="Times New Roman" w:hAnsi="Times New Roman"/>
          <w:b w:val="false"/>
          <w:i w:val="false"/>
          <w:color w:val="000000"/>
          <w:sz w:val="22"/>
        </w:rPr>
        <w:t>F. Description of all assumptions that were in shielding calculations including, but not limited to, design energy (i.e., room may be designed for 6 MV unit although only a 4 MV unit is currently proposed), workload, presence of integral beam-stop in unit, occupancy and use(s) of adjacent areas, fraction of time that useful beam will intercept each permanent barrier (walls, floor and ceiling) and “allowed” radiation exposure in both restricted and unrestricted areas.</w:t>
      </w:r>
    </w:p>
    <w:p>
      <w:pPr>
        <w:spacing w:before="0" w:after="0"/>
        <w:ind w:left="120"/>
        <w:jc w:val="both"/>
      </w:pPr>
      <w:r>
        <w:rPr>
          <w:rFonts w:ascii="Times New Roman" w:hAnsi="Times New Roman"/>
          <w:b w:val="false"/>
          <w:i w:val="false"/>
          <w:color w:val="000000"/>
          <w:sz w:val="22"/>
        </w:rPr>
        <w:t>G. At least one example calculation which shows the methodology used to determine the amount of shielding required for each physical condition (i.e., primary and secondary leakage barriers, restricted and unrestricted areas, small angle scatter, entry door(s) and maze) and shielding material in the facility.</w:t>
      </w:r>
    </w:p>
    <w:p>
      <w:pPr>
        <w:spacing w:before="0" w:after="0"/>
        <w:ind w:left="120"/>
        <w:jc w:val="both"/>
      </w:pPr>
      <w:r>
        <w:rPr>
          <w:rFonts w:ascii="Times New Roman" w:hAnsi="Times New Roman"/>
          <w:b w:val="false"/>
          <w:i w:val="false"/>
          <w:color w:val="000000"/>
          <w:sz w:val="22"/>
        </w:rPr>
        <w:t>(1) If commercial software is used to generate shielding requirements, also identify the software used and the version/revision date.</w:t>
      </w:r>
    </w:p>
    <w:p>
      <w:pPr>
        <w:spacing w:before="0" w:after="0"/>
        <w:ind w:left="120"/>
        <w:jc w:val="both"/>
      </w:pPr>
      <w:r>
        <w:rPr>
          <w:rFonts w:ascii="Times New Roman" w:hAnsi="Times New Roman"/>
          <w:b w:val="false"/>
          <w:i w:val="false"/>
          <w:color w:val="000000"/>
          <w:sz w:val="22"/>
        </w:rPr>
        <w:t>(2) If the software used to generate shielding requirements is not in the open literature, submit quality control sample calculations to verify the result obtained with the software.</w:t>
      </w:r>
    </w:p>
    <w:p>
      <w:pPr>
        <w:spacing w:before="0" w:after="0"/>
        <w:ind w:left="120"/>
        <w:jc w:val="both"/>
      </w:pPr>
      <w:r>
        <w:rPr>
          <w:rFonts w:ascii="Times New Roman" w:hAnsi="Times New Roman"/>
          <w:b w:val="false"/>
          <w:i w:val="false"/>
          <w:color w:val="000000"/>
          <w:sz w:val="22"/>
        </w:rPr>
        <w:t>IV. Neutron shielding.</w:t>
      </w:r>
    </w:p>
    <w:p>
      <w:pPr>
        <w:spacing w:before="0" w:after="0"/>
        <w:ind w:left="120"/>
        <w:jc w:val="both"/>
      </w:pPr>
      <w:r>
        <w:rPr>
          <w:rFonts w:ascii="Times New Roman" w:hAnsi="Times New Roman"/>
          <w:b w:val="false"/>
          <w:i w:val="false"/>
          <w:color w:val="000000"/>
          <w:sz w:val="22"/>
        </w:rPr>
        <w:t>In addition to the requirements listed in Section III above, therapeutic radiation machine facilities which are capable of operating above 10 MV shall submit shielding plans which contain, as a minimum, the following additional information:</w:t>
      </w:r>
    </w:p>
    <w:p>
      <w:pPr>
        <w:spacing w:before="0" w:after="0"/>
        <w:ind w:left="120"/>
        <w:jc w:val="both"/>
      </w:pPr>
      <w:r>
        <w:rPr>
          <w:rFonts w:ascii="Times New Roman" w:hAnsi="Times New Roman"/>
          <w:b w:val="false"/>
          <w:i w:val="false"/>
          <w:color w:val="000000"/>
          <w:sz w:val="22"/>
        </w:rPr>
        <w:t>A. The structural composition, thickness, minimum density and location of all neutron shielding material.</w:t>
      </w:r>
    </w:p>
    <w:p>
      <w:pPr>
        <w:spacing w:before="0" w:after="0"/>
        <w:ind w:left="120"/>
        <w:jc w:val="both"/>
      </w:pPr>
      <w:r>
        <w:rPr>
          <w:rFonts w:ascii="Times New Roman" w:hAnsi="Times New Roman"/>
          <w:b w:val="false"/>
          <w:i w:val="false"/>
          <w:color w:val="000000"/>
          <w:sz w:val="22"/>
        </w:rPr>
        <w:t>B. Description of all assumptions that were used in neutron shielding calculations including, but not limited to, neutron spectra as a function of energy, neutron fluency rate, absorbed dose and dose equivalent (due to neutrons) in both restricted and unrestricted areas.</w:t>
      </w:r>
    </w:p>
    <w:p>
      <w:pPr>
        <w:spacing w:before="0" w:after="0"/>
        <w:ind w:left="120"/>
        <w:jc w:val="both"/>
      </w:pPr>
      <w:r>
        <w:rPr>
          <w:rFonts w:ascii="Times New Roman" w:hAnsi="Times New Roman"/>
          <w:b w:val="false"/>
          <w:i w:val="false"/>
          <w:color w:val="000000"/>
          <w:sz w:val="22"/>
        </w:rPr>
        <w:t>C. At least one example calculation which shows the methodology used to determine the amount of neutron shielding required for each physical condition (i.e., restricted and unrestricted areas, entry door(s) and maze) and neutron shielding material utilized in the facility.</w:t>
      </w:r>
    </w:p>
    <w:p>
      <w:pPr>
        <w:spacing w:before="0" w:after="0"/>
        <w:ind w:left="120"/>
        <w:jc w:val="both"/>
      </w:pPr>
      <w:r>
        <w:rPr>
          <w:rFonts w:ascii="Times New Roman" w:hAnsi="Times New Roman"/>
          <w:b w:val="false"/>
          <w:i w:val="false"/>
          <w:color w:val="000000"/>
          <w:sz w:val="22"/>
        </w:rPr>
        <w:t>(1) If commercial software is used to generate shielding requirements, also identify the software used and the version/revision date.</w:t>
      </w:r>
    </w:p>
    <w:p>
      <w:pPr>
        <w:spacing w:before="0" w:after="0"/>
        <w:ind w:left="120"/>
        <w:jc w:val="both"/>
      </w:pPr>
      <w:r>
        <w:rPr>
          <w:rFonts w:ascii="Times New Roman" w:hAnsi="Times New Roman"/>
          <w:b w:val="false"/>
          <w:i w:val="false"/>
          <w:color w:val="000000"/>
          <w:sz w:val="22"/>
        </w:rPr>
        <w:t>(2) If the software used to generate shielding requirements is not in the open literature, submit quality control sample calculations to verify the result obtained with the software.</w:t>
      </w:r>
    </w:p>
    <w:p>
      <w:pPr>
        <w:spacing w:before="0" w:after="0"/>
        <w:ind w:left="120"/>
        <w:jc w:val="both"/>
      </w:pPr>
      <w:r>
        <w:rPr>
          <w:rFonts w:ascii="Times New Roman" w:hAnsi="Times New Roman"/>
          <w:b w:val="false"/>
          <w:i w:val="false"/>
          <w:color w:val="000000"/>
          <w:sz w:val="22"/>
        </w:rPr>
        <w:t>D. The method(s) and instrumentation which will be used to verify the adequacy of all neutron shielding installed in the facility.</w:t>
      </w:r>
    </w:p>
    <w:p>
      <w:pPr>
        <w:spacing w:before="0" w:after="0"/>
        <w:ind w:left="120"/>
        <w:jc w:val="both"/>
      </w:pPr>
      <w:r>
        <w:rPr>
          <w:rFonts w:ascii="Times New Roman" w:hAnsi="Times New Roman"/>
          <w:b w:val="false"/>
          <w:i w:val="false"/>
          <w:color w:val="000000"/>
          <w:sz w:val="22"/>
        </w:rPr>
        <w:t>V. References.</w:t>
      </w:r>
    </w:p>
    <w:p>
      <w:pPr>
        <w:spacing w:before="0" w:after="0"/>
        <w:ind w:left="120"/>
        <w:jc w:val="both"/>
      </w:pPr>
      <w:r>
        <w:rPr>
          <w:rFonts w:ascii="Times New Roman" w:hAnsi="Times New Roman"/>
          <w:b w:val="false"/>
          <w:i w:val="false"/>
          <w:color w:val="000000"/>
          <w:sz w:val="22"/>
        </w:rPr>
        <w:t>A. NCRP Report 49, “Structural Shielding Design and Evaluation for Medical Use of X-Rays and Gamma Rays of Energies Up to 10 MeV” (1976).</w:t>
      </w:r>
    </w:p>
    <w:p>
      <w:pPr>
        <w:spacing w:before="0" w:after="0"/>
        <w:ind w:left="120"/>
        <w:jc w:val="both"/>
      </w:pPr>
      <w:r>
        <w:rPr>
          <w:rFonts w:ascii="Times New Roman" w:hAnsi="Times New Roman"/>
          <w:b w:val="false"/>
          <w:i w:val="false"/>
          <w:color w:val="000000"/>
          <w:sz w:val="22"/>
        </w:rPr>
        <w:t>B. NCRP Report 51, “Radiation Protection Design Guidelines for 0.1-100 MeV Particle Accelerator Facilities” (1977).</w:t>
      </w:r>
    </w:p>
    <w:p>
      <w:pPr>
        <w:spacing w:before="0" w:after="0"/>
        <w:ind w:left="120"/>
        <w:jc w:val="both"/>
      </w:pPr>
      <w:r>
        <w:rPr>
          <w:rFonts w:ascii="Times New Roman" w:hAnsi="Times New Roman"/>
          <w:b w:val="false"/>
          <w:i w:val="false"/>
          <w:color w:val="000000"/>
          <w:sz w:val="22"/>
        </w:rPr>
        <w:t>C. NCRP Report 79, “Neutron Contamination from Medical Electron Accelerator” (1984).</w:t>
      </w:r>
    </w:p>
    <w:p>
      <w:pPr>
        <w:spacing w:before="0" w:after="0"/>
        <w:ind w:left="120"/>
        <w:jc w:val="both"/>
      </w:pPr>
      <w:r>
        <w:rPr>
          <w:rFonts w:ascii="Times New Roman" w:hAnsi="Times New Roman"/>
          <w:b w:val="false"/>
          <w:i w:val="false"/>
          <w:color w:val="000000"/>
          <w:sz w:val="22"/>
        </w:rPr>
        <w:t>D. NCRP Report 144, “Radiation Protection for Particle Accelerator Facilities” (2003).</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6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2/27/85—published 6/5/85, effective, see rule 41.7]</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emergency 9/14/92 after Notice 7/22/92—published 9/30/92, effective 10/1/92]</w:t>
      </w:r>
    </w:p>
    <w:p>
      <w:pPr>
        <w:spacing w:before="0" w:after="0"/>
        <w:ind w:left="120"/>
        <w:jc w:val="center"/>
      </w:pPr>
      <w:r>
        <w:rPr>
          <w:rFonts w:ascii="Times New Roman" w:hAnsi="Times New Roman"/>
          <w:b w:val="false"/>
          <w:i w:val="false"/>
          <w:color w:val="000000"/>
          <w:sz w:val="21"/>
        </w:rPr>
        <w:t>[Filed 11/5/92, Notice 9/30/92—published 11/25/92, effective 1/13/93]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3/10/93, Notice 12/23/92—published 3/31/93, effective 5/5/93]</w:t>
      </w:r>
    </w:p>
    <w:p>
      <w:pPr>
        <w:spacing w:before="0" w:after="0"/>
        <w:ind w:left="120"/>
        <w:jc w:val="center"/>
      </w:pPr>
      <w:r>
        <w:rPr>
          <w:rFonts w:ascii="Times New Roman" w:hAnsi="Times New Roman"/>
          <w:b w:val="false"/>
          <w:i w:val="false"/>
          <w:color w:val="000000"/>
          <w:sz w:val="21"/>
        </w:rPr>
        <w:t>[Filed emergency 7/16/93—published 8/4/93, effective 7/16/93]</w:t>
      </w:r>
    </w:p>
    <w:p>
      <w:pPr>
        <w:spacing w:before="0" w:after="0"/>
        <w:ind w:left="120"/>
        <w:jc w:val="center"/>
      </w:pPr>
      <w:r>
        <w:rPr>
          <w:rFonts w:ascii="Times New Roman" w:hAnsi="Times New Roman"/>
          <w:b w:val="false"/>
          <w:i w:val="false"/>
          <w:color w:val="000000"/>
          <w:sz w:val="21"/>
        </w:rPr>
        <w:t>[Filed emergency 11/15/93—published 12/8/93, effective 11/15/93]</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1/21/99, Notice 11/4/98—published 2/10/99, effective 4/28/99]</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6/25/99, Notice 5/5/99—published 7/14/99, effective 9/15/99]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7983B</w:t>
      </w:r>
      <w:r>
        <w:rPr>
          <w:rFonts w:ascii="Times New Roman" w:hAnsi="Times New Roman"/>
          <w:b w:val="false"/>
          <w:i w:val="false"/>
          <w:color w:val="000000"/>
          <w:sz w:val="21"/>
        </w:rPr>
        <w:t xml:space="preserve"> (Notice ARC 7792B,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8659B</w:t>
      </w:r>
      <w:r>
        <w:rPr>
          <w:rFonts w:ascii="Times New Roman" w:hAnsi="Times New Roman"/>
          <w:b w:val="false"/>
          <w:i w:val="false"/>
          <w:color w:val="000000"/>
          <w:sz w:val="21"/>
        </w:rPr>
        <w:t xml:space="preserve"> (Notice ARC 8161B, IAB 9/23/09)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0577C</w:t>
      </w:r>
      <w:r>
        <w:rPr>
          <w:rFonts w:ascii="Times New Roman" w:hAnsi="Times New Roman"/>
          <w:b w:val="false"/>
          <w:i w:val="false"/>
          <w:color w:val="000000"/>
          <w:sz w:val="21"/>
        </w:rPr>
        <w:t xml:space="preserve"> (Notice ARC 0381C,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1401C</w:t>
      </w:r>
      <w:r>
        <w:rPr>
          <w:rFonts w:ascii="Times New Roman" w:hAnsi="Times New Roman"/>
          <w:b w:val="false"/>
          <w:i w:val="false"/>
          <w:color w:val="000000"/>
          <w:sz w:val="21"/>
        </w:rPr>
        <w:t xml:space="preserve"> (Notice ARC 1317C,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3103C</w:t>
      </w:r>
      <w:r>
        <w:rPr>
          <w:rFonts w:ascii="Times New Roman" w:hAnsi="Times New Roman"/>
          <w:b w:val="false"/>
          <w:i w:val="false"/>
          <w:color w:val="000000"/>
          <w:sz w:val="21"/>
        </w:rPr>
        <w:t xml:space="preserve"> (Notice ARC 2901C,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3393C</w:t>
      </w:r>
      <w:r>
        <w:rPr>
          <w:rFonts w:ascii="Times New Roman" w:hAnsi="Times New Roman"/>
          <w:b w:val="false"/>
          <w:i w:val="false"/>
          <w:color w:val="000000"/>
          <w:sz w:val="21"/>
        </w:rPr>
        <w:t xml:space="preserve"> (Notice ARC 3210C,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5683C</w:t>
      </w:r>
      <w:r>
        <w:rPr>
          <w:rFonts w:ascii="Times New Roman" w:hAnsi="Times New Roman"/>
          <w:b w:val="false"/>
          <w:i w:val="false"/>
          <w:color w:val="000000"/>
          <w:sz w:val="21"/>
        </w:rPr>
        <w:t xml:space="preserve"> (Notice ARC 5520C,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6164C</w:t>
      </w:r>
      <w:r>
        <w:rPr>
          <w:rFonts w:ascii="Times New Roman" w:hAnsi="Times New Roman"/>
          <w:b w:val="false"/>
          <w:i w:val="false"/>
          <w:color w:val="000000"/>
          <w:sz w:val="21"/>
        </w:rPr>
        <w:t xml:space="preserve"> (Notice ARC 6051C, IAB 11/17/21)</w:t>
      </w:r>
      <w:r>
        <w:rPr>
          <w:rFonts w:ascii="Times New Roman" w:hAnsi="Times New Roman"/>
          <w:b w:val="false"/>
          <w:i w:val="false"/>
          <w:color w:val="000000"/>
          <w:sz w:val="21"/>
        </w:rPr>
        <w:t>, IAB 2/9/22, effective 3/16/22]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41.pdf" Type="http://schemas.openxmlformats.org/officeDocument/2006/relationships/hyperlink" Id="rId5"/>
    <Relationship TargetMode="External" Target="https://www.legis.iowa.gov/docs/iac/chapter/641.38.pdf" Type="http://schemas.openxmlformats.org/officeDocument/2006/relationships/hyperlink" Id="rId6"/>
    <Relationship TargetMode="External" Target="https://www.legis.iowa.gov/docs/iac/chapter/641.42.pdf" Type="http://schemas.openxmlformats.org/officeDocument/2006/relationships/hyperlink" Id="rId7"/>
    <Relationship TargetMode="External" Target="https://www.legis.iowa.gov/docs/iac/chapter/641.38.pdf" Type="http://schemas.openxmlformats.org/officeDocument/2006/relationships/hyperlink" Id="rId8"/>
    <Relationship TargetMode="External" Target="https://www.legis.iowa.gov/docs/iac/chapter/641.40.pdf" Type="http://schemas.openxmlformats.org/officeDocument/2006/relationships/hyperlink" Id="rId9"/>
    <Relationship TargetMode="External" Target="https://www.legis.iowa.gov/docs/iac/chapter/641.41.pdf" Type="http://schemas.openxmlformats.org/officeDocument/2006/relationships/hyperlink" Id="rId10"/>
    <Relationship TargetMode="External" Target="https://www.legis.iowa.gov/docs/iac/rule/641.41.1.pdf" Type="http://schemas.openxmlformats.org/officeDocument/2006/relationships/hyperlink" Id="rId11"/>
    <Relationship TargetMode="External" Target="https://www.legis.iowa.gov/docs/iac/rule/641.41.1.pdf" Type="http://schemas.openxmlformats.org/officeDocument/2006/relationships/hyperlink" Id="rId12"/>
    <Relationship TargetMode="External" Target="https://www.legis.iowa.gov/docs/iac/rule/641.41.1.pdf" Type="http://schemas.openxmlformats.org/officeDocument/2006/relationships/hyperlink" Id="rId13"/>
    <Relationship TargetMode="External" Target="https://www.legis.iowa.gov/docs/iac/rule/641.41.1.pdf" Type="http://schemas.openxmlformats.org/officeDocument/2006/relationships/hyperlink" Id="rId14"/>
    <Relationship TargetMode="External" Target="https://www.legis.iowa.gov/docs/iac/rule/641.41.1.pdf" Type="http://schemas.openxmlformats.org/officeDocument/2006/relationships/hyperlink" Id="rId15"/>
    <Relationship TargetMode="External" Target="https://www.legis.iowa.gov/docs/iac/rule/641.41.1.pdf" Type="http://schemas.openxmlformats.org/officeDocument/2006/relationships/hyperlink" Id="rId16"/>
    <Relationship TargetMode="External" Target="https://www.legis.iowa.gov/docs/iac/rule/641.39.3.pdf" Type="http://schemas.openxmlformats.org/officeDocument/2006/relationships/hyperlink" Id="rId17"/>
    <Relationship TargetMode="External" Target="https://www.legis.iowa.gov/docs/iac/chapter/641.42.pdf" Type="http://schemas.openxmlformats.org/officeDocument/2006/relationships/hyperlink" Id="rId18"/>
    <Relationship TargetMode="External" Target="https://www.legis.iowa.gov/docs/ico/chapter/152.pdf" Type="http://schemas.openxmlformats.org/officeDocument/2006/relationships/hyperlink" Id="rId19"/>
    <Relationship TargetMode="External" Target="https://www.legis.iowa.gov/docs/iac/rule/641.41.1.pdf" Type="http://schemas.openxmlformats.org/officeDocument/2006/relationships/hyperlink" Id="rId20"/>
    <Relationship TargetMode="External" Target="https://www.legis.iowa.gov/docs/iac/rule/641.41.1.pdf" Type="http://schemas.openxmlformats.org/officeDocument/2006/relationships/hyperlink" Id="rId21"/>
    <Relationship TargetMode="External" Target="https://www.legis.iowa.gov/docs/iac/rule/641.41.1.pdf" Type="http://schemas.openxmlformats.org/officeDocument/2006/relationships/hyperlink" Id="rId22"/>
    <Relationship TargetMode="External" Target="https://www.legis.iowa.gov/docs/iac/rule/641.41.1.pdf" Type="http://schemas.openxmlformats.org/officeDocument/2006/relationships/hyperlink" Id="rId23"/>
    <Relationship TargetMode="External" Target="https://www.legis.iowa.gov/docs/iac/rule/641.41.1.pdf" Type="http://schemas.openxmlformats.org/officeDocument/2006/relationships/hyperlink" Id="rId24"/>
    <Relationship TargetMode="External" Target="https://www.legis.iowa.gov/docs/iac/rule/641.40.36.pdf" Type="http://schemas.openxmlformats.org/officeDocument/2006/relationships/hyperlink" Id="rId25"/>
    <Relationship TargetMode="External" Target="https://www.legis.iowa.gov/docs/iac/rule/641.40.15.pdf" Type="http://schemas.openxmlformats.org/officeDocument/2006/relationships/hyperlink" Id="rId26"/>
    <Relationship TargetMode="External" Target="https://www.legis.iowa.gov/docs/iac/rule/641.40.37.pdf" Type="http://schemas.openxmlformats.org/officeDocument/2006/relationships/hyperlink" Id="rId27"/>
    <Relationship TargetMode="External" Target="https://www.legis.iowa.gov/docs/iac/rule/641.41.1.pdf" Type="http://schemas.openxmlformats.org/officeDocument/2006/relationships/hyperlink" Id="rId28"/>
    <Relationship TargetMode="External" Target="https://www.legis.iowa.gov/docs/iac/rule/641.41.1.pdf" Type="http://schemas.openxmlformats.org/officeDocument/2006/relationships/hyperlink" Id="rId29"/>
    <Relationship TargetMode="External" Target="https://www.legis.iowa.gov/docs/iac/chapter/641.40.pdf" Type="http://schemas.openxmlformats.org/officeDocument/2006/relationships/hyperlink" Id="rId30"/>
    <Relationship TargetMode="External" Target="https://www.legis.iowa.gov/docs/iac/rule/641.41.1.pdf" Type="http://schemas.openxmlformats.org/officeDocument/2006/relationships/hyperlink" Id="rId31"/>
    <Relationship TargetMode="External" Target="https://www.legis.iowa.gov/docs/iac/rule/641.41.1.pdf" Type="http://schemas.openxmlformats.org/officeDocument/2006/relationships/hyperlink" Id="rId32"/>
    <Relationship TargetMode="External" Target="https://www.legis.iowa.gov/docs/iac/rule/641.41.1.pdf" Type="http://schemas.openxmlformats.org/officeDocument/2006/relationships/hyperlink" Id="rId33"/>
    <Relationship TargetMode="External" Target="https://www.legis.iowa.gov/docs/iac/rule/641.41.1.pdf" Type="http://schemas.openxmlformats.org/officeDocument/2006/relationships/hyperlink" Id="rId34"/>
    <Relationship TargetMode="External" Target="https://www.legis.iowa.gov/docs/iac/rule/641.41.1.pdf" Type="http://schemas.openxmlformats.org/officeDocument/2006/relationships/hyperlink" Id="rId35"/>
    <Relationship TargetMode="External" Target="https://www.legis.iowa.gov/docs/iac/rule/641.41.1.pdf" Type="http://schemas.openxmlformats.org/officeDocument/2006/relationships/hyperlink" Id="rId36"/>
    <Relationship TargetMode="External" Target="https://www.legis.iowa.gov/docs/iac/rule/641.41.1.pdf" Type="http://schemas.openxmlformats.org/officeDocument/2006/relationships/hyperlink" Id="rId37"/>
    <Relationship TargetMode="External" Target="https://www.legis.iowa.gov/docs/iac/rule/641.41.1.pdf" Type="http://schemas.openxmlformats.org/officeDocument/2006/relationships/hyperlink" Id="rId38"/>
    <Relationship TargetMode="External" Target="https://www.legis.iowa.gov/docs/iac/rule/641.41.1.pdf" Type="http://schemas.openxmlformats.org/officeDocument/2006/relationships/hyperlink" Id="rId39"/>
    <Relationship TargetMode="External" Target="https://www.legis.iowa.gov/docs/iac/rule/641.41.1.pdf" Type="http://schemas.openxmlformats.org/officeDocument/2006/relationships/hyperlink" Id="rId40"/>
    <Relationship TargetMode="External" Target="https://www.legis.iowa.gov/docs/iac/rule/641.41.1.pdf" Type="http://schemas.openxmlformats.org/officeDocument/2006/relationships/hyperlink" Id="rId41"/>
    <Relationship TargetMode="External" Target="https://www.legis.iowa.gov/docs/iac/rule/641.41.1.pdf" Type="http://schemas.openxmlformats.org/officeDocument/2006/relationships/hyperlink" Id="rId42"/>
    <Relationship TargetMode="External" Target="https://www.legis.iowa.gov/docs/iac/rule/641.41.1.pdf" Type="http://schemas.openxmlformats.org/officeDocument/2006/relationships/hyperlink" Id="rId43"/>
    <Relationship TargetMode="External" Target="https://www.legis.iowa.gov/docs/iac/rule/641.41.1.pdf" Type="http://schemas.openxmlformats.org/officeDocument/2006/relationships/hyperlink" Id="rId44"/>
    <Relationship TargetMode="External" Target="https://www.legis.iowa.gov/docs/iac/rule/641.41.1.pdf" Type="http://schemas.openxmlformats.org/officeDocument/2006/relationships/hyperlink" Id="rId45"/>
    <Relationship TargetMode="External" Target="https://www.legis.iowa.gov/docs/iac/rule/641.41.1.pdf" Type="http://schemas.openxmlformats.org/officeDocument/2006/relationships/hyperlink" Id="rId46"/>
    <Relationship TargetMode="External" Target="https://www.legis.iowa.gov/docs/iac/rule/641.41.1.pdf" Type="http://schemas.openxmlformats.org/officeDocument/2006/relationships/hyperlink" Id="rId47"/>
    <Relationship TargetMode="External" Target="https://www.legis.iowa.gov/docs/iac/rule/641.40.22.pdf" Type="http://schemas.openxmlformats.org/officeDocument/2006/relationships/hyperlink" Id="rId48"/>
    <Relationship TargetMode="External" Target="https://www.legis.iowa.gov/docs/iac/rule/655.7.2.pdf" Type="http://schemas.openxmlformats.org/officeDocument/2006/relationships/hyperlink" Id="rId49"/>
    <Relationship TargetMode="External" Target="https://www.legis.iowa.gov/docs/iac/rule/641.41.1.pdf" Type="http://schemas.openxmlformats.org/officeDocument/2006/relationships/hyperlink" Id="rId50"/>
    <Relationship TargetMode="External" Target="https://www.legis.iowa.gov/docs/iac/rule/641.41.1.pdf" Type="http://schemas.openxmlformats.org/officeDocument/2006/relationships/hyperlink" Id="rId51"/>
    <Relationship TargetMode="External" Target="https://www.legis.iowa.gov/docs/iac/rule/641.41.1.pdf" Type="http://schemas.openxmlformats.org/officeDocument/2006/relationships/hyperlink" Id="rId52"/>
    <Relationship TargetMode="External" Target="https://www.legis.iowa.gov/docs/iac/rule/641.41.1.pdf" Type="http://schemas.openxmlformats.org/officeDocument/2006/relationships/hyperlink" Id="rId53"/>
    <Relationship TargetMode="External" Target="https://www.legis.iowa.gov/docs/iac/rule/641.41.1.pdf" Type="http://schemas.openxmlformats.org/officeDocument/2006/relationships/hyperlink" Id="rId54"/>
    <Relationship TargetMode="External" Target="https://www.legis.iowa.gov/docs/iac/rule/641.41.1.pdf" Type="http://schemas.openxmlformats.org/officeDocument/2006/relationships/hyperlink" Id="rId55"/>
    <Relationship TargetMode="External" Target="https://www.legis.iowa.gov/docs/iac/rule/641.41.1.pdf" Type="http://schemas.openxmlformats.org/officeDocument/2006/relationships/hyperlink" Id="rId56"/>
    <Relationship TargetMode="External" Target="https://www.legis.iowa.gov/docs/iac/rule/641.41.1.pdf" Type="http://schemas.openxmlformats.org/officeDocument/2006/relationships/hyperlink" Id="rId57"/>
    <Relationship TargetMode="External" Target="https://www.legis.iowa.gov/docs/iac/rule/641.41.1.pdf" Type="http://schemas.openxmlformats.org/officeDocument/2006/relationships/hyperlink" Id="rId58"/>
    <Relationship TargetMode="External" Target="https://www.legis.iowa.gov/docs/iac/rule/641.41.1.pdf" Type="http://schemas.openxmlformats.org/officeDocument/2006/relationships/hyperlink" Id="rId59"/>
    <Relationship TargetMode="External" Target="https://www.legis.iowa.gov/docs/iac/rule/641.41.1.pdf" Type="http://schemas.openxmlformats.org/officeDocument/2006/relationships/hyperlink" Id="rId60"/>
    <Relationship TargetMode="External" Target="https://www.legis.iowa.gov/docs/iac/rule/641.41.1.pdf" Type="http://schemas.openxmlformats.org/officeDocument/2006/relationships/hyperlink" Id="rId61"/>
    <Relationship TargetMode="External" Target="https://www.legis.iowa.gov/docs/iac/rule/641.41.1.pdf" Type="http://schemas.openxmlformats.org/officeDocument/2006/relationships/hyperlink" Id="rId62"/>
    <Relationship TargetMode="External" Target="https://www.legis.iowa.gov/docs/iac/rule/641.41.1.pdf" Type="http://schemas.openxmlformats.org/officeDocument/2006/relationships/hyperlink" Id="rId63"/>
    <Relationship TargetMode="External" Target="https://www.legis.iowa.gov/docs/iac/rule/641.41.1.pdf" Type="http://schemas.openxmlformats.org/officeDocument/2006/relationships/hyperlink" Id="rId64"/>
    <Relationship TargetMode="External" Target="https://www.legis.iowa.gov/docs/iac/rule/641.41.1.pdf" Type="http://schemas.openxmlformats.org/officeDocument/2006/relationships/hyperlink" Id="rId65"/>
    <Relationship TargetMode="External" Target="https://www.legis.iowa.gov/docs/iac/rule/641.41.1.pdf" Type="http://schemas.openxmlformats.org/officeDocument/2006/relationships/hyperlink" Id="rId66"/>
    <Relationship TargetMode="External" Target="https://www.legis.iowa.gov/docs/iac/rule/641.41.1.pdf" Type="http://schemas.openxmlformats.org/officeDocument/2006/relationships/hyperlink" Id="rId67"/>
    <Relationship TargetMode="External" Target="https://www.legis.iowa.gov/docs/iac/rule/641.41.1.pdf" Type="http://schemas.openxmlformats.org/officeDocument/2006/relationships/hyperlink" Id="rId68"/>
    <Relationship TargetMode="External" Target="https://www.legis.iowa.gov/docs/iac/rule/641.41.1.pdf" Type="http://schemas.openxmlformats.org/officeDocument/2006/relationships/hyperlink" Id="rId69"/>
    <Relationship TargetMode="External" Target="https://www.legis.iowa.gov/docs/iac/rule/641.41.1.pdf" Type="http://schemas.openxmlformats.org/officeDocument/2006/relationships/hyperlink" Id="rId70"/>
    <Relationship TargetMode="External" Target="https://www.legis.iowa.gov/docs/iac/rule/641.41.1.pdf" Type="http://schemas.openxmlformats.org/officeDocument/2006/relationships/hyperlink" Id="rId71"/>
    <Relationship TargetMode="External" Target="https://www.legis.iowa.gov/docs/iac/rule/641.41.1.pdf" Type="http://schemas.openxmlformats.org/officeDocument/2006/relationships/hyperlink" Id="rId72"/>
    <Relationship TargetMode="External" Target="https://www.legis.iowa.gov/docs/iac/rule/641.41.1.pdf" Type="http://schemas.openxmlformats.org/officeDocument/2006/relationships/hyperlink" Id="rId73"/>
    <Relationship TargetMode="External" Target="https://www.legis.iowa.gov/docs/iac/rule/641.41.1.pdf" Type="http://schemas.openxmlformats.org/officeDocument/2006/relationships/hyperlink" Id="rId74"/>
    <Relationship TargetMode="External" Target="https://www.legis.iowa.gov/docs/iac/rule/641.41.1.pdf" Type="http://schemas.openxmlformats.org/officeDocument/2006/relationships/hyperlink" Id="rId75"/>
    <Relationship TargetMode="External" Target="https://www.legis.iowa.gov/docs/iac/rule/641.41.1.pdf" Type="http://schemas.openxmlformats.org/officeDocument/2006/relationships/hyperlink" Id="rId76"/>
    <Relationship TargetMode="External" Target="https://www.legis.iowa.gov/docs/iac/rule/641.41.1.pdf" Type="http://schemas.openxmlformats.org/officeDocument/2006/relationships/hyperlink" Id="rId77"/>
    <Relationship TargetMode="External" Target="https://www.legis.iowa.gov/docs/iac/rule/641.40.84.pdf" Type="http://schemas.openxmlformats.org/officeDocument/2006/relationships/hyperlink" Id="rId78"/>
    <Relationship TargetMode="External" Target="https://www.legis.iowa.gov/docs/ico/chapter/148C.1.pdf" Type="http://schemas.openxmlformats.org/officeDocument/2006/relationships/hyperlink" Id="rId79"/>
    <Relationship TargetMode="External" Target="https://www.legis.iowa.gov/docs/ico/chapter/152.pdf" Type="http://schemas.openxmlformats.org/officeDocument/2006/relationships/hyperlink" Id="rId80"/>
    <Relationship TargetMode="External" Target="https://www.legis.iowa.gov/docs/iac/rule/641.41.1.pdf" Type="http://schemas.openxmlformats.org/officeDocument/2006/relationships/hyperlink" Id="rId81"/>
    <Relationship TargetMode="External" Target="https://www.legis.iowa.gov/docs/iac/rule/641.40.15.pdf" Type="http://schemas.openxmlformats.org/officeDocument/2006/relationships/hyperlink" Id="rId82"/>
    <Relationship TargetMode="External" Target="https://www.legis.iowa.gov/docs/iac/rule/641.40.21.pdf" Type="http://schemas.openxmlformats.org/officeDocument/2006/relationships/hyperlink" Id="rId83"/>
    <Relationship TargetMode="External" Target="https://www.legis.iowa.gov/docs/iac/rule/641.40.26.pdf" Type="http://schemas.openxmlformats.org/officeDocument/2006/relationships/hyperlink" Id="rId84"/>
    <Relationship TargetMode="External" Target="https://www.legis.iowa.gov/docs/iac/rule/641.41.1.pdf" Type="http://schemas.openxmlformats.org/officeDocument/2006/relationships/hyperlink" Id="rId85"/>
    <Relationship TargetMode="External" Target="https://www.legis.iowa.gov/docs/iac/rule/641.41.1.pdf" Type="http://schemas.openxmlformats.org/officeDocument/2006/relationships/hyperlink" Id="rId86"/>
    <Relationship TargetMode="External" Target="https://www.legis.iowa.gov/docs/iac/rule/641.41.1.pdf" Type="http://schemas.openxmlformats.org/officeDocument/2006/relationships/hyperlink" Id="rId87"/>
    <Relationship TargetMode="External" Target="https://www.legis.iowa.gov/docs/iac/rule/641.38.2.pdf" Type="http://schemas.openxmlformats.org/officeDocument/2006/relationships/hyperlink" Id="rId88"/>
    <Relationship TargetMode="External" Target="https://www.legis.iowa.gov/docs/iac/rule/641.40.2.pdf" Type="http://schemas.openxmlformats.org/officeDocument/2006/relationships/hyperlink" Id="rId89"/>
    <Relationship TargetMode="External" Target="https://www.legis.iowa.gov/docs/iac/rule/641.41.1.pdf" Type="http://schemas.openxmlformats.org/officeDocument/2006/relationships/hyperlink" Id="rId90"/>
    <Relationship TargetMode="External" Target="https://www.legis.iowa.gov/docs/iac/rule/641.41.1.pdf" Type="http://schemas.openxmlformats.org/officeDocument/2006/relationships/hyperlink" Id="rId91"/>
    <Relationship TargetMode="External" Target="https://www.legis.iowa.gov/docs/iac/rule/641.41.1.pdf" Type="http://schemas.openxmlformats.org/officeDocument/2006/relationships/hyperlink" Id="rId92"/>
    <Relationship TargetMode="External" Target="https://www.legis.iowa.gov/docs/iac/rule/641.41.1.pdf" Type="http://schemas.openxmlformats.org/officeDocument/2006/relationships/hyperlink" Id="rId93"/>
    <Relationship TargetMode="External" Target="https://www.legis.iowa.gov/docs/iac/rule/641.41.1.pdf" Type="http://schemas.openxmlformats.org/officeDocument/2006/relationships/hyperlink" Id="rId94"/>
    <Relationship TargetMode="External" Target="https://www.legis.iowa.gov/docs/iac/rule/641.41.1.pdf" Type="http://schemas.openxmlformats.org/officeDocument/2006/relationships/hyperlink" Id="rId95"/>
    <Relationship TargetMode="External" Target="https://www.legis.iowa.gov/docs/iac/rule/641.41.1.pdf" Type="http://schemas.openxmlformats.org/officeDocument/2006/relationships/hyperlink" Id="rId96"/>
    <Relationship TargetMode="External" Target="https://www.legis.iowa.gov/docs/iac/rule/641.41.1.pdf" Type="http://schemas.openxmlformats.org/officeDocument/2006/relationships/hyperlink" Id="rId97"/>
    <Relationship TargetMode="External" Target="https://www.legis.iowa.gov/docs/iac/rule/641.41.1.pdf" Type="http://schemas.openxmlformats.org/officeDocument/2006/relationships/hyperlink" Id="rId98"/>
    <Relationship TargetMode="External" Target="https://www.legis.iowa.gov/docs/iac/rule/641.41.1.pdf" Type="http://schemas.openxmlformats.org/officeDocument/2006/relationships/hyperlink" Id="rId99"/>
    <Relationship TargetMode="External" Target="https://www.legis.iowa.gov/docs/iac/chapter/641.42.pdf" Type="http://schemas.openxmlformats.org/officeDocument/2006/relationships/hyperlink" Id="rId100"/>
    <Relationship TargetMode="External" Target="https://www.legis.iowa.gov/docs/iac/chapter/641.38.pdf" Type="http://schemas.openxmlformats.org/officeDocument/2006/relationships/hyperlink" Id="rId101"/>
    <Relationship TargetMode="External" Target="https://www.legis.iowa.gov/docs/iac/chapter/641.40.pdf" Type="http://schemas.openxmlformats.org/officeDocument/2006/relationships/hyperlink" Id="rId102"/>
    <Relationship TargetMode="External" Target="https://www.legis.iowa.gov/docs/iac/chapter/641.38.pdf" Type="http://schemas.openxmlformats.org/officeDocument/2006/relationships/hyperlink" Id="rId103"/>
    <Relationship TargetMode="External" Target="https://www.legis.iowa.gov/docs/iac/chapter/641.40.pdf" Type="http://schemas.openxmlformats.org/officeDocument/2006/relationships/hyperlink" Id="rId104"/>
    <Relationship TargetMode="External" Target="https://www.legis.iowa.gov/docs/iac/rule/641.41.2.pdf" Type="http://schemas.openxmlformats.org/officeDocument/2006/relationships/hyperlink" Id="rId105"/>
    <Relationship TargetMode="External" Target="https://www.legis.iowa.gov/docs/iac/rule/641.41.2.pdf" Type="http://schemas.openxmlformats.org/officeDocument/2006/relationships/hyperlink" Id="rId106"/>
    <Relationship TargetMode="External" Target="https://www.legis.iowa.gov/docs/iac/rule/641.41.2.pdf" Type="http://schemas.openxmlformats.org/officeDocument/2006/relationships/hyperlink" Id="rId107"/>
    <Relationship TargetMode="External" Target="https://www.legis.iowa.gov/docs/iac/rule/641.41.2.pdf" Type="http://schemas.openxmlformats.org/officeDocument/2006/relationships/hyperlink" Id="rId108"/>
    <Relationship TargetMode="External" Target="https://www.legis.iowa.gov/docs/iac/rule/641.41.2.pdf" Type="http://schemas.openxmlformats.org/officeDocument/2006/relationships/hyperlink" Id="rId109"/>
    <Relationship TargetMode="External" Target="https://www.legis.iowa.gov/docs/iac/rule/641.39.4.pdf" Type="http://schemas.openxmlformats.org/officeDocument/2006/relationships/hyperlink" Id="rId110"/>
    <Relationship TargetMode="External" Target="https://www.legis.iowa.gov/docs/iac/rule/641.41.2.pdf" Type="http://schemas.openxmlformats.org/officeDocument/2006/relationships/hyperlink" Id="rId111"/>
    <Relationship TargetMode="External" Target="https://www.legis.iowa.gov/docs/iac/rule/641.41.2.pdf" Type="http://schemas.openxmlformats.org/officeDocument/2006/relationships/hyperlink" Id="rId112"/>
    <Relationship TargetMode="External" Target="https://www.legis.iowa.gov/docs/iac/rule/641.41.2.pdf" Type="http://schemas.openxmlformats.org/officeDocument/2006/relationships/hyperlink" Id="rId113"/>
    <Relationship TargetMode="External" Target="https://www.legis.iowa.gov/docs/iac/rule/641.41.2.pdf" Type="http://schemas.openxmlformats.org/officeDocument/2006/relationships/hyperlink" Id="rId114"/>
    <Relationship TargetMode="External" Target="https://www.legis.iowa.gov/docs/iac/rule/641.41.2.pdf" Type="http://schemas.openxmlformats.org/officeDocument/2006/relationships/hyperlink" Id="rId115"/>
    <Relationship TargetMode="External" Target="https://www.legis.iowa.gov/docs/iac/rule/641.41.2.pdf" Type="http://schemas.openxmlformats.org/officeDocument/2006/relationships/hyperlink" Id="rId116"/>
    <Relationship TargetMode="External" Target="https://www.legis.iowa.gov/docs/iac/rule/641.41.2.pdf" Type="http://schemas.openxmlformats.org/officeDocument/2006/relationships/hyperlink" Id="rId117"/>
    <Relationship TargetMode="External" Target="https://www.legis.iowa.gov/docs/iac/rule/641.41.2.pdf" Type="http://schemas.openxmlformats.org/officeDocument/2006/relationships/hyperlink" Id="rId118"/>
    <Relationship TargetMode="External" Target="https://www.legis.iowa.gov/docs/iac/rule/641.38.2.pdf" Type="http://schemas.openxmlformats.org/officeDocument/2006/relationships/hyperlink" Id="rId119"/>
    <Relationship TargetMode="External" Target="https://www.legis.iowa.gov/docs/iac/rule/641.41.2.pdf" Type="http://schemas.openxmlformats.org/officeDocument/2006/relationships/hyperlink" Id="rId120"/>
    <Relationship TargetMode="External" Target="https://www.legis.iowa.gov/docs/iac/rule/641.41.2.pdf" Type="http://schemas.openxmlformats.org/officeDocument/2006/relationships/hyperlink" Id="rId121"/>
    <Relationship TargetMode="External" Target="https://www.legis.iowa.gov/docs/iac/rule/641.39.4.pdf" Type="http://schemas.openxmlformats.org/officeDocument/2006/relationships/hyperlink" Id="rId122"/>
    <Relationship TargetMode="External" Target="https://www.legis.iowa.gov/docs/iac/rule/641.41.2.pdf" Type="http://schemas.openxmlformats.org/officeDocument/2006/relationships/hyperlink" Id="rId123"/>
    <Relationship TargetMode="External" Target="https://www.legis.iowa.gov/docs/iac/rule/641.40.1.pdf" Type="http://schemas.openxmlformats.org/officeDocument/2006/relationships/hyperlink" Id="rId124"/>
    <Relationship TargetMode="External" Target="https://www.legis.iowa.gov/docs/iac/rule/641.41.2.pdf" Type="http://schemas.openxmlformats.org/officeDocument/2006/relationships/hyperlink" Id="rId125"/>
    <Relationship TargetMode="External" Target="https://www.legis.iowa.gov/docs/iac/rule/641.41.2.pdf" Type="http://schemas.openxmlformats.org/officeDocument/2006/relationships/hyperlink" Id="rId126"/>
    <Relationship TargetMode="External" Target="https://www.legis.iowa.gov/docs/iac/rule/641.41.2.pdf" Type="http://schemas.openxmlformats.org/officeDocument/2006/relationships/hyperlink" Id="rId127"/>
    <Relationship TargetMode="External" Target="https://www.legis.iowa.gov/docs/iac/rule/641.41.2.pdf" Type="http://schemas.openxmlformats.org/officeDocument/2006/relationships/hyperlink" Id="rId128"/>
    <Relationship TargetMode="External" Target="https://www.legis.iowa.gov/docs/iac/rule/641.40.10.pdf" Type="http://schemas.openxmlformats.org/officeDocument/2006/relationships/hyperlink" Id="rId129"/>
    <Relationship TargetMode="External" Target="https://www.legis.iowa.gov/docs/iac/rule/641.41.2.pdf" Type="http://schemas.openxmlformats.org/officeDocument/2006/relationships/hyperlink" Id="rId130"/>
    <Relationship TargetMode="External" Target="https://www.legis.iowa.gov/docs/iac/rule/641.41.2.pdf" Type="http://schemas.openxmlformats.org/officeDocument/2006/relationships/hyperlink" Id="rId131"/>
    <Relationship TargetMode="External" Target="https://www.legis.iowa.gov/docs/iac/rule/641.41.2.pdf" Type="http://schemas.openxmlformats.org/officeDocument/2006/relationships/hyperlink" Id="rId132"/>
    <Relationship TargetMode="External" Target="https://www.legis.iowa.gov/docs/iac/rule/641.41.2.pdf" Type="http://schemas.openxmlformats.org/officeDocument/2006/relationships/hyperlink" Id="rId133"/>
    <Relationship TargetMode="External" Target="https://www.legis.iowa.gov/docs/iac/rule/641.41.2.pdf" Type="http://schemas.openxmlformats.org/officeDocument/2006/relationships/hyperlink" Id="rId134"/>
    <Relationship TargetMode="External" Target="https://www.legis.iowa.gov/docs/iac/rule/641.41.2.pdf" Type="http://schemas.openxmlformats.org/officeDocument/2006/relationships/hyperlink" Id="rId135"/>
    <Relationship TargetMode="External" Target="https://www.legis.iowa.gov/docs/iac/rule/641.41.2.pdf" Type="http://schemas.openxmlformats.org/officeDocument/2006/relationships/hyperlink" Id="rId136"/>
    <Relationship TargetMode="External" Target="https://www.legis.iowa.gov/docs/iac/rule/641.40.80.pdf" Type="http://schemas.openxmlformats.org/officeDocument/2006/relationships/hyperlink" Id="rId137"/>
    <Relationship TargetMode="External" Target="https://www.legis.iowa.gov/docs/iac/rule/641.41.2.pdf" Type="http://schemas.openxmlformats.org/officeDocument/2006/relationships/hyperlink" Id="rId138"/>
    <Relationship TargetMode="External" Target="https://www.legis.iowa.gov/docs/iac/rule/641.40.111.pdf" Type="http://schemas.openxmlformats.org/officeDocument/2006/relationships/hyperlink" Id="rId139"/>
    <Relationship TargetMode="External" Target="https://www.legis.iowa.gov/docs/iac/chapter/641.42.pdf" Type="http://schemas.openxmlformats.org/officeDocument/2006/relationships/hyperlink" Id="rId140"/>
    <Relationship TargetMode="External" Target="https://www.legis.iowa.gov/docs/iac/rule/641.41.2.pdf" Type="http://schemas.openxmlformats.org/officeDocument/2006/relationships/hyperlink" Id="rId141"/>
    <Relationship TargetMode="External" Target="https://www.legis.iowa.gov/docs/iac/rule/641.41.2.pdf" Type="http://schemas.openxmlformats.org/officeDocument/2006/relationships/hyperlink" Id="rId142"/>
    <Relationship TargetMode="External" Target="https://www.legis.iowa.gov/docs/iac/rule/641.40.111.pdf" Type="http://schemas.openxmlformats.org/officeDocument/2006/relationships/hyperlink" Id="rId143"/>
    <Relationship TargetMode="External" Target="https://www.legis.iowa.gov/docs/iac/rule/641.41.2.pdf" Type="http://schemas.openxmlformats.org/officeDocument/2006/relationships/hyperlink" Id="rId144"/>
    <Relationship TargetMode="External" Target="https://www.legis.iowa.gov/docs/iac/rule/641.41.2.pdf" Type="http://schemas.openxmlformats.org/officeDocument/2006/relationships/hyperlink" Id="rId145"/>
    <Relationship TargetMode="External" Target="https://www.legis.iowa.gov/docs/iac/chapter/641.40.pdf" Type="http://schemas.openxmlformats.org/officeDocument/2006/relationships/hyperlink" Id="rId146"/>
    <Relationship TargetMode="External" Target="https://www.legis.iowa.gov/docs/iac/chapter/641.41.pdf" Type="http://schemas.openxmlformats.org/officeDocument/2006/relationships/hyperlink" Id="rId147"/>
    <Relationship TargetMode="External" Target="https://www.legis.iowa.gov/docs/iac/rule/641.38.2.pdf" Type="http://schemas.openxmlformats.org/officeDocument/2006/relationships/hyperlink" Id="rId148"/>
    <Relationship TargetMode="External" Target="https://www.legis.iowa.gov/docs/iac/rule/641.41.2.pdf" Type="http://schemas.openxmlformats.org/officeDocument/2006/relationships/hyperlink" Id="rId149"/>
    <Relationship TargetMode="External" Target="https://www.legis.iowa.gov/docs/iac/rule/641.41.2.pdf" Type="http://schemas.openxmlformats.org/officeDocument/2006/relationships/hyperlink" Id="rId150"/>
    <Relationship TargetMode="External" Target="https://www.legis.iowa.gov/docs/iac/rule/641.41.2.pdf" Type="http://schemas.openxmlformats.org/officeDocument/2006/relationships/hyperlink" Id="rId151"/>
    <Relationship TargetMode="External" Target="https://www.legis.iowa.gov/docs/iac/rule/641.41.2.pdf" Type="http://schemas.openxmlformats.org/officeDocument/2006/relationships/hyperlink" Id="rId152"/>
    <Relationship TargetMode="External" Target="https://www.legis.iowa.gov/docs/iac/rule/641.41.2.pdf" Type="http://schemas.openxmlformats.org/officeDocument/2006/relationships/hyperlink" Id="rId153"/>
    <Relationship TargetMode="External" Target="https://www.legis.iowa.gov/docs/iac/rule/641.41.2.pdf" Type="http://schemas.openxmlformats.org/officeDocument/2006/relationships/hyperlink" Id="rId154"/>
    <Relationship TargetMode="External" Target="https://www.legis.iowa.gov/docs/iac/rule/641.41.2.pdf" Type="http://schemas.openxmlformats.org/officeDocument/2006/relationships/hyperlink" Id="rId155"/>
    <Relationship TargetMode="External" Target="https://www.legis.iowa.gov/docs/iac/rule/641.41.2.pdf" Type="http://schemas.openxmlformats.org/officeDocument/2006/relationships/hyperlink" Id="rId156"/>
    <Relationship TargetMode="External" Target="https://www.legis.iowa.gov/docs/iac/rule/641.41.2.pdf" Type="http://schemas.openxmlformats.org/officeDocument/2006/relationships/hyperlink" Id="rId157"/>
    <Relationship TargetMode="External" Target="https://www.legis.iowa.gov/docs/iac/rule/641.41.2.pdf" Type="http://schemas.openxmlformats.org/officeDocument/2006/relationships/hyperlink" Id="rId158"/>
    <Relationship TargetMode="External" Target="https://www.legis.iowa.gov/docs/iac/rule/641.41.2.pdf" Type="http://schemas.openxmlformats.org/officeDocument/2006/relationships/hyperlink" Id="rId159"/>
    <Relationship TargetMode="External" Target="https://www.legis.iowa.gov/docs/iac/rule/641.41.2.pdf" Type="http://schemas.openxmlformats.org/officeDocument/2006/relationships/hyperlink" Id="rId160"/>
    <Relationship TargetMode="External" Target="https://www.legis.iowa.gov/docs/iac/rule/641.41.2.pdf" Type="http://schemas.openxmlformats.org/officeDocument/2006/relationships/hyperlink" Id="rId161"/>
    <Relationship TargetMode="External" Target="https://www.legis.iowa.gov/docs/iac/rule/641.41.2.pdf" Type="http://schemas.openxmlformats.org/officeDocument/2006/relationships/hyperlink" Id="rId162"/>
    <Relationship TargetMode="External" Target="https://www.legis.iowa.gov/docs/iac/rule/641.41.2.pdf" Type="http://schemas.openxmlformats.org/officeDocument/2006/relationships/hyperlink" Id="rId163"/>
    <Relationship TargetMode="External" Target="https://www.legis.iowa.gov/docs/iac/rule/641.41.2.pdf" Type="http://schemas.openxmlformats.org/officeDocument/2006/relationships/hyperlink" Id="rId164"/>
    <Relationship TargetMode="External" Target="https://www.legis.iowa.gov/docs/iac/rule/641.41.2.pdf" Type="http://schemas.openxmlformats.org/officeDocument/2006/relationships/hyperlink" Id="rId165"/>
    <Relationship TargetMode="External" Target="https://www.legis.iowa.gov/docs/iac/rule/641.39.4.pdf" Type="http://schemas.openxmlformats.org/officeDocument/2006/relationships/hyperlink" Id="rId166"/>
    <Relationship TargetMode="External" Target="https://www.legis.iowa.gov/docs/iac/rule/641.41.2.pdf" Type="http://schemas.openxmlformats.org/officeDocument/2006/relationships/hyperlink" Id="rId167"/>
    <Relationship TargetMode="External" Target="https://www.legis.iowa.gov/docs/iac/rule/641.41.2.pdf" Type="http://schemas.openxmlformats.org/officeDocument/2006/relationships/hyperlink" Id="rId168"/>
    <Relationship TargetMode="External" Target="https://www.legis.iowa.gov/docs/iac/chapter/641.39.pdf" Type="http://schemas.openxmlformats.org/officeDocument/2006/relationships/hyperlink" Id="rId169"/>
    <Relationship TargetMode="External" Target="https://www.legis.iowa.gov/docs/iac/rule/641.41.2.pdf" Type="http://schemas.openxmlformats.org/officeDocument/2006/relationships/hyperlink" Id="rId170"/>
    <Relationship TargetMode="External" Target="https://www.legis.iowa.gov/docs/iac/rule/641.41.2.pdf" Type="http://schemas.openxmlformats.org/officeDocument/2006/relationships/hyperlink" Id="rId171"/>
    <Relationship TargetMode="External" Target="https://www.legis.iowa.gov/docs/iac/rule/641.41.2.pdf" Type="http://schemas.openxmlformats.org/officeDocument/2006/relationships/hyperlink" Id="rId172"/>
    <Relationship TargetMode="External" Target="https://www.legis.iowa.gov/docs/iac/rule/641.41.2.pdf" Type="http://schemas.openxmlformats.org/officeDocument/2006/relationships/hyperlink" Id="rId173"/>
    <Relationship TargetMode="External" Target="https://www.legis.iowa.gov/docs/iac/rule/641.41.2.pdf" Type="http://schemas.openxmlformats.org/officeDocument/2006/relationships/hyperlink" Id="rId174"/>
    <Relationship TargetMode="External" Target="https://www.legis.iowa.gov/docs/iac/rule/641.41.2.pdf" Type="http://schemas.openxmlformats.org/officeDocument/2006/relationships/hyperlink" Id="rId175"/>
    <Relationship TargetMode="External" Target="https://www.legis.iowa.gov/docs/iac/rule/641.41.2.pdf" Type="http://schemas.openxmlformats.org/officeDocument/2006/relationships/hyperlink" Id="rId176"/>
    <Relationship TargetMode="External" Target="https://www.legis.iowa.gov/docs/iac/rule/641.41.2.pdf" Type="http://schemas.openxmlformats.org/officeDocument/2006/relationships/hyperlink" Id="rId177"/>
    <Relationship TargetMode="External" Target="https://www.legis.iowa.gov/docs/iac/rule/641.41.2.pdf" Type="http://schemas.openxmlformats.org/officeDocument/2006/relationships/hyperlink" Id="rId178"/>
    <Relationship TargetMode="External" Target="https://www.legis.iowa.gov/docs/iac/rule/641.41.2.pdf" Type="http://schemas.openxmlformats.org/officeDocument/2006/relationships/hyperlink" Id="rId179"/>
    <Relationship TargetMode="External" Target="https://www.legis.iowa.gov/docs/iac/rule/641.41.2.pdf" Type="http://schemas.openxmlformats.org/officeDocument/2006/relationships/hyperlink" Id="rId180"/>
    <Relationship TargetMode="External" Target="https://www.legis.iowa.gov/docs/iac/rule/641.41.2.pdf" Type="http://schemas.openxmlformats.org/officeDocument/2006/relationships/hyperlink" Id="rId181"/>
    <Relationship TargetMode="External" Target="https://www.legis.iowa.gov/docs/iac/rule/641.41.2.pdf" Type="http://schemas.openxmlformats.org/officeDocument/2006/relationships/hyperlink" Id="rId182"/>
    <Relationship TargetMode="External" Target="https://www.legis.iowa.gov/docs/iac/rule/641.41.2.pdf" Type="http://schemas.openxmlformats.org/officeDocument/2006/relationships/hyperlink" Id="rId183"/>
    <Relationship TargetMode="External" Target="https://www.legis.iowa.gov/docs/iac/rule/641.41.2.pdf" Type="http://schemas.openxmlformats.org/officeDocument/2006/relationships/hyperlink" Id="rId184"/>
    <Relationship TargetMode="External" Target="https://www.legis.iowa.gov/docs/iac/rule/641.41.2.pdf" Type="http://schemas.openxmlformats.org/officeDocument/2006/relationships/hyperlink" Id="rId185"/>
    <Relationship TargetMode="External" Target="https://www.legis.iowa.gov/docs/iac/rule/641.41.2.pdf" Type="http://schemas.openxmlformats.org/officeDocument/2006/relationships/hyperlink" Id="rId186"/>
    <Relationship TargetMode="External" Target="https://www.legis.iowa.gov/docs/iac/rule/641.39.4.pdf" Type="http://schemas.openxmlformats.org/officeDocument/2006/relationships/hyperlink" Id="rId187"/>
    <Relationship TargetMode="External" Target="https://www.legis.iowa.gov/docs/iac/rule/641.39.4.pdf" Type="http://schemas.openxmlformats.org/officeDocument/2006/relationships/hyperlink" Id="rId188"/>
    <Relationship TargetMode="External" Target="https://www.legis.iowa.gov/docs/iac/rule/641.41.2.pdf" Type="http://schemas.openxmlformats.org/officeDocument/2006/relationships/hyperlink" Id="rId189"/>
    <Relationship TargetMode="External" Target="https://www.legis.iowa.gov/docs/iac/rule/641.41.2.pdf" Type="http://schemas.openxmlformats.org/officeDocument/2006/relationships/hyperlink" Id="rId190"/>
    <Relationship TargetMode="External" Target="https://www.legis.iowa.gov/docs/iac/rule/641.41.2.pdf" Type="http://schemas.openxmlformats.org/officeDocument/2006/relationships/hyperlink" Id="rId191"/>
    <Relationship TargetMode="External" Target="https://www.legis.iowa.gov/docs/iac/rule/641.41.2.pdf" Type="http://schemas.openxmlformats.org/officeDocument/2006/relationships/hyperlink" Id="rId192"/>
    <Relationship TargetMode="External" Target="https://www.legis.iowa.gov/docs/iac/rule/641.41.2.pdf" Type="http://schemas.openxmlformats.org/officeDocument/2006/relationships/hyperlink" Id="rId193"/>
    <Relationship TargetMode="External" Target="https://www.legis.iowa.gov/docs/iac/rule/641.41.2.pdf" Type="http://schemas.openxmlformats.org/officeDocument/2006/relationships/hyperlink" Id="rId194"/>
    <Relationship TargetMode="External" Target="https://www.legis.iowa.gov/docs/iac/rule/641.39.4.pdf" Type="http://schemas.openxmlformats.org/officeDocument/2006/relationships/hyperlink" Id="rId195"/>
    <Relationship TargetMode="External" Target="https://www.legis.iowa.gov/docs/iac/rule/641.39.4.pdf" Type="http://schemas.openxmlformats.org/officeDocument/2006/relationships/hyperlink" Id="rId196"/>
    <Relationship TargetMode="External" Target="https://www.legis.iowa.gov/docs/iac/rule/641.41.2.pdf" Type="http://schemas.openxmlformats.org/officeDocument/2006/relationships/hyperlink" Id="rId197"/>
    <Relationship TargetMode="External" Target="https://www.legis.iowa.gov/docs/iac/rule/641.41.2.pdf" Type="http://schemas.openxmlformats.org/officeDocument/2006/relationships/hyperlink" Id="rId198"/>
    <Relationship TargetMode="External" Target="https://www.legis.iowa.gov/docs/iac/rule/641.41.2.pdf" Type="http://schemas.openxmlformats.org/officeDocument/2006/relationships/hyperlink" Id="rId199"/>
    <Relationship TargetMode="External" Target="https://www.legis.iowa.gov/docs/iac/rule/641.41.2.pdf" Type="http://schemas.openxmlformats.org/officeDocument/2006/relationships/hyperlink" Id="rId200"/>
    <Relationship TargetMode="External" Target="https://www.legis.iowa.gov/docs/iac/rule/641.41.2.pdf" Type="http://schemas.openxmlformats.org/officeDocument/2006/relationships/hyperlink" Id="rId201"/>
    <Relationship TargetMode="External" Target="https://www.legis.iowa.gov/docs/iac/rule/641.40.15.pdf" Type="http://schemas.openxmlformats.org/officeDocument/2006/relationships/hyperlink" Id="rId202"/>
    <Relationship TargetMode="External" Target="https://www.legis.iowa.gov/docs/iac/rule/641.40.26.pdf" Type="http://schemas.openxmlformats.org/officeDocument/2006/relationships/hyperlink" Id="rId203"/>
    <Relationship TargetMode="External" Target="https://www.legis.iowa.gov/docs/iac/chapter/641.40.pdf" Type="http://schemas.openxmlformats.org/officeDocument/2006/relationships/hyperlink" Id="rId204"/>
    <Relationship TargetMode="External" Target="https://www.legis.iowa.gov/docs/iac/rule/641.41.2.pdf" Type="http://schemas.openxmlformats.org/officeDocument/2006/relationships/hyperlink" Id="rId205"/>
    <Relationship TargetMode="External" Target="https://www.legis.iowa.gov/docs/iac/rule/641.41.2.pdf" Type="http://schemas.openxmlformats.org/officeDocument/2006/relationships/hyperlink" Id="rId206"/>
    <Relationship TargetMode="External" Target="https://www.legis.iowa.gov/docs/iac/rule/641.39.4.pdf" Type="http://schemas.openxmlformats.org/officeDocument/2006/relationships/hyperlink" Id="rId207"/>
    <Relationship TargetMode="External" Target="https://www.legis.iowa.gov/docs/iac/rule/641.39.4.pdf" Type="http://schemas.openxmlformats.org/officeDocument/2006/relationships/hyperlink" Id="rId208"/>
    <Relationship TargetMode="External" Target="https://www.legis.iowa.gov/docs/iac/rule/641.41.2.pdf" Type="http://schemas.openxmlformats.org/officeDocument/2006/relationships/hyperlink" Id="rId209"/>
    <Relationship TargetMode="External" Target="https://www.legis.iowa.gov/docs/iac/rule/641.41.2.pdf" Type="http://schemas.openxmlformats.org/officeDocument/2006/relationships/hyperlink" Id="rId210"/>
    <Relationship TargetMode="External" Target="https://www.legis.iowa.gov/docs/iac/rule/641.41.2.pdf" Type="http://schemas.openxmlformats.org/officeDocument/2006/relationships/hyperlink" Id="rId211"/>
    <Relationship TargetMode="External" Target="https://www.legis.iowa.gov/docs/iac/rule/641.41.2.pdf" Type="http://schemas.openxmlformats.org/officeDocument/2006/relationships/hyperlink" Id="rId212"/>
    <Relationship TargetMode="External" Target="https://www.legis.iowa.gov/docs/iac/rule/641.41.2.pdf" Type="http://schemas.openxmlformats.org/officeDocument/2006/relationships/hyperlink" Id="rId213"/>
    <Relationship TargetMode="External" Target="https://www.legis.iowa.gov/docs/iac/rule/641.41.2.pdf" Type="http://schemas.openxmlformats.org/officeDocument/2006/relationships/hyperlink" Id="rId214"/>
    <Relationship TargetMode="External" Target="https://www.legis.iowa.gov/docs/iac/rule/641.41.2.pdf" Type="http://schemas.openxmlformats.org/officeDocument/2006/relationships/hyperlink" Id="rId215"/>
    <Relationship TargetMode="External" Target="https://www.legis.iowa.gov/docs/iac/rule/641.40.110.pdf" Type="http://schemas.openxmlformats.org/officeDocument/2006/relationships/hyperlink" Id="rId216"/>
    <Relationship TargetMode="External" Target="https://www.legis.iowa.gov/docs/iac/rule/641.40.116.pdf" Type="http://schemas.openxmlformats.org/officeDocument/2006/relationships/hyperlink" Id="rId217"/>
    <Relationship TargetMode="External" Target="https://www.legis.iowa.gov/docs/iac/rule/641.41.2.pdf" Type="http://schemas.openxmlformats.org/officeDocument/2006/relationships/hyperlink" Id="rId218"/>
    <Relationship TargetMode="External" Target="https://www.legis.iowa.gov/docs/iac/rule/641.41.2.pdf" Type="http://schemas.openxmlformats.org/officeDocument/2006/relationships/hyperlink" Id="rId219"/>
    <Relationship TargetMode="External" Target="https://www.legis.iowa.gov/docs/iac/rule/641.40.26.pdf" Type="http://schemas.openxmlformats.org/officeDocument/2006/relationships/hyperlink" Id="rId220"/>
    <Relationship TargetMode="External" Target="https://www.legis.iowa.gov/docs/iac/rule/641.41.2.pdf" Type="http://schemas.openxmlformats.org/officeDocument/2006/relationships/hyperlink" Id="rId221"/>
    <Relationship TargetMode="External" Target="https://www.legis.iowa.gov/docs/iac/rule/641.41.2.pdf" Type="http://schemas.openxmlformats.org/officeDocument/2006/relationships/hyperlink" Id="rId222"/>
    <Relationship TargetMode="External" Target="https://www.legis.iowa.gov/docs/iac/rule/641.40.26.pdf" Type="http://schemas.openxmlformats.org/officeDocument/2006/relationships/hyperlink" Id="rId223"/>
    <Relationship TargetMode="External" Target="https://www.legis.iowa.gov/docs/iac/rule/641.40.26.pdf" Type="http://schemas.openxmlformats.org/officeDocument/2006/relationships/hyperlink" Id="rId224"/>
    <Relationship TargetMode="External" Target="https://www.legis.iowa.gov/docs/iac/rule/641.40.110.pdf" Type="http://schemas.openxmlformats.org/officeDocument/2006/relationships/hyperlink" Id="rId225"/>
    <Relationship TargetMode="External" Target="https://www.legis.iowa.gov/docs/iac/rule/641.40.116.pdf" Type="http://schemas.openxmlformats.org/officeDocument/2006/relationships/hyperlink" Id="rId226"/>
    <Relationship TargetMode="External" Target="https://www.legis.iowa.gov/docs/iac/rule/641.40.26.pdf" Type="http://schemas.openxmlformats.org/officeDocument/2006/relationships/hyperlink" Id="rId227"/>
    <Relationship TargetMode="External" Target="https://www.legis.iowa.gov/docs/iac/rule/641.40.26.pdf" Type="http://schemas.openxmlformats.org/officeDocument/2006/relationships/hyperlink" Id="rId228"/>
    <Relationship TargetMode="External" Target="https://www.legis.iowa.gov/docs/iac/rule/641.41.2.pdf" Type="http://schemas.openxmlformats.org/officeDocument/2006/relationships/hyperlink" Id="rId229"/>
    <Relationship TargetMode="External" Target="https://www.legis.iowa.gov/docs/iac/rule/641.41.2.pdf" Type="http://schemas.openxmlformats.org/officeDocument/2006/relationships/hyperlink" Id="rId230"/>
    <Relationship TargetMode="External" Target="https://www.legis.iowa.gov/docs/iac/rule/641.41.2.pdf" Type="http://schemas.openxmlformats.org/officeDocument/2006/relationships/hyperlink" Id="rId231"/>
    <Relationship TargetMode="External" Target="https://www.legis.iowa.gov/docs/iac/rule/641.41.2.pdf" Type="http://schemas.openxmlformats.org/officeDocument/2006/relationships/hyperlink" Id="rId232"/>
    <Relationship TargetMode="External" Target="https://www.legis.iowa.gov/docs/iac/rule/641.41.2.pdf" Type="http://schemas.openxmlformats.org/officeDocument/2006/relationships/hyperlink" Id="rId233"/>
    <Relationship TargetMode="External" Target="https://www.legis.iowa.gov/docs/iac/rule/641.41.2.pdf" Type="http://schemas.openxmlformats.org/officeDocument/2006/relationships/hyperlink" Id="rId234"/>
    <Relationship TargetMode="External" Target="https://www.legis.iowa.gov/docs/iac/rule/641.41.2.pdf" Type="http://schemas.openxmlformats.org/officeDocument/2006/relationships/hyperlink" Id="rId235"/>
    <Relationship TargetMode="External" Target="https://www.legis.iowa.gov/docs/iac/rule/641.41.2.pdf" Type="http://schemas.openxmlformats.org/officeDocument/2006/relationships/hyperlink" Id="rId236"/>
    <Relationship TargetMode="External" Target="https://www.legis.iowa.gov/docs/iac/rule/641.41.2.pdf" Type="http://schemas.openxmlformats.org/officeDocument/2006/relationships/hyperlink" Id="rId237"/>
    <Relationship TargetMode="External" Target="https://www.legis.iowa.gov/docs/iac/rule/641.41.2.pdf" Type="http://schemas.openxmlformats.org/officeDocument/2006/relationships/hyperlink" Id="rId238"/>
    <Relationship TargetMode="External" Target="https://www.legis.iowa.gov/docs/iac/rule/641.41.2.pdf" Type="http://schemas.openxmlformats.org/officeDocument/2006/relationships/hyperlink" Id="rId239"/>
    <Relationship TargetMode="External" Target="https://www.legis.iowa.gov/docs/iac/rule/641.41.2.pdf" Type="http://schemas.openxmlformats.org/officeDocument/2006/relationships/hyperlink" Id="rId240"/>
    <Relationship TargetMode="External" Target="https://www.legis.iowa.gov/docs/iac/rule/641.41.2.pdf" Type="http://schemas.openxmlformats.org/officeDocument/2006/relationships/hyperlink" Id="rId241"/>
    <Relationship TargetMode="External" Target="https://www.legis.iowa.gov/docs/iac/rule/641.41.2.pdf" Type="http://schemas.openxmlformats.org/officeDocument/2006/relationships/hyperlink" Id="rId242"/>
    <Relationship TargetMode="External" Target="https://www.legis.iowa.gov/docs/iac/rule/641.41.2.pdf" Type="http://schemas.openxmlformats.org/officeDocument/2006/relationships/hyperlink" Id="rId243"/>
    <Relationship TargetMode="External" Target="https://www.legis.iowa.gov/docs/iac/rule/641.41.2.pdf" Type="http://schemas.openxmlformats.org/officeDocument/2006/relationships/hyperlink" Id="rId244"/>
    <Relationship TargetMode="External" Target="https://www.legis.iowa.gov/docs/iac/rule/641.41.2.pdf" Type="http://schemas.openxmlformats.org/officeDocument/2006/relationships/hyperlink" Id="rId245"/>
    <Relationship TargetMode="External" Target="https://www.legis.iowa.gov/docs/iac/rule/641.41.2.pdf" Type="http://schemas.openxmlformats.org/officeDocument/2006/relationships/hyperlink" Id="rId246"/>
    <Relationship TargetMode="External" Target="https://www.legis.iowa.gov/docs/iac/rule/641.41.2.pdf" Type="http://schemas.openxmlformats.org/officeDocument/2006/relationships/hyperlink" Id="rId247"/>
    <Relationship TargetMode="External" Target="https://www.legis.iowa.gov/docs/iac/rule/641.41.2.pdf" Type="http://schemas.openxmlformats.org/officeDocument/2006/relationships/hyperlink" Id="rId248"/>
    <Relationship TargetMode="External" Target="https://www.legis.iowa.gov/docs/iac/rule/641.41.2.pdf" Type="http://schemas.openxmlformats.org/officeDocument/2006/relationships/hyperlink" Id="rId249"/>
    <Relationship TargetMode="External" Target="https://www.legis.iowa.gov/docs/iac/rule/641.41.2.pdf" Type="http://schemas.openxmlformats.org/officeDocument/2006/relationships/hyperlink" Id="rId250"/>
    <Relationship TargetMode="External" Target="https://www.legis.iowa.gov/docs/iac/rule/641.41.2.pdf" Type="http://schemas.openxmlformats.org/officeDocument/2006/relationships/hyperlink" Id="rId251"/>
    <Relationship TargetMode="External" Target="https://www.legis.iowa.gov/docs/iac/rule/641.41.2.pdf" Type="http://schemas.openxmlformats.org/officeDocument/2006/relationships/hyperlink" Id="rId252"/>
    <Relationship TargetMode="External" Target="https://www.legis.iowa.gov/docs/iac/rule/641.41.2.pdf" Type="http://schemas.openxmlformats.org/officeDocument/2006/relationships/hyperlink" Id="rId253"/>
    <Relationship TargetMode="External" Target="https://www.legis.iowa.gov/docs/iac/rule/641.41.2.pdf" Type="http://schemas.openxmlformats.org/officeDocument/2006/relationships/hyperlink" Id="rId254"/>
    <Relationship TargetMode="External" Target="https://www.legis.iowa.gov/docs/iac/rule/641.41.2.pdf" Type="http://schemas.openxmlformats.org/officeDocument/2006/relationships/hyperlink" Id="rId255"/>
    <Relationship TargetMode="External" Target="https://www.legis.iowa.gov/docs/iac/rule/641.41.2.pdf" Type="http://schemas.openxmlformats.org/officeDocument/2006/relationships/hyperlink" Id="rId256"/>
    <Relationship TargetMode="External" Target="https://www.legis.iowa.gov/docs/iac/rule/641.41.2.pdf" Type="http://schemas.openxmlformats.org/officeDocument/2006/relationships/hyperlink" Id="rId257"/>
    <Relationship TargetMode="External" Target="https://www.legis.iowa.gov/docs/iac/rule/641.41.2.pdf" Type="http://schemas.openxmlformats.org/officeDocument/2006/relationships/hyperlink" Id="rId258"/>
    <Relationship TargetMode="External" Target="https://www.legis.iowa.gov/docs/iac/rule/641.41.2.pdf" Type="http://schemas.openxmlformats.org/officeDocument/2006/relationships/hyperlink" Id="rId259"/>
    <Relationship TargetMode="External" Target="https://www.legis.iowa.gov/docs/iac/rule/641.41.2.pdf" Type="http://schemas.openxmlformats.org/officeDocument/2006/relationships/hyperlink" Id="rId260"/>
    <Relationship TargetMode="External" Target="https://www.legis.iowa.gov/docs/iac/rule/641.41.2.pdf" Type="http://schemas.openxmlformats.org/officeDocument/2006/relationships/hyperlink" Id="rId261"/>
    <Relationship TargetMode="External" Target="https://www.legis.iowa.gov/docs/iac/rule/641.41.2.pdf" Type="http://schemas.openxmlformats.org/officeDocument/2006/relationships/hyperlink" Id="rId262"/>
    <Relationship TargetMode="External" Target="https://www.legis.iowa.gov/docs/iac/rule/641.41.2.pdf" Type="http://schemas.openxmlformats.org/officeDocument/2006/relationships/hyperlink" Id="rId263"/>
    <Relationship TargetMode="External" Target="https://www.legis.iowa.gov/docs/iac/rule/641.41.2.pdf" Type="http://schemas.openxmlformats.org/officeDocument/2006/relationships/hyperlink" Id="rId264"/>
    <Relationship TargetMode="External" Target="https://www.legis.iowa.gov/docs/iac/rule/641.41.2.pdf" Type="http://schemas.openxmlformats.org/officeDocument/2006/relationships/hyperlink" Id="rId265"/>
    <Relationship TargetMode="External" Target="https://www.legis.iowa.gov/docs/iac/rule/641.41.2.pdf" Type="http://schemas.openxmlformats.org/officeDocument/2006/relationships/hyperlink" Id="rId266"/>
    <Relationship TargetMode="External" Target="https://www.legis.iowa.gov/docs/iac/rule/641.41.2.pdf" Type="http://schemas.openxmlformats.org/officeDocument/2006/relationships/hyperlink" Id="rId267"/>
    <Relationship TargetMode="External" Target="https://www.legis.iowa.gov/docs/iac/rule/641.41.2.pdf" Type="http://schemas.openxmlformats.org/officeDocument/2006/relationships/hyperlink" Id="rId268"/>
    <Relationship TargetMode="External" Target="https://www.legis.iowa.gov/docs/iac/rule/641.41.2.pdf" Type="http://schemas.openxmlformats.org/officeDocument/2006/relationships/hyperlink" Id="rId269"/>
    <Relationship TargetMode="External" Target="https://www.legis.iowa.gov/docs/iac/rule/641.41.2.pdf" Type="http://schemas.openxmlformats.org/officeDocument/2006/relationships/hyperlink" Id="rId270"/>
    <Relationship TargetMode="External" Target="https://www.legis.iowa.gov/docs/iac/rule/641.41.2.pdf" Type="http://schemas.openxmlformats.org/officeDocument/2006/relationships/hyperlink" Id="rId271"/>
    <Relationship TargetMode="External" Target="https://www.legis.iowa.gov/docs/iac/rule/641.41.2.pdf" Type="http://schemas.openxmlformats.org/officeDocument/2006/relationships/hyperlink" Id="rId272"/>
    <Relationship TargetMode="External" Target="https://www.legis.iowa.gov/docs/iac/rule/641.41.2.pdf" Type="http://schemas.openxmlformats.org/officeDocument/2006/relationships/hyperlink" Id="rId273"/>
    <Relationship TargetMode="External" Target="https://www.legis.iowa.gov/docs/iac/rule/641.41.2.pdf" Type="http://schemas.openxmlformats.org/officeDocument/2006/relationships/hyperlink" Id="rId274"/>
    <Relationship TargetMode="External" Target="https://www.legis.iowa.gov/docs/iac/rule/641.41.2.pdf" Type="http://schemas.openxmlformats.org/officeDocument/2006/relationships/hyperlink" Id="rId275"/>
    <Relationship TargetMode="External" Target="https://www.legis.iowa.gov/docs/iac/rule/641.41.2.pdf" Type="http://schemas.openxmlformats.org/officeDocument/2006/relationships/hyperlink" Id="rId276"/>
    <Relationship TargetMode="External" Target="https://www.legis.iowa.gov/docs/iac/rule/641.41.2.pdf" Type="http://schemas.openxmlformats.org/officeDocument/2006/relationships/hyperlink" Id="rId277"/>
    <Relationship TargetMode="External" Target="https://www.legis.iowa.gov/docs/iac/rule/641.41.2.pdf" Type="http://schemas.openxmlformats.org/officeDocument/2006/relationships/hyperlink" Id="rId278"/>
    <Relationship TargetMode="External" Target="https://www.legis.iowa.gov/docs/iac/rule/641.41.2.pdf" Type="http://schemas.openxmlformats.org/officeDocument/2006/relationships/hyperlink" Id="rId279"/>
    <Relationship TargetMode="External" Target="https://www.legis.iowa.gov/docs/iac/rule/641.41.2.pdf" Type="http://schemas.openxmlformats.org/officeDocument/2006/relationships/hyperlink" Id="rId280"/>
    <Relationship TargetMode="External" Target="https://www.legis.iowa.gov/docs/iac/rule/641.41.2.pdf" Type="http://schemas.openxmlformats.org/officeDocument/2006/relationships/hyperlink" Id="rId281"/>
    <Relationship TargetMode="External" Target="https://www.legis.iowa.gov/docs/iac/rule/641.41.2.pdf" Type="http://schemas.openxmlformats.org/officeDocument/2006/relationships/hyperlink" Id="rId282"/>
    <Relationship TargetMode="External" Target="https://www.legis.iowa.gov/docs/iac/rule/641.41.2.pdf" Type="http://schemas.openxmlformats.org/officeDocument/2006/relationships/hyperlink" Id="rId283"/>
    <Relationship TargetMode="External" Target="https://www.legis.iowa.gov/docs/iac/rule/641.41.2.pdf" Type="http://schemas.openxmlformats.org/officeDocument/2006/relationships/hyperlink" Id="rId284"/>
    <Relationship TargetMode="External" Target="https://www.legis.iowa.gov/docs/iac/rule/641.40.36.pdf" Type="http://schemas.openxmlformats.org/officeDocument/2006/relationships/hyperlink" Id="rId285"/>
    <Relationship TargetMode="External" Target="https://www.legis.iowa.gov/docs/iac/rule/641.41.2.pdf" Type="http://schemas.openxmlformats.org/officeDocument/2006/relationships/hyperlink" Id="rId286"/>
    <Relationship TargetMode="External" Target="https://www.legis.iowa.gov/docs/iac/rule/641.41.2.pdf" Type="http://schemas.openxmlformats.org/officeDocument/2006/relationships/hyperlink" Id="rId287"/>
    <Relationship TargetMode="External" Target="https://www.legis.iowa.gov/docs/iac/rule/641.41.2.pdf" Type="http://schemas.openxmlformats.org/officeDocument/2006/relationships/hyperlink" Id="rId288"/>
    <Relationship TargetMode="External" Target="https://www.legis.iowa.gov/docs/iac/rule/641.41.2.pdf" Type="http://schemas.openxmlformats.org/officeDocument/2006/relationships/hyperlink" Id="rId289"/>
    <Relationship TargetMode="External" Target="https://www.legis.iowa.gov/docs/iac/rule/641.41.2.pdf" Type="http://schemas.openxmlformats.org/officeDocument/2006/relationships/hyperlink" Id="rId290"/>
    <Relationship TargetMode="External" Target="https://www.legis.iowa.gov/docs/iac/rule/641.41.2.pdf" Type="http://schemas.openxmlformats.org/officeDocument/2006/relationships/hyperlink" Id="rId291"/>
    <Relationship TargetMode="External" Target="https://www.legis.iowa.gov/docs/iac/rule/641.41.2.pdf" Type="http://schemas.openxmlformats.org/officeDocument/2006/relationships/hyperlink" Id="rId292"/>
    <Relationship TargetMode="External" Target="https://www.legis.iowa.gov/docs/iac/rule/641.40.26.pdf" Type="http://schemas.openxmlformats.org/officeDocument/2006/relationships/hyperlink" Id="rId293"/>
    <Relationship TargetMode="External" Target="https://www.legis.iowa.gov/docs/iac/rule/641.40.26.pdf" Type="http://schemas.openxmlformats.org/officeDocument/2006/relationships/hyperlink" Id="rId294"/>
    <Relationship TargetMode="External" Target="https://www.legis.iowa.gov/docs/iac/rule/641.41.2.pdf" Type="http://schemas.openxmlformats.org/officeDocument/2006/relationships/hyperlink" Id="rId295"/>
    <Relationship TargetMode="External" Target="https://www.legis.iowa.gov/docs/iac/rule/641.41.2.pdf" Type="http://schemas.openxmlformats.org/officeDocument/2006/relationships/hyperlink" Id="rId296"/>
    <Relationship TargetMode="External" Target="https://www.legis.iowa.gov/docs/iac/rule/641.41.2.pdf" Type="http://schemas.openxmlformats.org/officeDocument/2006/relationships/hyperlink" Id="rId297"/>
    <Relationship TargetMode="External" Target="https://www.legis.iowa.gov/docs/iac/rule/641.40.26.pdf" Type="http://schemas.openxmlformats.org/officeDocument/2006/relationships/hyperlink" Id="rId298"/>
    <Relationship TargetMode="External" Target="https://www.legis.iowa.gov/docs/iac/rule/641.40.26.pdf" Type="http://schemas.openxmlformats.org/officeDocument/2006/relationships/hyperlink" Id="rId299"/>
    <Relationship TargetMode="External" Target="https://www.legis.iowa.gov/docs/iac/rule/641.41.2.pdf" Type="http://schemas.openxmlformats.org/officeDocument/2006/relationships/hyperlink" Id="rId300"/>
    <Relationship TargetMode="External" Target="https://www.legis.iowa.gov/docs/iac/rule/641.41.2.pdf" Type="http://schemas.openxmlformats.org/officeDocument/2006/relationships/hyperlink" Id="rId301"/>
    <Relationship TargetMode="External" Target="https://www.legis.iowa.gov/docs/iac/rule/641.41.2.pdf" Type="http://schemas.openxmlformats.org/officeDocument/2006/relationships/hyperlink" Id="rId302"/>
    <Relationship TargetMode="External" Target="https://www.legis.iowa.gov/docs/iac/rule/641.41.2.pdf" Type="http://schemas.openxmlformats.org/officeDocument/2006/relationships/hyperlink" Id="rId303"/>
    <Relationship TargetMode="External" Target="https://www.legis.iowa.gov/docs/iac/rule/641.41.2.pdf" Type="http://schemas.openxmlformats.org/officeDocument/2006/relationships/hyperlink" Id="rId304"/>
    <Relationship TargetMode="External" Target="https://www.legis.iowa.gov/docs/iac/rule/641.41.2.pdf" Type="http://schemas.openxmlformats.org/officeDocument/2006/relationships/hyperlink" Id="rId305"/>
    <Relationship TargetMode="External" Target="https://www.legis.iowa.gov/docs/iac/rule/641.41.2.pdf" Type="http://schemas.openxmlformats.org/officeDocument/2006/relationships/hyperlink" Id="rId306"/>
    <Relationship TargetMode="External" Target="https://www.legis.iowa.gov/docs/iac/rule/641.41.2.pdf" Type="http://schemas.openxmlformats.org/officeDocument/2006/relationships/hyperlink" Id="rId307"/>
    <Relationship TargetMode="External" Target="https://www.legis.iowa.gov/docs/iac/rule/641.41.2.pdf" Type="http://schemas.openxmlformats.org/officeDocument/2006/relationships/hyperlink" Id="rId308"/>
    <Relationship TargetMode="External" Target="https://www.legis.iowa.gov/docs/iac/rule/641.41.2.pdf" Type="http://schemas.openxmlformats.org/officeDocument/2006/relationships/hyperlink" Id="rId309"/>
    <Relationship TargetMode="External" Target="https://www.legis.iowa.gov/docs/iac/rule/641.41.2.pdf" Type="http://schemas.openxmlformats.org/officeDocument/2006/relationships/hyperlink" Id="rId310"/>
    <Relationship TargetMode="External" Target="https://www.legis.iowa.gov/docs/iac/rule/641.41.2.pdf" Type="http://schemas.openxmlformats.org/officeDocument/2006/relationships/hyperlink" Id="rId311"/>
    <Relationship TargetMode="External" Target="https://www.legis.iowa.gov/docs/iac/rule/641.41.2.pdf" Type="http://schemas.openxmlformats.org/officeDocument/2006/relationships/hyperlink" Id="rId312"/>
    <Relationship TargetMode="External" Target="https://www.legis.iowa.gov/docs/iac/rule/641.41.2.pdf" Type="http://schemas.openxmlformats.org/officeDocument/2006/relationships/hyperlink" Id="rId313"/>
    <Relationship TargetMode="External" Target="https://www.legis.iowa.gov/docs/iac/rule/641.41.2.pdf" Type="http://schemas.openxmlformats.org/officeDocument/2006/relationships/hyperlink" Id="rId314"/>
    <Relationship TargetMode="External" Target="https://www.legis.iowa.gov/docs/iac/rule/641.41.2.pdf" Type="http://schemas.openxmlformats.org/officeDocument/2006/relationships/hyperlink" Id="rId315"/>
    <Relationship TargetMode="External" Target="https://www.legis.iowa.gov/docs/iac/rule/641.41.2.pdf" Type="http://schemas.openxmlformats.org/officeDocument/2006/relationships/hyperlink" Id="rId316"/>
    <Relationship TargetMode="External" Target="https://www.legis.iowa.gov/docs/iac/rule/641.41.2.pdf" Type="http://schemas.openxmlformats.org/officeDocument/2006/relationships/hyperlink" Id="rId317"/>
    <Relationship TargetMode="External" Target="https://www.legis.iowa.gov/docs/iac/rule/641.41.2.pdf" Type="http://schemas.openxmlformats.org/officeDocument/2006/relationships/hyperlink" Id="rId318"/>
    <Relationship TargetMode="External" Target="https://www.legis.iowa.gov/docs/iac/rule/641.41.2.pdf" Type="http://schemas.openxmlformats.org/officeDocument/2006/relationships/hyperlink" Id="rId319"/>
    <Relationship TargetMode="External" Target="https://www.legis.iowa.gov/docs/iac/rule/641.41.2.pdf" Type="http://schemas.openxmlformats.org/officeDocument/2006/relationships/hyperlink" Id="rId320"/>
    <Relationship TargetMode="External" Target="https://www.legis.iowa.gov/docs/iac/rule/641.41.2.pdf" Type="http://schemas.openxmlformats.org/officeDocument/2006/relationships/hyperlink" Id="rId321"/>
    <Relationship TargetMode="External" Target="https://www.legis.iowa.gov/docs/iac/rule/641.41.2.pdf" Type="http://schemas.openxmlformats.org/officeDocument/2006/relationships/hyperlink" Id="rId322"/>
    <Relationship TargetMode="External" Target="https://www.legis.iowa.gov/docs/iac/rule/641.41.2.pdf" Type="http://schemas.openxmlformats.org/officeDocument/2006/relationships/hyperlink" Id="rId323"/>
    <Relationship TargetMode="External" Target="https://www.legis.iowa.gov/docs/iac/rule/641.41.2.pdf" Type="http://schemas.openxmlformats.org/officeDocument/2006/relationships/hyperlink" Id="rId324"/>
    <Relationship TargetMode="External" Target="https://www.legis.iowa.gov/docs/iac/rule/641.41.2.pdf" Type="http://schemas.openxmlformats.org/officeDocument/2006/relationships/hyperlink" Id="rId325"/>
    <Relationship TargetMode="External" Target="https://www.legis.iowa.gov/docs/iac/rule/641.41.2.pdf" Type="http://schemas.openxmlformats.org/officeDocument/2006/relationships/hyperlink" Id="rId326"/>
    <Relationship TargetMode="External" Target="https://www.legis.iowa.gov/docs/iac/rule/641.41.2.pdf" Type="http://schemas.openxmlformats.org/officeDocument/2006/relationships/hyperlink" Id="rId327"/>
    <Relationship TargetMode="External" Target="https://www.legis.iowa.gov/docs/iac/rule/641.41.2.pdf" Type="http://schemas.openxmlformats.org/officeDocument/2006/relationships/hyperlink" Id="rId328"/>
    <Relationship TargetMode="External" Target="https://www.legis.iowa.gov/docs/iac/rule/641.41.2.pdf" Type="http://schemas.openxmlformats.org/officeDocument/2006/relationships/hyperlink" Id="rId329"/>
    <Relationship TargetMode="External" Target="https://www.legis.iowa.gov/docs/iac/rule/641.41.2.pdf" Type="http://schemas.openxmlformats.org/officeDocument/2006/relationships/hyperlink" Id="rId330"/>
    <Relationship TargetMode="External" Target="https://www.legis.iowa.gov/docs/iac/rule/641.41.2.pdf" Type="http://schemas.openxmlformats.org/officeDocument/2006/relationships/hyperlink" Id="rId331"/>
    <Relationship TargetMode="External" Target="https://www.legis.iowa.gov/docs/iac/rule/641.41.2.pdf" Type="http://schemas.openxmlformats.org/officeDocument/2006/relationships/hyperlink" Id="rId332"/>
    <Relationship TargetMode="External" Target="https://www.legis.iowa.gov/docs/iac/rule/641.41.2.pdf" Type="http://schemas.openxmlformats.org/officeDocument/2006/relationships/hyperlink" Id="rId333"/>
    <Relationship TargetMode="External" Target="https://www.legis.iowa.gov/docs/iac/rule/641.41.2.pdf" Type="http://schemas.openxmlformats.org/officeDocument/2006/relationships/hyperlink" Id="rId334"/>
    <Relationship TargetMode="External" Target="https://www.legis.iowa.gov/docs/iac/rule/641.41.2.pdf" Type="http://schemas.openxmlformats.org/officeDocument/2006/relationships/hyperlink" Id="rId335"/>
    <Relationship TargetMode="External" Target="https://www.legis.iowa.gov/docs/iac/rule/641.41.2.pdf" Type="http://schemas.openxmlformats.org/officeDocument/2006/relationships/hyperlink" Id="rId336"/>
    <Relationship TargetMode="External" Target="https://www.legis.iowa.gov/docs/iac/rule/641.41.2.pdf" Type="http://schemas.openxmlformats.org/officeDocument/2006/relationships/hyperlink" Id="rId337"/>
    <Relationship TargetMode="External" Target="https://www.legis.iowa.gov/docs/iac/rule/641.41.2.pdf" Type="http://schemas.openxmlformats.org/officeDocument/2006/relationships/hyperlink" Id="rId338"/>
    <Relationship TargetMode="External" Target="https://www.legis.iowa.gov/docs/iac/rule/641.41.2.pdf" Type="http://schemas.openxmlformats.org/officeDocument/2006/relationships/hyperlink" Id="rId339"/>
    <Relationship TargetMode="External" Target="https://www.legis.iowa.gov/docs/iac/rule/641.41.2.pdf" Type="http://schemas.openxmlformats.org/officeDocument/2006/relationships/hyperlink" Id="rId340"/>
    <Relationship TargetMode="External" Target="https://www.legis.iowa.gov/docs/iac/rule/641.41.2.pdf" Type="http://schemas.openxmlformats.org/officeDocument/2006/relationships/hyperlink" Id="rId341"/>
    <Relationship TargetMode="External" Target="https://www.legis.iowa.gov/docs/iac/rule/641.41.2.pdf" Type="http://schemas.openxmlformats.org/officeDocument/2006/relationships/hyperlink" Id="rId342"/>
    <Relationship TargetMode="External" Target="https://www.legis.iowa.gov/docs/iac/rule/641.41.2.pdf" Type="http://schemas.openxmlformats.org/officeDocument/2006/relationships/hyperlink" Id="rId343"/>
    <Relationship TargetMode="External" Target="https://www.legis.iowa.gov/docs/iac/rule/641.41.2.pdf" Type="http://schemas.openxmlformats.org/officeDocument/2006/relationships/hyperlink" Id="rId344"/>
    <Relationship TargetMode="External" Target="https://www.legis.iowa.gov/docs/iac/rule/641.41.2.pdf" Type="http://schemas.openxmlformats.org/officeDocument/2006/relationships/hyperlink" Id="rId345"/>
    <Relationship TargetMode="External" Target="https://www.legis.iowa.gov/docs/iac/rule/641.41.2.pdf" Type="http://schemas.openxmlformats.org/officeDocument/2006/relationships/hyperlink" Id="rId346"/>
    <Relationship TargetMode="External" Target="https://www.legis.iowa.gov/docs/iac/rule/641.41.2.pdf" Type="http://schemas.openxmlformats.org/officeDocument/2006/relationships/hyperlink" Id="rId347"/>
    <Relationship TargetMode="External" Target="https://www.legis.iowa.gov/docs/iac/rule/641.41.2.pdf" Type="http://schemas.openxmlformats.org/officeDocument/2006/relationships/hyperlink" Id="rId348"/>
    <Relationship TargetMode="External" Target="https://www.legis.iowa.gov/docs/iac/rule/641.41.2.pdf" Type="http://schemas.openxmlformats.org/officeDocument/2006/relationships/hyperlink" Id="rId349"/>
    <Relationship TargetMode="External" Target="https://www.legis.iowa.gov/docs/iac/rule/641.41.2.pdf" Type="http://schemas.openxmlformats.org/officeDocument/2006/relationships/hyperlink" Id="rId350"/>
    <Relationship TargetMode="External" Target="https://www.legis.iowa.gov/docs/iac/rule/641.41.2.pdf" Type="http://schemas.openxmlformats.org/officeDocument/2006/relationships/hyperlink" Id="rId351"/>
    <Relationship TargetMode="External" Target="https://www.legis.iowa.gov/docs/iac/rule/641.41.2.pdf" Type="http://schemas.openxmlformats.org/officeDocument/2006/relationships/hyperlink" Id="rId352"/>
    <Relationship TargetMode="External" Target="https://www.legis.iowa.gov/docs/iac/rule/641.41.2.pdf" Type="http://schemas.openxmlformats.org/officeDocument/2006/relationships/hyperlink" Id="rId353"/>
    <Relationship TargetMode="External" Target="https://www.legis.iowa.gov/docs/iac/rule/641.41.2.pdf" Type="http://schemas.openxmlformats.org/officeDocument/2006/relationships/hyperlink" Id="rId354"/>
    <Relationship TargetMode="External" Target="https://www.legis.iowa.gov/docs/iac/rule/641.41.2.pdf" Type="http://schemas.openxmlformats.org/officeDocument/2006/relationships/hyperlink" Id="rId355"/>
    <Relationship TargetMode="External" Target="https://www.legis.iowa.gov/docs/iac/rule/641.41.2.pdf" Type="http://schemas.openxmlformats.org/officeDocument/2006/relationships/hyperlink" Id="rId356"/>
    <Relationship TargetMode="External" Target="https://www.legis.iowa.gov/docs/iac/rule/641.41.2.pdf" Type="http://schemas.openxmlformats.org/officeDocument/2006/relationships/hyperlink" Id="rId357"/>
    <Relationship TargetMode="External" Target="https://www.legis.iowa.gov/docs/iac/rule/641.41.2.pdf" Type="http://schemas.openxmlformats.org/officeDocument/2006/relationships/hyperlink" Id="rId358"/>
    <Relationship TargetMode="External" Target="https://www.legis.iowa.gov/docs/iac/rule/641.41.2.pdf" Type="http://schemas.openxmlformats.org/officeDocument/2006/relationships/hyperlink" Id="rId359"/>
    <Relationship TargetMode="External" Target="https://www.legis.iowa.gov/docs/iac/rule/641.41.2.pdf" Type="http://schemas.openxmlformats.org/officeDocument/2006/relationships/hyperlink" Id="rId360"/>
    <Relationship TargetMode="External" Target="https://www.legis.iowa.gov/docs/iac/rule/641.41.2.pdf" Type="http://schemas.openxmlformats.org/officeDocument/2006/relationships/hyperlink" Id="rId361"/>
    <Relationship TargetMode="External" Target="https://www.legis.iowa.gov/docs/iac/rule/641.41.2.pdf" Type="http://schemas.openxmlformats.org/officeDocument/2006/relationships/hyperlink" Id="rId362"/>
    <Relationship TargetMode="External" Target="https://www.legis.iowa.gov/docs/iac/rule/641.41.2.pdf" Type="http://schemas.openxmlformats.org/officeDocument/2006/relationships/hyperlink" Id="rId363"/>
    <Relationship TargetMode="External" Target="https://www.legis.iowa.gov/docs/iac/rule/641.41.2.pdf" Type="http://schemas.openxmlformats.org/officeDocument/2006/relationships/hyperlink" Id="rId364"/>
    <Relationship TargetMode="External" Target="https://www.legis.iowa.gov/docs/iac/rule/641.41.2.pdf" Type="http://schemas.openxmlformats.org/officeDocument/2006/relationships/hyperlink" Id="rId365"/>
    <Relationship TargetMode="External" Target="https://www.legis.iowa.gov/docs/iac/rule/641.41.2.pdf" Type="http://schemas.openxmlformats.org/officeDocument/2006/relationships/hyperlink" Id="rId366"/>
    <Relationship TargetMode="External" Target="https://www.legis.iowa.gov/docs/iac/rule/641.41.2.pdf" Type="http://schemas.openxmlformats.org/officeDocument/2006/relationships/hyperlink" Id="rId367"/>
    <Relationship TargetMode="External" Target="https://www.legis.iowa.gov/docs/iac/rule/641.41.2.pdf" Type="http://schemas.openxmlformats.org/officeDocument/2006/relationships/hyperlink" Id="rId368"/>
    <Relationship TargetMode="External" Target="https://www.legis.iowa.gov/docs/iac/rule/641.41.2.pdf" Type="http://schemas.openxmlformats.org/officeDocument/2006/relationships/hyperlink" Id="rId369"/>
    <Relationship TargetMode="External" Target="https://www.legis.iowa.gov/docs/iac/rule/641.41.2.pdf" Type="http://schemas.openxmlformats.org/officeDocument/2006/relationships/hyperlink" Id="rId370"/>
    <Relationship TargetMode="External" Target="https://www.legis.iowa.gov/docs/iac/rule/641.41.2.pdf" Type="http://schemas.openxmlformats.org/officeDocument/2006/relationships/hyperlink" Id="rId371"/>
    <Relationship TargetMode="External" Target="https://www.legis.iowa.gov/docs/iac/rule/641.41.2.pdf" Type="http://schemas.openxmlformats.org/officeDocument/2006/relationships/hyperlink" Id="rId372"/>
    <Relationship TargetMode="External" Target="https://www.legis.iowa.gov/docs/iac/rule/641.41.2.pdf" Type="http://schemas.openxmlformats.org/officeDocument/2006/relationships/hyperlink" Id="rId373"/>
    <Relationship TargetMode="External" Target="https://www.legis.iowa.gov/docs/iac/rule/641.41.2.pdf" Type="http://schemas.openxmlformats.org/officeDocument/2006/relationships/hyperlink" Id="rId374"/>
    <Relationship TargetMode="External" Target="https://www.legis.iowa.gov/docs/iac/rule/641.41.2.pdf" Type="http://schemas.openxmlformats.org/officeDocument/2006/relationships/hyperlink" Id="rId375"/>
    <Relationship TargetMode="External" Target="https://www.legis.iowa.gov/docs/iac/rule/641.41.2.pdf" Type="http://schemas.openxmlformats.org/officeDocument/2006/relationships/hyperlink" Id="rId376"/>
    <Relationship TargetMode="External" Target="https://www.legis.iowa.gov/docs/iac/rule/641.41.2.pdf" Type="http://schemas.openxmlformats.org/officeDocument/2006/relationships/hyperlink" Id="rId377"/>
    <Relationship TargetMode="External" Target="https://www.legis.iowa.gov/docs/iac/rule/641.41.2.pdf" Type="http://schemas.openxmlformats.org/officeDocument/2006/relationships/hyperlink" Id="rId378"/>
    <Relationship TargetMode="External" Target="https://www.legis.iowa.gov/docs/iac/rule/641.41.2.pdf" Type="http://schemas.openxmlformats.org/officeDocument/2006/relationships/hyperlink" Id="rId379"/>
    <Relationship TargetMode="External" Target="https://www.legis.iowa.gov/docs/iac/rule/641.41.2.pdf" Type="http://schemas.openxmlformats.org/officeDocument/2006/relationships/hyperlink" Id="rId380"/>
    <Relationship TargetMode="External" Target="https://www.legis.iowa.gov/docs/iac/rule/641.41.2.pdf" Type="http://schemas.openxmlformats.org/officeDocument/2006/relationships/hyperlink" Id="rId381"/>
    <Relationship TargetMode="External" Target="https://www.legis.iowa.gov/docs/iac/rule/641.41.2.pdf" Type="http://schemas.openxmlformats.org/officeDocument/2006/relationships/hyperlink" Id="rId382"/>
    <Relationship TargetMode="External" Target="https://www.legis.iowa.gov/docs/iac/rule/641.41.2.pdf" Type="http://schemas.openxmlformats.org/officeDocument/2006/relationships/hyperlink" Id="rId383"/>
    <Relationship TargetMode="External" Target="https://www.legis.iowa.gov/docs/iac/rule/641.41.2.pdf" Type="http://schemas.openxmlformats.org/officeDocument/2006/relationships/hyperlink" Id="rId384"/>
    <Relationship TargetMode="External" Target="https://www.legis.iowa.gov/docs/iac/rule/641.41.2.pdf" Type="http://schemas.openxmlformats.org/officeDocument/2006/relationships/hyperlink" Id="rId385"/>
    <Relationship TargetMode="External" Target="https://www.legis.iowa.gov/docs/iac/rule/641.41.2.pdf" Type="http://schemas.openxmlformats.org/officeDocument/2006/relationships/hyperlink" Id="rId386"/>
    <Relationship TargetMode="External" Target="https://www.legis.iowa.gov/docs/iac/rule/641.41.2.pdf" Type="http://schemas.openxmlformats.org/officeDocument/2006/relationships/hyperlink" Id="rId387"/>
    <Relationship TargetMode="External" Target="https://www.legis.iowa.gov/docs/iac/rule/641.41.2.pdf" Type="http://schemas.openxmlformats.org/officeDocument/2006/relationships/hyperlink" Id="rId388"/>
    <Relationship TargetMode="External" Target="https://www.legis.iowa.gov/docs/iac/rule/641.41.2.pdf" Type="http://schemas.openxmlformats.org/officeDocument/2006/relationships/hyperlink" Id="rId389"/>
    <Relationship TargetMode="External" Target="https://www.legis.iowa.gov/docs/iac/rule/641.41.2.pdf" Type="http://schemas.openxmlformats.org/officeDocument/2006/relationships/hyperlink" Id="rId390"/>
    <Relationship TargetMode="External" Target="https://www.legis.iowa.gov/docs/iac/rule/641.41.2.pdf" Type="http://schemas.openxmlformats.org/officeDocument/2006/relationships/hyperlink" Id="rId391"/>
    <Relationship TargetMode="External" Target="https://www.legis.iowa.gov/docs/iac/rule/641.41.2.pdf" Type="http://schemas.openxmlformats.org/officeDocument/2006/relationships/hyperlink" Id="rId392"/>
    <Relationship TargetMode="External" Target="https://www.legis.iowa.gov/docs/iac/rule/641.41.2.pdf" Type="http://schemas.openxmlformats.org/officeDocument/2006/relationships/hyperlink" Id="rId393"/>
    <Relationship TargetMode="External" Target="https://www.legis.iowa.gov/docs/iac/rule/641.41.2.pdf" Type="http://schemas.openxmlformats.org/officeDocument/2006/relationships/hyperlink" Id="rId394"/>
    <Relationship TargetMode="External" Target="https://www.legis.iowa.gov/docs/iac/rule/641.41.2.pdf" Type="http://schemas.openxmlformats.org/officeDocument/2006/relationships/hyperlink" Id="rId395"/>
    <Relationship TargetMode="External" Target="https://www.legis.iowa.gov/docs/iac/rule/641.41.2.pdf" Type="http://schemas.openxmlformats.org/officeDocument/2006/relationships/hyperlink" Id="rId396"/>
    <Relationship TargetMode="External" Target="https://www.legis.iowa.gov/docs/iac/rule/641.41.2.pdf" Type="http://schemas.openxmlformats.org/officeDocument/2006/relationships/hyperlink" Id="rId397"/>
    <Relationship TargetMode="External" Target="https://www.legis.iowa.gov/docs/iac/rule/641.41.2.pdf" Type="http://schemas.openxmlformats.org/officeDocument/2006/relationships/hyperlink" Id="rId398"/>
    <Relationship TargetMode="External" Target="https://www.legis.iowa.gov/docs/iac/rule/641.41.2.pdf" Type="http://schemas.openxmlformats.org/officeDocument/2006/relationships/hyperlink" Id="rId399"/>
    <Relationship TargetMode="External" Target="https://www.legis.iowa.gov/docs/iac/rule/641.41.2.pdf" Type="http://schemas.openxmlformats.org/officeDocument/2006/relationships/hyperlink" Id="rId400"/>
    <Relationship TargetMode="External" Target="https://www.legis.iowa.gov/docs/iac/rule/641.41.2.pdf" Type="http://schemas.openxmlformats.org/officeDocument/2006/relationships/hyperlink" Id="rId401"/>
    <Relationship TargetMode="External" Target="https://www.legis.iowa.gov/docs/iac/rule/641.41.2.pdf" Type="http://schemas.openxmlformats.org/officeDocument/2006/relationships/hyperlink" Id="rId402"/>
    <Relationship TargetMode="External" Target="https://www.legis.iowa.gov/docs/iac/rule/641.41.2.pdf" Type="http://schemas.openxmlformats.org/officeDocument/2006/relationships/hyperlink" Id="rId403"/>
    <Relationship TargetMode="External" Target="https://www.legis.iowa.gov/docs/iac/rule/641.41.2.pdf" Type="http://schemas.openxmlformats.org/officeDocument/2006/relationships/hyperlink" Id="rId404"/>
    <Relationship TargetMode="External" Target="https://www.legis.iowa.gov/docs/iac/rule/641.41.2.pdf" Type="http://schemas.openxmlformats.org/officeDocument/2006/relationships/hyperlink" Id="rId405"/>
    <Relationship TargetMode="External" Target="https://www.legis.iowa.gov/docs/iac/rule/641.41.2.pdf" Type="http://schemas.openxmlformats.org/officeDocument/2006/relationships/hyperlink" Id="rId406"/>
    <Relationship TargetMode="External" Target="https://www.legis.iowa.gov/docs/iac/rule/641.41.2.pdf" Type="http://schemas.openxmlformats.org/officeDocument/2006/relationships/hyperlink" Id="rId407"/>
    <Relationship TargetMode="External" Target="https://www.legis.iowa.gov/docs/iac/rule/641.41.2.pdf" Type="http://schemas.openxmlformats.org/officeDocument/2006/relationships/hyperlink" Id="rId408"/>
    <Relationship TargetMode="External" Target="https://www.legis.iowa.gov/docs/iac/rule/641.41.2.pdf" Type="http://schemas.openxmlformats.org/officeDocument/2006/relationships/hyperlink" Id="rId409"/>
    <Relationship TargetMode="External" Target="https://www.legis.iowa.gov/docs/iac/rule/641.41.2.pdf" Type="http://schemas.openxmlformats.org/officeDocument/2006/relationships/hyperlink" Id="rId410"/>
    <Relationship TargetMode="External" Target="https://www.legis.iowa.gov/docs/iac/rule/641.41.2.pdf" Type="http://schemas.openxmlformats.org/officeDocument/2006/relationships/hyperlink" Id="rId411"/>
    <Relationship TargetMode="External" Target="https://www.legis.iowa.gov/docs/iac/rule/641.41.2.pdf" Type="http://schemas.openxmlformats.org/officeDocument/2006/relationships/hyperlink" Id="rId412"/>
    <Relationship TargetMode="External" Target="https://www.legis.iowa.gov/docs/iac/rule/641.41.2.pdf" Type="http://schemas.openxmlformats.org/officeDocument/2006/relationships/hyperlink" Id="rId413"/>
    <Relationship TargetMode="External" Target="https://www.legis.iowa.gov/docs/iac/rule/641.41.2.pdf" Type="http://schemas.openxmlformats.org/officeDocument/2006/relationships/hyperlink" Id="rId414"/>
    <Relationship TargetMode="External" Target="https://www.legis.iowa.gov/docs/iac/rule/641.41.2.pdf" Type="http://schemas.openxmlformats.org/officeDocument/2006/relationships/hyperlink" Id="rId415"/>
    <Relationship TargetMode="External" Target="https://www.legis.iowa.gov/docs/iac/rule/641.41.2.pdf" Type="http://schemas.openxmlformats.org/officeDocument/2006/relationships/hyperlink" Id="rId416"/>
    <Relationship TargetMode="External" Target="https://www.legis.iowa.gov/docs/iac/rule/641.41.2.pdf" Type="http://schemas.openxmlformats.org/officeDocument/2006/relationships/hyperlink" Id="rId417"/>
    <Relationship TargetMode="External" Target="https://www.legis.iowa.gov/docs/iac/rule/641.41.2.pdf" Type="http://schemas.openxmlformats.org/officeDocument/2006/relationships/hyperlink" Id="rId418"/>
    <Relationship TargetMode="External" Target="https://www.legis.iowa.gov/docs/iac/rule/641.41.2.pdf" Type="http://schemas.openxmlformats.org/officeDocument/2006/relationships/hyperlink" Id="rId419"/>
    <Relationship TargetMode="External" Target="https://www.legis.iowa.gov/docs/iac/rule/641.41.2.pdf" Type="http://schemas.openxmlformats.org/officeDocument/2006/relationships/hyperlink" Id="rId420"/>
    <Relationship TargetMode="External" Target="https://www.legis.iowa.gov/docs/iac/rule/641.41.2.pdf" Type="http://schemas.openxmlformats.org/officeDocument/2006/relationships/hyperlink" Id="rId421"/>
    <Relationship TargetMode="External" Target="https://www.legis.iowa.gov/docs/iac/rule/641.41.2.pdf" Type="http://schemas.openxmlformats.org/officeDocument/2006/relationships/hyperlink" Id="rId422"/>
    <Relationship TargetMode="External" Target="https://www.legis.iowa.gov/docs/iac/rule/641.41.2.pdf" Type="http://schemas.openxmlformats.org/officeDocument/2006/relationships/hyperlink" Id="rId423"/>
    <Relationship TargetMode="External" Target="https://www.legis.iowa.gov/docs/iac/rule/641.41.2.pdf" Type="http://schemas.openxmlformats.org/officeDocument/2006/relationships/hyperlink" Id="rId424"/>
    <Relationship TargetMode="External" Target="https://www.legis.iowa.gov/docs/iac/rule/641.41.2.pdf" Type="http://schemas.openxmlformats.org/officeDocument/2006/relationships/hyperlink" Id="rId425"/>
    <Relationship TargetMode="External" Target="https://www.legis.iowa.gov/docs/iac/rule/641.41.2.pdf" Type="http://schemas.openxmlformats.org/officeDocument/2006/relationships/hyperlink" Id="rId426"/>
    <Relationship TargetMode="External" Target="https://www.legis.iowa.gov/docs/iac/rule/641.41.2.pdf" Type="http://schemas.openxmlformats.org/officeDocument/2006/relationships/hyperlink" Id="rId427"/>
    <Relationship TargetMode="External" Target="https://www.legis.iowa.gov/docs/iac/rule/641.41.2.pdf" Type="http://schemas.openxmlformats.org/officeDocument/2006/relationships/hyperlink" Id="rId428"/>
    <Relationship TargetMode="External" Target="https://www.legis.iowa.gov/docs/iac/rule/641.41.2.pdf" Type="http://schemas.openxmlformats.org/officeDocument/2006/relationships/hyperlink" Id="rId429"/>
    <Relationship TargetMode="External" Target="https://www.legis.iowa.gov/docs/iac/rule/641.41.2.pdf" Type="http://schemas.openxmlformats.org/officeDocument/2006/relationships/hyperlink" Id="rId430"/>
    <Relationship TargetMode="External" Target="https://www.legis.iowa.gov/docs/iac/rule/641.41.2.pdf" Type="http://schemas.openxmlformats.org/officeDocument/2006/relationships/hyperlink" Id="rId431"/>
    <Relationship TargetMode="External" Target="https://www.legis.iowa.gov/docs/iac/rule/641.41.2.pdf" Type="http://schemas.openxmlformats.org/officeDocument/2006/relationships/hyperlink" Id="rId432"/>
    <Relationship TargetMode="External" Target="https://www.legis.iowa.gov/docs/iac/rule/641.41.2.pdf" Type="http://schemas.openxmlformats.org/officeDocument/2006/relationships/hyperlink" Id="rId433"/>
    <Relationship TargetMode="External" Target="https://www.legis.iowa.gov/docs/iac/rule/641.41.2.pdf" Type="http://schemas.openxmlformats.org/officeDocument/2006/relationships/hyperlink" Id="rId434"/>
    <Relationship TargetMode="External" Target="https://www.legis.iowa.gov/docs/iac/rule/641.41.2.pdf" Type="http://schemas.openxmlformats.org/officeDocument/2006/relationships/hyperlink" Id="rId435"/>
    <Relationship TargetMode="External" Target="https://www.legis.iowa.gov/docs/iac/rule/641.41.2.pdf" Type="http://schemas.openxmlformats.org/officeDocument/2006/relationships/hyperlink" Id="rId436"/>
    <Relationship TargetMode="External" Target="https://www.legis.iowa.gov/docs/iac/rule/641.41.3.pdf" Type="http://schemas.openxmlformats.org/officeDocument/2006/relationships/hyperlink" Id="rId437"/>
    <Relationship TargetMode="External" Target="https://www.legis.iowa.gov/docs/iac/chapter/641.41.pdf" Type="http://schemas.openxmlformats.org/officeDocument/2006/relationships/hyperlink" Id="rId438"/>
    <Relationship TargetMode="External" Target="https://www.legis.iowa.gov/docs/iac/rule/641.41.2.pdf" Type="http://schemas.openxmlformats.org/officeDocument/2006/relationships/hyperlink" Id="rId439"/>
    <Relationship TargetMode="External" Target="https://www.legis.iowa.gov/docs/iac/rule/641.41.2.pdf" Type="http://schemas.openxmlformats.org/officeDocument/2006/relationships/hyperlink" Id="rId440"/>
    <Relationship TargetMode="External" Target="https://www.legis.iowa.gov/docs/iac/rule/641.41.2.pdf" Type="http://schemas.openxmlformats.org/officeDocument/2006/relationships/hyperlink" Id="rId441"/>
    <Relationship TargetMode="External" Target="https://www.legis.iowa.gov/docs/iac/rule/641.41.2.pdf" Type="http://schemas.openxmlformats.org/officeDocument/2006/relationships/hyperlink" Id="rId442"/>
    <Relationship TargetMode="External" Target="https://www.legis.iowa.gov/docs/iac/rule/641.41.2.pdf" Type="http://schemas.openxmlformats.org/officeDocument/2006/relationships/hyperlink" Id="rId443"/>
    <Relationship TargetMode="External" Target="https://www.legis.iowa.gov/docs/iac/rule/641.41.2.pdf" Type="http://schemas.openxmlformats.org/officeDocument/2006/relationships/hyperlink" Id="rId444"/>
    <Relationship TargetMode="External" Target="https://www.legis.iowa.gov/docs/iac/rule/641.41.2.pdf" Type="http://schemas.openxmlformats.org/officeDocument/2006/relationships/hyperlink" Id="rId445"/>
    <Relationship TargetMode="External" Target="https://www.legis.iowa.gov/docs/iac/rule/641.41.2.pdf" Type="http://schemas.openxmlformats.org/officeDocument/2006/relationships/hyperlink" Id="rId446"/>
    <Relationship TargetMode="External" Target="https://www.legis.iowa.gov/docs/iac/rule/641.41.2.pdf" Type="http://schemas.openxmlformats.org/officeDocument/2006/relationships/hyperlink" Id="rId447"/>
    <Relationship TargetMode="External" Target="https://www.legis.iowa.gov/docs/iac/rule/641.41.2.pdf" Type="http://schemas.openxmlformats.org/officeDocument/2006/relationships/hyperlink" Id="rId448"/>
    <Relationship TargetMode="External" Target="https://www.legis.iowa.gov/docs/iac/rule/641.41.2.pdf" Type="http://schemas.openxmlformats.org/officeDocument/2006/relationships/hyperlink" Id="rId449"/>
    <Relationship TargetMode="External" Target="https://www.legis.iowa.gov/docs/iac/rule/641.41.2.pdf" Type="http://schemas.openxmlformats.org/officeDocument/2006/relationships/hyperlink" Id="rId450"/>
    <Relationship TargetMode="External" Target="https://www.legis.iowa.gov/docs/iac/rule/641.41.2.pdf" Type="http://schemas.openxmlformats.org/officeDocument/2006/relationships/hyperlink" Id="rId451"/>
    <Relationship TargetMode="External" Target="https://www.legis.iowa.gov/docs/iac/rule/641.41.2.pdf" Type="http://schemas.openxmlformats.org/officeDocument/2006/relationships/hyperlink" Id="rId452"/>
    <Relationship TargetMode="External" Target="https://www.legis.iowa.gov/docs/iac/rule/641.41.2.pdf" Type="http://schemas.openxmlformats.org/officeDocument/2006/relationships/hyperlink" Id="rId453"/>
    <Relationship TargetMode="External" Target="https://www.legis.iowa.gov/docs/iac/rule/641.41.3.pdf" Type="http://schemas.openxmlformats.org/officeDocument/2006/relationships/hyperlink" Id="rId454"/>
    <Relationship TargetMode="External" Target="https://www.legis.iowa.gov/docs/iac/rule/641.41.3.pdf" Type="http://schemas.openxmlformats.org/officeDocument/2006/relationships/hyperlink" Id="rId455"/>
    <Relationship TargetMode="External" Target="https://www.legis.iowa.gov/docs/iac/chapter/641.38.pdf" Type="http://schemas.openxmlformats.org/officeDocument/2006/relationships/hyperlink" Id="rId456"/>
    <Relationship TargetMode="External" Target="https://www.legis.iowa.gov/docs/iac/chapter/641.40.pdf" Type="http://schemas.openxmlformats.org/officeDocument/2006/relationships/hyperlink" Id="rId457"/>
    <Relationship TargetMode="External" Target="https://www.legis.iowa.gov/docs/iac/rule/641.38.2.pdf" Type="http://schemas.openxmlformats.org/officeDocument/2006/relationships/hyperlink" Id="rId458"/>
    <Relationship TargetMode="External" Target="https://www.legis.iowa.gov/docs/iac/rule/641.40.2.pdf" Type="http://schemas.openxmlformats.org/officeDocument/2006/relationships/hyperlink" Id="rId459"/>
    <Relationship TargetMode="External" Target="https://www.legis.iowa.gov/docs/iac/rule/641.41.3.pdf" Type="http://schemas.openxmlformats.org/officeDocument/2006/relationships/hyperlink" Id="rId460"/>
    <Relationship TargetMode="External" Target="https://www.legis.iowa.gov/docs/iac/rule/641.41.3.pdf" Type="http://schemas.openxmlformats.org/officeDocument/2006/relationships/hyperlink" Id="rId461"/>
    <Relationship TargetMode="External" Target="https://www.legis.iowa.gov/docs/iac/rule/641.39.1.pdf" Type="http://schemas.openxmlformats.org/officeDocument/2006/relationships/hyperlink" Id="rId462"/>
    <Relationship TargetMode="External" Target="https://www.legis.iowa.gov/docs/iac/rule/641.39.4.pdf" Type="http://schemas.openxmlformats.org/officeDocument/2006/relationships/hyperlink" Id="rId463"/>
    <Relationship TargetMode="External" Target="https://www.legis.iowa.gov/docs/iac/rule/641.41.3.pdf" Type="http://schemas.openxmlformats.org/officeDocument/2006/relationships/hyperlink" Id="rId464"/>
    <Relationship TargetMode="External" Target="https://www.legis.iowa.gov/docs/iac/rule/641.41.3.pdf" Type="http://schemas.openxmlformats.org/officeDocument/2006/relationships/hyperlink" Id="rId465"/>
    <Relationship TargetMode="External" Target="https://www.legis.iowa.gov/docs/iac/rule/641.41.3.pdf" Type="http://schemas.openxmlformats.org/officeDocument/2006/relationships/hyperlink" Id="rId466"/>
    <Relationship TargetMode="External" Target="https://www.legis.iowa.gov/docs/iac/rule/641.41.3.pdf" Type="http://schemas.openxmlformats.org/officeDocument/2006/relationships/hyperlink" Id="rId467"/>
    <Relationship TargetMode="External" Target="https://www.legis.iowa.gov/docs/iac/rule/641.41.3.pdf" Type="http://schemas.openxmlformats.org/officeDocument/2006/relationships/hyperlink" Id="rId468"/>
    <Relationship TargetMode="External" Target="https://www.legis.iowa.gov/docs/iac/rule/641.41.3.pdf" Type="http://schemas.openxmlformats.org/officeDocument/2006/relationships/hyperlink" Id="rId469"/>
    <Relationship TargetMode="External" Target="https://www.legis.iowa.gov/docs/iac/rule/641.41.3.pdf" Type="http://schemas.openxmlformats.org/officeDocument/2006/relationships/hyperlink" Id="rId470"/>
    <Relationship TargetMode="External" Target="https://www.legis.iowa.gov/docs/iac/rule/641.41.3.pdf" Type="http://schemas.openxmlformats.org/officeDocument/2006/relationships/hyperlink" Id="rId471"/>
    <Relationship TargetMode="External" Target="https://www.legis.iowa.gov/docs/iac/rule/641.41.3.pdf" Type="http://schemas.openxmlformats.org/officeDocument/2006/relationships/hyperlink" Id="rId472"/>
    <Relationship TargetMode="External" Target="https://www.legis.iowa.gov/docs/iac/rule/641.41.3.pdf" Type="http://schemas.openxmlformats.org/officeDocument/2006/relationships/hyperlink" Id="rId473"/>
    <Relationship TargetMode="External" Target="https://www.legis.iowa.gov/docs/iac/rule/641.39.3.pdf" Type="http://schemas.openxmlformats.org/officeDocument/2006/relationships/hyperlink" Id="rId474"/>
    <Relationship TargetMode="External" Target="https://www.legis.iowa.gov/docs/iac/rule/641.41.3.pdf" Type="http://schemas.openxmlformats.org/officeDocument/2006/relationships/hyperlink" Id="rId475"/>
    <Relationship TargetMode="External" Target="https://www.legis.iowa.gov/docs/iac/rule/641.41.3.pdf" Type="http://schemas.openxmlformats.org/officeDocument/2006/relationships/hyperlink" Id="rId476"/>
    <Relationship TargetMode="External" Target="https://www.legis.iowa.gov/docs/iac/rule/641.41.3.pdf" Type="http://schemas.openxmlformats.org/officeDocument/2006/relationships/hyperlink" Id="rId477"/>
    <Relationship TargetMode="External" Target="https://www.legis.iowa.gov/docs/iac/chapter/641.42.pdf" Type="http://schemas.openxmlformats.org/officeDocument/2006/relationships/hyperlink" Id="rId478"/>
    <Relationship TargetMode="External" Target="https://www.legis.iowa.gov/docs/iac/rule/641.41.3.pdf" Type="http://schemas.openxmlformats.org/officeDocument/2006/relationships/hyperlink" Id="rId479"/>
    <Relationship TargetMode="External" Target="https://www.legis.iowa.gov/docs/iac/rule/641.41.3.pdf" Type="http://schemas.openxmlformats.org/officeDocument/2006/relationships/hyperlink" Id="rId480"/>
    <Relationship TargetMode="External" Target="https://www.legis.iowa.gov/docs/iac/rule/641.41.3.pdf" Type="http://schemas.openxmlformats.org/officeDocument/2006/relationships/hyperlink" Id="rId481"/>
    <Relationship TargetMode="External" Target="https://www.legis.iowa.gov/docs/iac/rule/641.41.3.pdf" Type="http://schemas.openxmlformats.org/officeDocument/2006/relationships/hyperlink" Id="rId482"/>
    <Relationship TargetMode="External" Target="https://www.legis.iowa.gov/docs/iac/rule/641.41.3.pdf" Type="http://schemas.openxmlformats.org/officeDocument/2006/relationships/hyperlink" Id="rId483"/>
    <Relationship TargetMode="External" Target="https://www.legis.iowa.gov/docs/iac/rule/641.41.3.pdf" Type="http://schemas.openxmlformats.org/officeDocument/2006/relationships/hyperlink" Id="rId484"/>
    <Relationship TargetMode="External" Target="https://www.legis.iowa.gov/docs/iac/rule/641.41.3.pdf" Type="http://schemas.openxmlformats.org/officeDocument/2006/relationships/hyperlink" Id="rId485"/>
    <Relationship TargetMode="External" Target="https://www.legis.iowa.gov/docs/iac/rule/641.41.3.pdf" Type="http://schemas.openxmlformats.org/officeDocument/2006/relationships/hyperlink" Id="rId486"/>
    <Relationship TargetMode="External" Target="https://www.legis.iowa.gov/docs/iac/rule/641.40.15.pdf" Type="http://schemas.openxmlformats.org/officeDocument/2006/relationships/hyperlink" Id="rId487"/>
    <Relationship TargetMode="External" Target="https://www.legis.iowa.gov/docs/iac/rule/641.40.26.pdf" Type="http://schemas.openxmlformats.org/officeDocument/2006/relationships/hyperlink" Id="rId488"/>
    <Relationship TargetMode="External" Target="https://www.legis.iowa.gov/docs/iac/rule/641.41.3.pdf" Type="http://schemas.openxmlformats.org/officeDocument/2006/relationships/hyperlink" Id="rId489"/>
    <Relationship TargetMode="External" Target="https://www.legis.iowa.gov/docs/iac/rule/641.41.3.pdf" Type="http://schemas.openxmlformats.org/officeDocument/2006/relationships/hyperlink" Id="rId490"/>
    <Relationship TargetMode="External" Target="https://www.legis.iowa.gov/docs/iac/rule/641.41.3.pdf" Type="http://schemas.openxmlformats.org/officeDocument/2006/relationships/hyperlink" Id="rId491"/>
    <Relationship TargetMode="External" Target="https://www.legis.iowa.gov/docs/iac/rule/641.41.3.pdf" Type="http://schemas.openxmlformats.org/officeDocument/2006/relationships/hyperlink" Id="rId492"/>
    <Relationship TargetMode="External" Target="https://www.legis.iowa.gov/docs/iac/rule/641.40.26.pdf" Type="http://schemas.openxmlformats.org/officeDocument/2006/relationships/hyperlink" Id="rId493"/>
    <Relationship TargetMode="External" Target="https://www.legis.iowa.gov/docs/iac/rule/641.40.26.pdf" Type="http://schemas.openxmlformats.org/officeDocument/2006/relationships/hyperlink" Id="rId494"/>
    <Relationship TargetMode="External" Target="https://www.legis.iowa.gov/docs/iac/rule/641.41.3.pdf" Type="http://schemas.openxmlformats.org/officeDocument/2006/relationships/hyperlink" Id="rId495"/>
    <Relationship TargetMode="External" Target="https://www.legis.iowa.gov/docs/iac/rule/641.41.3.pdf" Type="http://schemas.openxmlformats.org/officeDocument/2006/relationships/hyperlink" Id="rId496"/>
    <Relationship TargetMode="External" Target="https://www.legis.iowa.gov/docs/iac/rule/641.41.3.pdf" Type="http://schemas.openxmlformats.org/officeDocument/2006/relationships/hyperlink" Id="rId497"/>
    <Relationship TargetMode="External" Target="https://www.legis.iowa.gov/docs/iac/rule/641.40.26.pdf" Type="http://schemas.openxmlformats.org/officeDocument/2006/relationships/hyperlink" Id="rId498"/>
    <Relationship TargetMode="External" Target="https://www.legis.iowa.gov/docs/iac/rule/641.41.3.pdf" Type="http://schemas.openxmlformats.org/officeDocument/2006/relationships/hyperlink" Id="rId499"/>
    <Relationship TargetMode="External" Target="https://www.legis.iowa.gov/docs/iac/rule/641.41.3.pdf" Type="http://schemas.openxmlformats.org/officeDocument/2006/relationships/hyperlink" Id="rId500"/>
    <Relationship TargetMode="External" Target="https://www.legis.iowa.gov/docs/iac/rule/641.41.3.pdf" Type="http://schemas.openxmlformats.org/officeDocument/2006/relationships/hyperlink" Id="rId501"/>
    <Relationship TargetMode="External" Target="https://www.legis.iowa.gov/docs/iac/rule/641.41.3.pdf" Type="http://schemas.openxmlformats.org/officeDocument/2006/relationships/hyperlink" Id="rId502"/>
    <Relationship TargetMode="External" Target="https://www.legis.iowa.gov/docs/iac/rule/641.41.3.pdf" Type="http://schemas.openxmlformats.org/officeDocument/2006/relationships/hyperlink" Id="rId503"/>
    <Relationship TargetMode="External" Target="https://www.legis.iowa.gov/docs/iac/rule/641.41.3.pdf" Type="http://schemas.openxmlformats.org/officeDocument/2006/relationships/hyperlink" Id="rId504"/>
    <Relationship TargetMode="External" Target="https://www.legis.iowa.gov/docs/iac/rule/641.41.3.pdf" Type="http://schemas.openxmlformats.org/officeDocument/2006/relationships/hyperlink" Id="rId505"/>
    <Relationship TargetMode="External" Target="https://www.legis.iowa.gov/docs/iac/rule/641.41.3.pdf" Type="http://schemas.openxmlformats.org/officeDocument/2006/relationships/hyperlink" Id="rId506"/>
    <Relationship TargetMode="External" Target="https://www.legis.iowa.gov/docs/iac/rule/641.41.3.pdf" Type="http://schemas.openxmlformats.org/officeDocument/2006/relationships/hyperlink" Id="rId507"/>
    <Relationship TargetMode="External" Target="https://www.legis.iowa.gov/docs/iac/rule/641.41.3.pdf" Type="http://schemas.openxmlformats.org/officeDocument/2006/relationships/hyperlink" Id="rId508"/>
    <Relationship TargetMode="External" Target="https://www.legis.iowa.gov/docs/iac/rule/641.41.3.pdf" Type="http://schemas.openxmlformats.org/officeDocument/2006/relationships/hyperlink" Id="rId509"/>
    <Relationship TargetMode="External" Target="https://www.legis.iowa.gov/docs/iac/rule/641.41.3.pdf" Type="http://schemas.openxmlformats.org/officeDocument/2006/relationships/hyperlink" Id="rId510"/>
    <Relationship TargetMode="External" Target="https://www.legis.iowa.gov/docs/iac/rule/641.41.3.pdf" Type="http://schemas.openxmlformats.org/officeDocument/2006/relationships/hyperlink" Id="rId511"/>
    <Relationship TargetMode="External" Target="https://www.legis.iowa.gov/docs/iac/rule/641.41.3.pdf" Type="http://schemas.openxmlformats.org/officeDocument/2006/relationships/hyperlink" Id="rId512"/>
    <Relationship TargetMode="External" Target="https://www.legis.iowa.gov/docs/iac/rule/641.41.3.pdf" Type="http://schemas.openxmlformats.org/officeDocument/2006/relationships/hyperlink" Id="rId513"/>
    <Relationship TargetMode="External" Target="https://www.legis.iowa.gov/docs/iac/rule/641.41.3.pdf" Type="http://schemas.openxmlformats.org/officeDocument/2006/relationships/hyperlink" Id="rId514"/>
    <Relationship TargetMode="External" Target="https://www.legis.iowa.gov/docs/iac/rule/641.41.3.pdf" Type="http://schemas.openxmlformats.org/officeDocument/2006/relationships/hyperlink" Id="rId515"/>
    <Relationship TargetMode="External" Target="https://www.legis.iowa.gov/docs/iac/rule/641.41.3.pdf" Type="http://schemas.openxmlformats.org/officeDocument/2006/relationships/hyperlink" Id="rId516"/>
    <Relationship TargetMode="External" Target="https://www.legis.iowa.gov/docs/iac/rule/641.41.3.pdf" Type="http://schemas.openxmlformats.org/officeDocument/2006/relationships/hyperlink" Id="rId517"/>
    <Relationship TargetMode="External" Target="https://www.legis.iowa.gov/docs/iac/rule/641.41.3.pdf" Type="http://schemas.openxmlformats.org/officeDocument/2006/relationships/hyperlink" Id="rId518"/>
    <Relationship TargetMode="External" Target="https://www.legis.iowa.gov/docs/iac/rule/641.41.3.pdf" Type="http://schemas.openxmlformats.org/officeDocument/2006/relationships/hyperlink" Id="rId519"/>
    <Relationship TargetMode="External" Target="https://www.legis.iowa.gov/docs/iac/rule/641.41.3.pdf" Type="http://schemas.openxmlformats.org/officeDocument/2006/relationships/hyperlink" Id="rId520"/>
    <Relationship TargetMode="External" Target="https://www.legis.iowa.gov/docs/iac/rule/641.41.3.pdf" Type="http://schemas.openxmlformats.org/officeDocument/2006/relationships/hyperlink" Id="rId521"/>
    <Relationship TargetMode="External" Target="https://www.legis.iowa.gov/docs/iac/rule/641.41.3.pdf" Type="http://schemas.openxmlformats.org/officeDocument/2006/relationships/hyperlink" Id="rId522"/>
    <Relationship TargetMode="External" Target="https://www.legis.iowa.gov/docs/iac/rule/641.41.3.pdf" Type="http://schemas.openxmlformats.org/officeDocument/2006/relationships/hyperlink" Id="rId523"/>
    <Relationship TargetMode="External" Target="https://www.legis.iowa.gov/docs/iac/rule/641.41.3.pdf" Type="http://schemas.openxmlformats.org/officeDocument/2006/relationships/hyperlink" Id="rId524"/>
    <Relationship TargetMode="External" Target="https://www.legis.iowa.gov/docs/iac/rule/641.41.3.pdf" Type="http://schemas.openxmlformats.org/officeDocument/2006/relationships/hyperlink" Id="rId525"/>
    <Relationship TargetMode="External" Target="https://www.legis.iowa.gov/docs/iac/rule/641.41.3.pdf" Type="http://schemas.openxmlformats.org/officeDocument/2006/relationships/hyperlink" Id="rId526"/>
    <Relationship TargetMode="External" Target="https://www.legis.iowa.gov/docs/iac/rule/641.40.26.pdf" Type="http://schemas.openxmlformats.org/officeDocument/2006/relationships/hyperlink" Id="rId527"/>
    <Relationship TargetMode="External" Target="https://www.legis.iowa.gov/docs/iac/rule/641.41.3.pdf" Type="http://schemas.openxmlformats.org/officeDocument/2006/relationships/hyperlink" Id="rId528"/>
    <Relationship TargetMode="External" Target="https://www.legis.iowa.gov/docs/iac/rule/641.41.3.pdf" Type="http://schemas.openxmlformats.org/officeDocument/2006/relationships/hyperlink" Id="rId529"/>
    <Relationship TargetMode="External" Target="https://www.legis.iowa.gov/docs/iac/rule/641.41.3.pdf" Type="http://schemas.openxmlformats.org/officeDocument/2006/relationships/hyperlink" Id="rId530"/>
    <Relationship TargetMode="External" Target="https://www.legis.iowa.gov/docs/iac/rule/641.41.3.pdf" Type="http://schemas.openxmlformats.org/officeDocument/2006/relationships/hyperlink" Id="rId531"/>
    <Relationship TargetMode="External" Target="https://www.legis.iowa.gov/docs/iac/rule/641.41.3.pdf" Type="http://schemas.openxmlformats.org/officeDocument/2006/relationships/hyperlink" Id="rId532"/>
    <Relationship TargetMode="External" Target="https://www.legis.iowa.gov/docs/iac/rule/641.41.3.pdf" Type="http://schemas.openxmlformats.org/officeDocument/2006/relationships/hyperlink" Id="rId533"/>
    <Relationship TargetMode="External" Target="https://www.legis.iowa.gov/docs/iac/rule/641.41.3.pdf" Type="http://schemas.openxmlformats.org/officeDocument/2006/relationships/hyperlink" Id="rId534"/>
    <Relationship TargetMode="External" Target="https://www.legis.iowa.gov/docs/iac/rule/641.41.3.pdf" Type="http://schemas.openxmlformats.org/officeDocument/2006/relationships/hyperlink" Id="rId535"/>
    <Relationship TargetMode="External" Target="https://www.legis.iowa.gov/docs/iac/rule/641.41.3.pdf" Type="http://schemas.openxmlformats.org/officeDocument/2006/relationships/hyperlink" Id="rId536"/>
    <Relationship TargetMode="External" Target="https://www.legis.iowa.gov/docs/iac/rule/641.41.3.pdf" Type="http://schemas.openxmlformats.org/officeDocument/2006/relationships/hyperlink" Id="rId537"/>
    <Relationship TargetMode="External" Target="https://www.legis.iowa.gov/docs/iac/rule/641.41.3.pdf" Type="http://schemas.openxmlformats.org/officeDocument/2006/relationships/hyperlink" Id="rId538"/>
    <Relationship TargetMode="External" Target="https://www.legis.iowa.gov/docs/iac/rule/641.41.3.pdf" Type="http://schemas.openxmlformats.org/officeDocument/2006/relationships/hyperlink" Id="rId539"/>
    <Relationship TargetMode="External" Target="https://www.legis.iowa.gov/docs/iac/rule/641.41.3.pdf" Type="http://schemas.openxmlformats.org/officeDocument/2006/relationships/hyperlink" Id="rId540"/>
    <Relationship TargetMode="External" Target="https://www.legis.iowa.gov/docs/iac/rule/641.41.3.pdf" Type="http://schemas.openxmlformats.org/officeDocument/2006/relationships/hyperlink" Id="rId541"/>
    <Relationship TargetMode="External" Target="https://www.legis.iowa.gov/docs/iac/rule/641.40.26.pdf" Type="http://schemas.openxmlformats.org/officeDocument/2006/relationships/hyperlink" Id="rId542"/>
    <Relationship TargetMode="External" Target="https://www.legis.iowa.gov/docs/iac/rule/641.41.3.pdf" Type="http://schemas.openxmlformats.org/officeDocument/2006/relationships/hyperlink" Id="rId543"/>
    <Relationship TargetMode="External" Target="https://www.legis.iowa.gov/docs/iac/rule/641.41.3.pdf" Type="http://schemas.openxmlformats.org/officeDocument/2006/relationships/hyperlink" Id="rId544"/>
    <Relationship TargetMode="External" Target="https://www.legis.iowa.gov/docs/iac/rule/641.41.3.pdf" Type="http://schemas.openxmlformats.org/officeDocument/2006/relationships/hyperlink" Id="rId545"/>
    <Relationship TargetMode="External" Target="https://www.legis.iowa.gov/docs/iac/rule/641.41.3.pdf" Type="http://schemas.openxmlformats.org/officeDocument/2006/relationships/hyperlink" Id="rId546"/>
    <Relationship TargetMode="External" Target="https://www.legis.iowa.gov/docs/iac/rule/641.41.3.pdf" Type="http://schemas.openxmlformats.org/officeDocument/2006/relationships/hyperlink" Id="rId547"/>
    <Relationship TargetMode="External" Target="https://www.legis.iowa.gov/docs/iac/rule/641.41.3.pdf" Type="http://schemas.openxmlformats.org/officeDocument/2006/relationships/hyperlink" Id="rId548"/>
    <Relationship TargetMode="External" Target="https://www.legis.iowa.gov/docs/iac/rule/641.41.3.pdf" Type="http://schemas.openxmlformats.org/officeDocument/2006/relationships/hyperlink" Id="rId549"/>
    <Relationship TargetMode="External" Target="https://www.legis.iowa.gov/docs/iac/rule/641.41.3.pdf" Type="http://schemas.openxmlformats.org/officeDocument/2006/relationships/hyperlink" Id="rId550"/>
    <Relationship TargetMode="External" Target="https://www.legis.iowa.gov/docs/iac/rule/641.41.3.pdf" Type="http://schemas.openxmlformats.org/officeDocument/2006/relationships/hyperlink" Id="rId551"/>
    <Relationship TargetMode="External" Target="https://www.legis.iowa.gov/docs/iac/rule/641.41.3.pdf" Type="http://schemas.openxmlformats.org/officeDocument/2006/relationships/hyperlink" Id="rId552"/>
    <Relationship TargetMode="External" Target="https://www.legis.iowa.gov/docs/iac/chapter/641.41.pdf" Type="http://schemas.openxmlformats.org/officeDocument/2006/relationships/hyperlink" Id="rId553"/>
    <Relationship TargetMode="External" Target="https://www.legis.iowa.gov/docs/iac/rule/641.41.3.pdf" Type="http://schemas.openxmlformats.org/officeDocument/2006/relationships/hyperlink" Id="rId554"/>
    <Relationship TargetMode="External" Target="https://www.legis.iowa.gov/docs/iac/rule/641.41.3.pdf" Type="http://schemas.openxmlformats.org/officeDocument/2006/relationships/hyperlink" Id="rId555"/>
    <Relationship TargetMode="External" Target="https://www.legis.iowa.gov/docs/iac/rule/641.41.3.pdf" Type="http://schemas.openxmlformats.org/officeDocument/2006/relationships/hyperlink" Id="rId556"/>
    <Relationship TargetMode="External" Target="https://www.legis.iowa.gov/docs/iac/chapter/641.41.pdf" Type="http://schemas.openxmlformats.org/officeDocument/2006/relationships/hyperlink" Id="rId557"/>
    <Relationship TargetMode="External" Target="https://www.legis.iowa.gov/docs/iac/rule/641.41.3.pdf" Type="http://schemas.openxmlformats.org/officeDocument/2006/relationships/hyperlink" Id="rId558"/>
    <Relationship TargetMode="External" Target="https://www.legis.iowa.gov/docs/iac/chapter/641.41.pdf" Type="http://schemas.openxmlformats.org/officeDocument/2006/relationships/hyperlink" Id="rId559"/>
    <Relationship TargetMode="External" Target="https://www.legis.iowa.gov/docs/iac/rule/641.41.3.pdf" Type="http://schemas.openxmlformats.org/officeDocument/2006/relationships/hyperlink" Id="rId560"/>
    <Relationship TargetMode="External" Target="https://www.legis.iowa.gov/docs/iac/rule/641.41.3.pdf" Type="http://schemas.openxmlformats.org/officeDocument/2006/relationships/hyperlink" Id="rId561"/>
    <Relationship TargetMode="External" Target="https://www.legis.iowa.gov/docs/iac/rule/641.41.3.pdf" Type="http://schemas.openxmlformats.org/officeDocument/2006/relationships/hyperlink" Id="rId562"/>
    <Relationship TargetMode="External" Target="https://www.legis.iowa.gov/docs/iac/rule/641.41.3.pdf" Type="http://schemas.openxmlformats.org/officeDocument/2006/relationships/hyperlink" Id="rId563"/>
    <Relationship TargetMode="External" Target="https://www.legis.iowa.gov/docs/iac/rule/641.41.3.pdf" Type="http://schemas.openxmlformats.org/officeDocument/2006/relationships/hyperlink" Id="rId564"/>
    <Relationship TargetMode="External" Target="https://www.legis.iowa.gov/docs/iac/rule/641.41.3.pdf" Type="http://schemas.openxmlformats.org/officeDocument/2006/relationships/hyperlink" Id="rId565"/>
    <Relationship TargetMode="External" Target="https://www.legis.iowa.gov/docs/iac/rule/641.41.3.pdf" Type="http://schemas.openxmlformats.org/officeDocument/2006/relationships/hyperlink" Id="rId566"/>
    <Relationship TargetMode="External" Target="https://www.legis.iowa.gov/docs/iac/rule/641.41.3.pdf" Type="http://schemas.openxmlformats.org/officeDocument/2006/relationships/hyperlink" Id="rId567"/>
    <Relationship TargetMode="External" Target="https://www.legis.iowa.gov/docs/iac/rule/641.41.3.pdf" Type="http://schemas.openxmlformats.org/officeDocument/2006/relationships/hyperlink" Id="rId568"/>
    <Relationship TargetMode="External" Target="https://www.legis.iowa.gov/docs/iac/rule/641.41.3.pdf" Type="http://schemas.openxmlformats.org/officeDocument/2006/relationships/hyperlink" Id="rId569"/>
    <Relationship TargetMode="External" Target="https://www.legis.iowa.gov/docs/iac/rule/641.40.15.pdf" Type="http://schemas.openxmlformats.org/officeDocument/2006/relationships/hyperlink" Id="rId570"/>
    <Relationship TargetMode="External" Target="https://www.legis.iowa.gov/docs/iac/rule/641.40.26.pdf" Type="http://schemas.openxmlformats.org/officeDocument/2006/relationships/hyperlink" Id="rId571"/>
    <Relationship TargetMode="External" Target="https://www.legis.iowa.gov/docs/iac/chapter/641.41.pdf" Type="http://schemas.openxmlformats.org/officeDocument/2006/relationships/hyperlink" Id="rId572"/>
    <Relationship TargetMode="External" Target="https://www.legis.iowa.gov/docs/iac/rule/645.41.3.pdf" Type="http://schemas.openxmlformats.org/officeDocument/2006/relationships/hyperlink" Id="rId573"/>
    <Relationship TargetMode="External" Target="https://www.legis.iowa.gov/docs/iac/rule/641.41.3.pdf" Type="http://schemas.openxmlformats.org/officeDocument/2006/relationships/hyperlink" Id="rId574"/>
    <Relationship TargetMode="External" Target="https://www.legis.iowa.gov/docs/iac/rule/641.41.3.pdf" Type="http://schemas.openxmlformats.org/officeDocument/2006/relationships/hyperlink" Id="rId575"/>
    <Relationship TargetMode="External" Target="https://www.legis.iowa.gov/docs/iac/rule/641.41.3.pdf" Type="http://schemas.openxmlformats.org/officeDocument/2006/relationships/hyperlink" Id="rId576"/>
    <Relationship TargetMode="External" Target="https://www.legis.iowa.gov/docs/iac/rule/641.38.2.pdf" Type="http://schemas.openxmlformats.org/officeDocument/2006/relationships/hyperlink" Id="rId577"/>
    <Relationship TargetMode="External" Target="https://www.legis.iowa.gov/docs/iac/rule/641.40.2.pdf" Type="http://schemas.openxmlformats.org/officeDocument/2006/relationships/hyperlink" Id="rId578"/>
    <Relationship TargetMode="External" Target="https://www.legis.iowa.gov/docs/iac/rule/641.41.1.pdf" Type="http://schemas.openxmlformats.org/officeDocument/2006/relationships/hyperlink" Id="rId579"/>
    <Relationship TargetMode="External" Target="https://www.legis.iowa.gov/docs/iac/rule/641.41.6.pdf" Type="http://schemas.openxmlformats.org/officeDocument/2006/relationships/hyperlink" Id="rId580"/>
    <Relationship TargetMode="External" Target="https://www.legis.iowa.gov/docs/iac/rule/641.41.6.pdf" Type="http://schemas.openxmlformats.org/officeDocument/2006/relationships/hyperlink" Id="rId581"/>
    <Relationship TargetMode="External" Target="https://www.legis.iowa.gov/docs/iac/rule/641.41.6.pdf" Type="http://schemas.openxmlformats.org/officeDocument/2006/relationships/hyperlink" Id="rId582"/>
    <Relationship TargetMode="External" Target="https://www.legis.iowa.gov/docs/iac/rule/641.41.6.pdf" Type="http://schemas.openxmlformats.org/officeDocument/2006/relationships/hyperlink" Id="rId583"/>
    <Relationship TargetMode="External" Target="https://www.legis.iowa.gov/docs/iac/rule/641.41.6.pdf" Type="http://schemas.openxmlformats.org/officeDocument/2006/relationships/hyperlink" Id="rId584"/>
    <Relationship TargetMode="External" Target="https://www.legis.iowa.gov/docs/iac/rule/641.41.6.pdf" Type="http://schemas.openxmlformats.org/officeDocument/2006/relationships/hyperlink" Id="rId585"/>
    <Relationship TargetMode="External" Target="https://www.legis.iowa.gov/docs/iac/rule/641.41.6.pdf" Type="http://schemas.openxmlformats.org/officeDocument/2006/relationships/hyperlink" Id="rId586"/>
    <Relationship TargetMode="External" Target="https://www.legis.iowa.gov/docs/iac/rule/641.41.6.pdf" Type="http://schemas.openxmlformats.org/officeDocument/2006/relationships/hyperlink" Id="rId587"/>
    <Relationship TargetMode="External" Target="https://www.legis.iowa.gov/docs/iac/rule/641.39.3.pdf" Type="http://schemas.openxmlformats.org/officeDocument/2006/relationships/hyperlink" Id="rId588"/>
    <Relationship TargetMode="External" Target="https://www.legis.iowa.gov/docs/iac/rule/641.41.6.pdf" Type="http://schemas.openxmlformats.org/officeDocument/2006/relationships/hyperlink" Id="rId589"/>
    <Relationship TargetMode="External" Target="https://www.legis.iowa.gov/docs/iac/rule/641.41.6.pdf" Type="http://schemas.openxmlformats.org/officeDocument/2006/relationships/hyperlink" Id="rId590"/>
    <Relationship TargetMode="External" Target="https://www.legis.iowa.gov/docs/iac/chapter/641.173.pdf" Type="http://schemas.openxmlformats.org/officeDocument/2006/relationships/hyperlink" Id="rId591"/>
    <Relationship TargetMode="External" Target="https://www.legis.iowa.gov/docs/iac/rule/641.173.31.pdf" Type="http://schemas.openxmlformats.org/officeDocument/2006/relationships/hyperlink" Id="rId592"/>
    <Relationship TargetMode="External" Target="https://www.legis.iowa.gov/docs/iac/rule/641.41.6.pdf" Type="http://schemas.openxmlformats.org/officeDocument/2006/relationships/hyperlink" Id="rId593"/>
    <Relationship TargetMode="External" Target="https://www.legis.iowa.gov/docs/iac/rule/641.41.6.pdf" Type="http://schemas.openxmlformats.org/officeDocument/2006/relationships/hyperlink" Id="rId594"/>
    <Relationship TargetMode="External" Target="https://www.legis.iowa.gov/docs/iac/rule/641.41.6.pdf" Type="http://schemas.openxmlformats.org/officeDocument/2006/relationships/hyperlink" Id="rId595"/>
    <Relationship TargetMode="External" Target="https://www.legis.iowa.gov/docs/iac/rule/641.41.6.pdf" Type="http://schemas.openxmlformats.org/officeDocument/2006/relationships/hyperlink" Id="rId596"/>
    <Relationship TargetMode="External" Target="https://www.legis.iowa.gov/docs/iac/rule/641.41.6.pdf" Type="http://schemas.openxmlformats.org/officeDocument/2006/relationships/hyperlink" Id="rId597"/>
    <Relationship TargetMode="External" Target="https://www.legis.iowa.gov/docs/iac/rule/641.41.6.pdf" Type="http://schemas.openxmlformats.org/officeDocument/2006/relationships/hyperlink" Id="rId598"/>
    <Relationship TargetMode="External" Target="https://www.legis.iowa.gov/docs/iac/rule/641.41.6.pdf" Type="http://schemas.openxmlformats.org/officeDocument/2006/relationships/hyperlink" Id="rId599"/>
    <Relationship TargetMode="External" Target="https://www.legis.iowa.gov/docs/iac/rule/641.41.6.pdf" Type="http://schemas.openxmlformats.org/officeDocument/2006/relationships/hyperlink" Id="rId600"/>
    <Relationship TargetMode="External" Target="https://www.legis.iowa.gov/docs/iac/rule/641.41.6.pdf" Type="http://schemas.openxmlformats.org/officeDocument/2006/relationships/hyperlink" Id="rId601"/>
    <Relationship TargetMode="External" Target="https://www.legis.iowa.gov/docs/iac/rule/641.41.6.pdf" Type="http://schemas.openxmlformats.org/officeDocument/2006/relationships/hyperlink" Id="rId602"/>
    <Relationship TargetMode="External" Target="https://www.legis.iowa.gov/docs/iac/rule/641.41.6.pdf" Type="http://schemas.openxmlformats.org/officeDocument/2006/relationships/hyperlink" Id="rId603"/>
    <Relationship TargetMode="External" Target="https://www.legis.iowa.gov/docs/iac/rule/641.41.6.pdf" Type="http://schemas.openxmlformats.org/officeDocument/2006/relationships/hyperlink" Id="rId604"/>
    <Relationship TargetMode="External" Target="https://www.legis.iowa.gov/docs/iac/rule/641.41.6.pdf" Type="http://schemas.openxmlformats.org/officeDocument/2006/relationships/hyperlink" Id="rId605"/>
    <Relationship TargetMode="External" Target="https://www.legis.iowa.gov/docs/iac/rule/641.41.6.pdf" Type="http://schemas.openxmlformats.org/officeDocument/2006/relationships/hyperlink" Id="rId606"/>
    <Relationship TargetMode="External" Target="https://www.legis.iowa.gov/docs/iac/rule/641.41.6.pdf" Type="http://schemas.openxmlformats.org/officeDocument/2006/relationships/hyperlink" Id="rId607"/>
    <Relationship TargetMode="External" Target="https://www.legis.iowa.gov/docs/iac/rule/641.41.6.pdf" Type="http://schemas.openxmlformats.org/officeDocument/2006/relationships/hyperlink" Id="rId608"/>
    <Relationship TargetMode="External" Target="https://www.legis.iowa.gov/docs/iac/rule/641.41.6.pdf" Type="http://schemas.openxmlformats.org/officeDocument/2006/relationships/hyperlink" Id="rId609"/>
    <Relationship TargetMode="External" Target="https://www.legis.iowa.gov/docs/iac/rule/641.41.6.pdf" Type="http://schemas.openxmlformats.org/officeDocument/2006/relationships/hyperlink" Id="rId610"/>
    <Relationship TargetMode="External" Target="https://www.legis.iowa.gov/docs/iac/rule/641.41.6.pdf" Type="http://schemas.openxmlformats.org/officeDocument/2006/relationships/hyperlink" Id="rId611"/>
    <Relationship TargetMode="External" Target="https://www.legis.iowa.gov/docs/iac/rule/641.41.6.pdf" Type="http://schemas.openxmlformats.org/officeDocument/2006/relationships/hyperlink" Id="rId612"/>
    <Relationship TargetMode="External" Target="https://www.legis.iowa.gov/docs/iac/rule/641.41.6.pdf" Type="http://schemas.openxmlformats.org/officeDocument/2006/relationships/hyperlink" Id="rId613"/>
    <Relationship TargetMode="External" Target="https://www.legis.iowa.gov/docs/iac/rule/641.41.6.pdf" Type="http://schemas.openxmlformats.org/officeDocument/2006/relationships/hyperlink" Id="rId614"/>
    <Relationship TargetMode="External" Target="https://www.legis.iowa.gov/docs/iac/rule/641.41.6.pdf" Type="http://schemas.openxmlformats.org/officeDocument/2006/relationships/hyperlink" Id="rId615"/>
    <Relationship TargetMode="External" Target="https://www.legis.iowa.gov/docs/iac/rule/641.41.6.pdf" Type="http://schemas.openxmlformats.org/officeDocument/2006/relationships/hyperlink" Id="rId616"/>
    <Relationship TargetMode="External" Target="https://www.legis.iowa.gov/docs/iac/rule/641.41.6.pdf" Type="http://schemas.openxmlformats.org/officeDocument/2006/relationships/hyperlink" Id="rId617"/>
    <Relationship TargetMode="External" Target="https://www.legis.iowa.gov/docs/iac/rule/641.41.6.pdf" Type="http://schemas.openxmlformats.org/officeDocument/2006/relationships/hyperlink" Id="rId618"/>
    <Relationship TargetMode="External" Target="https://www.legis.iowa.gov/docs/iac/rule/641.41.6.pdf" Type="http://schemas.openxmlformats.org/officeDocument/2006/relationships/hyperlink" Id="rId619"/>
    <Relationship TargetMode="External" Target="https://www.legis.iowa.gov/docs/iac/rule/641.41.6.pdf" Type="http://schemas.openxmlformats.org/officeDocument/2006/relationships/hyperlink" Id="rId620"/>
    <Relationship TargetMode="External" Target="https://www.legis.iowa.gov/docs/iac/rule/641.41.6.pdf" Type="http://schemas.openxmlformats.org/officeDocument/2006/relationships/hyperlink" Id="rId621"/>
    <Relationship TargetMode="External" Target="https://www.legis.iowa.gov/docs/iac/rule/641.41.6.pdf" Type="http://schemas.openxmlformats.org/officeDocument/2006/relationships/hyperlink" Id="rId622"/>
    <Relationship TargetMode="External" Target="https://www.legis.iowa.gov/docs/iac/rule/641.41.6.pdf" Type="http://schemas.openxmlformats.org/officeDocument/2006/relationships/hyperlink" Id="rId623"/>
    <Relationship TargetMode="External" Target="https://www.legis.iowa.gov/docs/iac/rule/641.41.6.pdf" Type="http://schemas.openxmlformats.org/officeDocument/2006/relationships/hyperlink" Id="rId624"/>
    <Relationship TargetMode="External" Target="https://www.legis.iowa.gov/docs/iac/rule/641.41.6.pdf" Type="http://schemas.openxmlformats.org/officeDocument/2006/relationships/hyperlink" Id="rId625"/>
    <Relationship TargetMode="External" Target="https://www.legis.iowa.gov/docs/iac/rule/641.41.6.pdf" Type="http://schemas.openxmlformats.org/officeDocument/2006/relationships/hyperlink" Id="rId626"/>
    <Relationship TargetMode="External" Target="https://www.legis.iowa.gov/docs/iac/rule/641.41.6.pdf" Type="http://schemas.openxmlformats.org/officeDocument/2006/relationships/hyperlink" Id="rId627"/>
    <Relationship TargetMode="External" Target="https://www.legis.iowa.gov/docs/iac/rule/641.41.6.pdf" Type="http://schemas.openxmlformats.org/officeDocument/2006/relationships/hyperlink" Id="rId628"/>
    <Relationship TargetMode="External" Target="https://www.legis.iowa.gov/docs/iac/rule/641.40.37.pdf" Type="http://schemas.openxmlformats.org/officeDocument/2006/relationships/hyperlink" Id="rId629"/>
    <Relationship TargetMode="External" Target="https://www.legis.iowa.gov/docs/iac/rule/641.41.6.pdf" Type="http://schemas.openxmlformats.org/officeDocument/2006/relationships/hyperlink" Id="rId630"/>
    <Relationship TargetMode="External" Target="https://www.legis.iowa.gov/docs/iac/rule/641.41.6.pdf" Type="http://schemas.openxmlformats.org/officeDocument/2006/relationships/hyperlink" Id="rId631"/>
    <Relationship TargetMode="External" Target="https://www.legis.iowa.gov/docs/iac/rule/641.38.2.pdf" Type="http://schemas.openxmlformats.org/officeDocument/2006/relationships/hyperlink" Id="rId632"/>
    <Relationship TargetMode="External" Target="https://www.legis.iowa.gov/docs/iac/rule/641.40.2.pdf" Type="http://schemas.openxmlformats.org/officeDocument/2006/relationships/hyperlink" Id="rId633"/>
    <Relationship TargetMode="External" Target="https://www.legis.iowa.gov/docs/iac/rule/641.41.1.pdf" Type="http://schemas.openxmlformats.org/officeDocument/2006/relationships/hyperlink" Id="rId634"/>
    <Relationship TargetMode="External" Target="https://www.legis.iowa.gov/docs/iac/rule/641.41.7.pdf" Type="http://schemas.openxmlformats.org/officeDocument/2006/relationships/hyperlink" Id="rId635"/>
    <Relationship TargetMode="External" Target="https://www.legis.iowa.gov/docs/iac/rule/641.41.7.pdf" Type="http://schemas.openxmlformats.org/officeDocument/2006/relationships/hyperlink" Id="rId636"/>
    <Relationship TargetMode="External" Target="https://www.legis.iowa.gov/docs/iac/rule/641.41.7.pdf" Type="http://schemas.openxmlformats.org/officeDocument/2006/relationships/hyperlink" Id="rId637"/>
    <Relationship TargetMode="External" Target="https://www.legis.iowa.gov/docs/iac/rule/641.39.3.pdf" Type="http://schemas.openxmlformats.org/officeDocument/2006/relationships/hyperlink" Id="rId638"/>
    <Relationship TargetMode="External" Target="https://www.legis.iowa.gov/docs/iac/rule/641.41.6.pdf" Type="http://schemas.openxmlformats.org/officeDocument/2006/relationships/hyperlink" Id="rId639"/>
    <Relationship TargetMode="External" Target="https://www.legis.iowa.gov/docs/iac/rule/641.41.7.pdf" Type="http://schemas.openxmlformats.org/officeDocument/2006/relationships/hyperlink" Id="rId640"/>
    <Relationship TargetMode="External" Target="https://www.legis.iowa.gov/docs/iac/rule/641.41.7.pdf" Type="http://schemas.openxmlformats.org/officeDocument/2006/relationships/hyperlink" Id="rId641"/>
    <Relationship TargetMode="External" Target="https://www.legis.iowa.gov/docs/iac/rule/641.41.7.pdf" Type="http://schemas.openxmlformats.org/officeDocument/2006/relationships/hyperlink" Id="rId642"/>
    <Relationship TargetMode="External" Target="https://www.legis.iowa.gov/docs/iac/rule/641.41.6.pdf" Type="http://schemas.openxmlformats.org/officeDocument/2006/relationships/hyperlink" Id="rId643"/>
    <Relationship TargetMode="External" Target="https://www.legis.iowa.gov/docs/iac/rule/641.41.7.pdf" Type="http://schemas.openxmlformats.org/officeDocument/2006/relationships/hyperlink" Id="rId644"/>
    <Relationship TargetMode="External" Target="https://www.legis.iowa.gov/docs/iac/rule/641.41.7.pdf" Type="http://schemas.openxmlformats.org/officeDocument/2006/relationships/hyperlink" Id="rId645"/>
    <Relationship TargetMode="External" Target="https://www.legis.iowa.gov/docs/iac/rule/641.41.6.pdf" Type="http://schemas.openxmlformats.org/officeDocument/2006/relationships/hyperlink" Id="rId646"/>
    <Relationship TargetMode="External" Target="https://www.legis.iowa.gov/docs/iac/rule/641.41.7.pdf" Type="http://schemas.openxmlformats.org/officeDocument/2006/relationships/hyperlink" Id="rId647"/>
    <Relationship TargetMode="External" Target="https://www.legis.iowa.gov/docs/iac/rule/641.41.6.pdf" Type="http://schemas.openxmlformats.org/officeDocument/2006/relationships/hyperlink" Id="rId648"/>
    <Relationship TargetMode="External" Target="https://www.legis.iowa.gov/docs/iac/rule/641.41.6.pdf" Type="http://schemas.openxmlformats.org/officeDocument/2006/relationships/hyperlink" Id="rId649"/>
    <Relationship TargetMode="External" Target="https://www.legis.iowa.gov/docs/iac/rule/641.41.7.pdf" Type="http://schemas.openxmlformats.org/officeDocument/2006/relationships/hyperlink" Id="rId650"/>
    <Relationship TargetMode="External" Target="https://www.legis.iowa.gov/docs/iac/rule/641.41.7.pdf" Type="http://schemas.openxmlformats.org/officeDocument/2006/relationships/hyperlink" Id="rId651"/>
    <Relationship TargetMode="External" Target="https://www.legis.iowa.gov/docs/iac/rule/641.41.6.pdf" Type="http://schemas.openxmlformats.org/officeDocument/2006/relationships/hyperlink" Id="rId652"/>
    <Relationship TargetMode="External" Target="https://www.legis.iowa.gov/docs/iac/rule/641.41.7.pdf" Type="http://schemas.openxmlformats.org/officeDocument/2006/relationships/hyperlink" Id="rId653"/>
    <Relationship TargetMode="External" Target="https://www.legis.iowa.gov/docs/iac/rule/641.41.7.pdf" Type="http://schemas.openxmlformats.org/officeDocument/2006/relationships/hyperlink" Id="rId654"/>
    <Relationship TargetMode="External" Target="https://www.legis.iowa.gov/docs/iac/rule/641.41.7.pdf" Type="http://schemas.openxmlformats.org/officeDocument/2006/relationships/hyperlink" Id="rId655"/>
    <Relationship TargetMode="External" Target="https://www.legis.iowa.gov/docs/iac/rule/641.41.6.pdf" Type="http://schemas.openxmlformats.org/officeDocument/2006/relationships/hyperlink" Id="rId656"/>
    <Relationship TargetMode="External" Target="https://www.legis.iowa.gov/docs/iac/rule/641.41.7.pdf" Type="http://schemas.openxmlformats.org/officeDocument/2006/relationships/hyperlink" Id="rId657"/>
    <Relationship TargetMode="External" Target="https://www.legis.iowa.gov/docs/iac/rule/641.41.7.pdf" Type="http://schemas.openxmlformats.org/officeDocument/2006/relationships/hyperlink" Id="rId658"/>
    <Relationship TargetMode="External" Target="https://www.legis.iowa.gov/docs/iac/rule/641.41.7.pdf" Type="http://schemas.openxmlformats.org/officeDocument/2006/relationships/hyperlink" Id="rId659"/>
    <Relationship TargetMode="External" Target="https://www.legis.iowa.gov/docs/ico/chapter/136C.pdf" Type="http://schemas.openxmlformats.org/officeDocument/2006/relationships/hyperlink" Id="rId660"/>
    <Relationship TargetMode="External" Target="https://www.legis.iowa.gov/docs/iac/chapter/641.40.pdf" Type="http://schemas.openxmlformats.org/officeDocument/2006/relationships/hyperlink" Id="rId661"/>
    <Relationship TargetMode="External" Target="https://www.legis.iowa.gov/docs/iac/rule/641.40.15.pdf" Type="http://schemas.openxmlformats.org/officeDocument/2006/relationships/hyperlink" Id="rId662"/>
    <Relationship TargetMode="External" Target="https://www.legis.iowa.gov/docs/ico/chapter/136C.pdf" Type="http://schemas.openxmlformats.org/officeDocument/2006/relationships/hyperlink" Id="rId6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