
<file path=[Content_Types].xml><?xml version="1.0" encoding="utf-8"?>
<Types xmlns="http://schemas.openxmlformats.org/package/2006/content-types">
  <Default Extension="jpeg" ContentType="image/jpeg"/>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37</w:t>
      </w:r>
    </w:p>
    <w:p>
      <w:pPr>
        <w:spacing w:before="0" w:after="0"/>
        <w:ind w:left="120"/>
        <w:jc w:val="center"/>
      </w:pPr>
      <w:r>
        <w:rPr>
          <w:rFonts w:ascii="Times New Roman" w:hAnsi="Times New Roman"/>
          <w:b w:val="false"/>
          <w:i w:val="false"/>
          <w:color w:val="000000"/>
          <w:sz w:val="21"/>
        </w:rPr>
        <w:t>PHYSICAL PROTECTION OF CATEGORY 1 AND CATEGORY 2</w:t>
      </w:r>
      <w:r>
        <w:br/>
      </w:r>
      <w:r>
        <w:rPr>
          <w:rFonts w:ascii="Times New Roman" w:hAnsi="Times New Roman"/>
          <w:b w:val="false"/>
          <w:i w:val="false"/>
          <w:color w:val="000000"/>
          <w:sz w:val="21"/>
        </w:rPr>
        <w:t>QUANTITIES OF RADIOACTIVE MATERIAL</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GENERAL PROVISIONS</w:t>
      </w:r>
    </w:p>
    <w:p>
      <w:pPr>
        <w:spacing w:before="0" w:after="0"/>
        <w:ind w:left="120"/>
        <w:jc w:val="both"/>
      </w:pPr>
      <w:r>
        <w:rPr>
          <w:rFonts w:ascii="Times New Roman" w:hAnsi="Times New Roman"/>
          <w:b/>
          <w:i w:val="false"/>
          <w:color w:val="000000"/>
          <w:sz w:val="22"/>
        </w:rPr>
        <w:t>641—37.1</w:t>
      </w:r>
      <w:r>
        <w:rPr>
          <w:rFonts w:ascii="Times New Roman" w:hAnsi="Times New Roman"/>
          <w:b/>
          <w:i w:val="false"/>
          <w:color w:val="000000"/>
          <w:sz w:val="22"/>
        </w:rPr>
        <w:t xml:space="preserve">(136C) </w:t>
      </w:r>
      <w:r>
        <w:rPr>
          <w:rFonts w:ascii="Times New Roman" w:hAnsi="Times New Roman"/>
          <w:b/>
          <w:i w:val="false"/>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w:t>
      </w:r>
      <w:r>
        <w:rPr>
          <w:rFonts w:ascii="Times New Roman" w:hAnsi="Times New Roman"/>
          <w:b w:val="false"/>
          <w:i w:val="false"/>
          <w:color w:val="000000"/>
          <w:sz w:val="22"/>
        </w:rPr>
        <w:t> </w:t>
      </w:r>
      <w:r>
        <w:rPr>
          <w:rFonts w:ascii="Times New Roman" w:hAnsi="Times New Roman"/>
          <w:b w:val="false"/>
          <w:i w:val="false"/>
          <w:color w:val="000000"/>
          <w:sz w:val="22"/>
        </w:rPr>
        <w:t>This chapter has been established to provide the requirements for the physical protection program for any licensee that possesses an aggregated category 1 or category 2 quantity of radioactive material listed in Appendix A to this chapter. These requirements provide reasonable assurance of the security of category 1 or category 2 quantities of radioactive material by protecting these materials from theft or diversion. Specific requirements for access to material, use of material, transfer of material, and transport of material are included. No provision of this chapter authorizes possession of licensed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divisions in this chapter entitled “Background Investigations and Access Control Program” and “Physical Protection Requirements During Use,” including rules </w:t>
      </w:r>
      <w:hyperlink r:id="rId5">
        <w:r>
          <w:rPr>
            <w:rStyle w:val="Hyperlink"/>
            <w:rFonts w:ascii="Times New Roman" w:hAnsi="Times New Roman"/>
            <w:b w:val="false"/>
            <w:i w:val="false"/>
            <w:color w:val="000000"/>
            <w:sz w:val="22"/>
          </w:rPr>
          <w:t>641—37.21</w:t>
        </w:r>
      </w:hyperlink>
      <w:r>
        <w:rPr>
          <w:rFonts w:ascii="Times New Roman" w:hAnsi="Times New Roman"/>
          <w:b w:val="false"/>
          <w:i w:val="false"/>
          <w:color w:val="000000"/>
          <w:sz w:val="22"/>
        </w:rPr>
        <w:t xml:space="preserve">(136C) to </w:t>
      </w:r>
      <w:hyperlink r:id="rId6">
        <w:r>
          <w:rPr>
            <w:rStyle w:val="Hyperlink"/>
            <w:rFonts w:ascii="Times New Roman" w:hAnsi="Times New Roman"/>
            <w:b w:val="false"/>
            <w:i w:val="false"/>
            <w:color w:val="000000"/>
            <w:sz w:val="22"/>
          </w:rPr>
          <w:t>641—37.57</w:t>
        </w:r>
      </w:hyperlink>
      <w:r>
        <w:rPr>
          <w:rFonts w:ascii="Times New Roman" w:hAnsi="Times New Roman"/>
          <w:b w:val="false"/>
          <w:i w:val="false"/>
          <w:color w:val="000000"/>
          <w:sz w:val="22"/>
        </w:rPr>
        <w:t>(136C), apply to any person who, under the regulations in this chapter, possesses or uses at any site an aggregated category 1 or category 2 quantity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division in this chapter entitled “Physical Protection in Transit,” including rules </w:t>
      </w:r>
      <w:hyperlink r:id="rId7">
        <w:r>
          <w:rPr>
            <w:rStyle w:val="Hyperlink"/>
            <w:rFonts w:ascii="Times New Roman" w:hAnsi="Times New Roman"/>
            <w:b w:val="false"/>
            <w:i w:val="false"/>
            <w:color w:val="000000"/>
            <w:sz w:val="22"/>
          </w:rPr>
          <w:t>641—37.71</w:t>
        </w:r>
      </w:hyperlink>
      <w:r>
        <w:rPr>
          <w:rFonts w:ascii="Times New Roman" w:hAnsi="Times New Roman"/>
          <w:b w:val="false"/>
          <w:i w:val="false"/>
          <w:color w:val="000000"/>
          <w:sz w:val="22"/>
        </w:rPr>
        <w:t xml:space="preserve">(136C) to </w:t>
      </w:r>
      <w:hyperlink r:id="rId8">
        <w:r>
          <w:rPr>
            <w:rStyle w:val="Hyperlink"/>
            <w:rFonts w:ascii="Times New Roman" w:hAnsi="Times New Roman"/>
            <w:b w:val="false"/>
            <w:i w:val="false"/>
            <w:color w:val="000000"/>
            <w:sz w:val="22"/>
          </w:rPr>
          <w:t>641—37.81</w:t>
        </w:r>
      </w:hyperlink>
      <w:r>
        <w:rPr>
          <w:rFonts w:ascii="Times New Roman" w:hAnsi="Times New Roman"/>
          <w:b w:val="false"/>
          <w:i w:val="false"/>
          <w:color w:val="000000"/>
          <w:sz w:val="22"/>
        </w:rPr>
        <w:t>(136C), applies to any person who, under the rules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Transports or delivers to a carrier for transport in a single shipment a category 1 or category 2 quantity of radioactive material;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Imports or exports a category 1 or category 2 quantity of radioactive material; the provisions only apply to the domestic portion of the transport.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37.1(4)</w:t>
      </w:r>
      <w:r>
        <w:rPr>
          <w:rFonts w:ascii="Times New Roman" w:hAnsi="Times New Roman"/>
          <w:b w:val="false"/>
          <w:i w:val="false"/>
          <w:color w:val="000000"/>
          <w:sz w:val="22"/>
        </w:rPr>
        <w:t> </w:t>
      </w:r>
      <w:r>
        <w:rPr>
          <w:rFonts w:ascii="Times New Roman" w:hAnsi="Times New Roman"/>
          <w:b w:val="false"/>
          <w:i w:val="false"/>
          <w:color w:val="000000"/>
          <w:sz w:val="22"/>
        </w:rPr>
        <w:t>All references to any Code of Federal Regulations (CFR) in this chapter are those in effect as of July 22, 2020.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3746C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5059C</w:t>
      </w:r>
      <w:r>
        <w:rPr>
          <w:rFonts w:ascii="Times New Roman" w:hAnsi="Times New Roman"/>
          <w:b w:val="false"/>
          <w:i w:val="false"/>
          <w:color w:val="000000"/>
          <w:sz w:val="16"/>
        </w:rPr>
        <w:t>, IAB 6/17/20, effective 7/22/20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641—37.2</w:t>
      </w:r>
      <w:r>
        <w:rPr>
          <w:rFonts w:ascii="Times New Roman" w:hAnsi="Times New Roman"/>
          <w:b w:val="false"/>
          <w:i w:val="false"/>
          <w:color w:val="000000"/>
          <w:sz w:val="22"/>
        </w:rPr>
        <w:t xml:space="preserve"> to </w:t>
      </w:r>
      <w:r>
        <w:rPr>
          <w:rFonts w:ascii="Times New Roman" w:hAnsi="Times New Roman"/>
          <w:b/>
          <w:i w:val="false"/>
          <w:color w:val="000000"/>
          <w:sz w:val="22"/>
        </w:rPr>
        <w:t>37.4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641—37.5</w:t>
      </w:r>
      <w:r>
        <w:rPr>
          <w:rFonts w:ascii="Times New Roman" w:hAnsi="Times New Roman"/>
          <w:b/>
          <w:i w:val="false"/>
          <w:color w:val="000000"/>
          <w:sz w:val="22"/>
        </w:rPr>
        <w:t xml:space="preserve">(136C)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37.5(1)</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chapter, these terms have the definitions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“Access control” </w:t>
      </w:r>
      <w:r>
        <w:rPr>
          <w:rFonts w:ascii="Times New Roman" w:hAnsi="Times New Roman"/>
          <w:b w:val="false"/>
          <w:i w:val="false"/>
          <w:color w:val="000000"/>
          <w:sz w:val="22"/>
        </w:rPr>
        <w:t>means a system for allowing only approved individuals to have unescorted access to the security zone and for ensuring that all other individuals are subject to escorted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means the Atomic Energy Act of 1954 (68 Stat. 919), as amended through July 16, 2014.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“Aggregated” </w:t>
      </w:r>
      <w:r>
        <w:rPr>
          <w:rFonts w:ascii="Times New Roman" w:hAnsi="Times New Roman"/>
          <w:b w:val="false"/>
          <w:i w:val="false"/>
          <w:color w:val="000000"/>
          <w:sz w:val="22"/>
        </w:rPr>
        <w:t>means accessible by the breach of a single physical barrier that would allow access to radioactive material in any form, including any devices that contain the radioactive material, when the total activity equals or exceeds a category 2 quantity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“Agreement state” </w:t>
      </w:r>
      <w:r>
        <w:rPr>
          <w:rFonts w:ascii="Times New Roman" w:hAnsi="Times New Roman"/>
          <w:b w:val="false"/>
          <w:i w:val="false"/>
          <w:color w:val="000000"/>
          <w:sz w:val="22"/>
        </w:rPr>
        <w:t>means any state with which the Atomic Energy Commission or the U.S. Nuclear Regulatory Commission has entered into an effective agreement under Subsection 274b.</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of the Act. “Non-agreement state” means any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individual” </w:t>
      </w:r>
      <w:r>
        <w:rPr>
          <w:rFonts w:ascii="Times New Roman" w:hAnsi="Times New Roman"/>
          <w:b w:val="false"/>
          <w:i w:val="false"/>
          <w:color w:val="000000"/>
          <w:sz w:val="22"/>
        </w:rPr>
        <w:t xml:space="preserve">means an individual whom the licensee has determined to be trustworthy and reliable for unescorted access in accordance with rules </w:t>
      </w:r>
      <w:hyperlink r:id="rId9">
        <w:r>
          <w:rPr>
            <w:rStyle w:val="Hyperlink"/>
            <w:rFonts w:ascii="Times New Roman" w:hAnsi="Times New Roman"/>
            <w:b w:val="false"/>
            <w:i w:val="false"/>
            <w:color w:val="000000"/>
            <w:sz w:val="22"/>
          </w:rPr>
          <w:t>641—37.21</w:t>
        </w:r>
      </w:hyperlink>
      <w:r>
        <w:rPr>
          <w:rFonts w:ascii="Times New Roman" w:hAnsi="Times New Roman"/>
          <w:b w:val="false"/>
          <w:i w:val="false"/>
          <w:color w:val="000000"/>
          <w:sz w:val="22"/>
        </w:rPr>
        <w:t xml:space="preserve">(136C) through </w:t>
      </w:r>
      <w:hyperlink r:id="rId10">
        <w:r>
          <w:rPr>
            <w:rStyle w:val="Hyperlink"/>
            <w:rFonts w:ascii="Times New Roman" w:hAnsi="Times New Roman"/>
            <w:b w:val="false"/>
            <w:i w:val="false"/>
            <w:color w:val="000000"/>
            <w:sz w:val="22"/>
          </w:rPr>
          <w:t>641—37.33</w:t>
        </w:r>
      </w:hyperlink>
      <w:r>
        <w:rPr>
          <w:rFonts w:ascii="Times New Roman" w:hAnsi="Times New Roman"/>
          <w:b w:val="false"/>
          <w:i w:val="false"/>
          <w:color w:val="000000"/>
          <w:sz w:val="22"/>
        </w:rPr>
        <w:t xml:space="preserve">(136C) and who has completed the training required by </w:t>
      </w:r>
      <w:hyperlink r:id="rId11">
        <w:r>
          <w:rPr>
            <w:rStyle w:val="Hyperlink"/>
            <w:rFonts w:ascii="Times New Roman" w:hAnsi="Times New Roman"/>
            <w:b w:val="false"/>
            <w:i w:val="false"/>
            <w:color w:val="000000"/>
            <w:sz w:val="22"/>
          </w:rPr>
          <w:t>37.43(3)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“Background investigation” </w:t>
      </w:r>
      <w:r>
        <w:rPr>
          <w:rFonts w:ascii="Times New Roman" w:hAnsi="Times New Roman"/>
          <w:b w:val="false"/>
          <w:i w:val="false"/>
          <w:color w:val="000000"/>
          <w:sz w:val="22"/>
        </w:rPr>
        <w:t>means the investigation conducted by a licensee or applicant to support the determination of trustworthiness and reliability.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“Becquerel (Bq)” </w:t>
      </w:r>
      <w:r>
        <w:rPr>
          <w:rFonts w:ascii="Times New Roman" w:hAnsi="Times New Roman"/>
          <w:b w:val="false"/>
          <w:i w:val="false"/>
          <w:color w:val="000000"/>
          <w:sz w:val="22"/>
        </w:rPr>
        <w:t>means one disintegration per second.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“Byproduct material”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radioactive material, except special nuclear material, yielded in, or made radioactive by, exposure to the radiation incident to the process of producing or using special nuclear material;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tailings or wastes produced by the extraction or concentration of uranium or thorium from ore processed primarily for its source material content, including discrete surface wastes resulting from uranium or thorium solution extraction processes. Underground ore bodies depleted by these solution extraction operations do not constitute “byproduct material” within this definition;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discrete source of radium-226 that is produced, extracted, or converted after extraction, before, on, or after August 8, 2005, for use for a commercial, medical, or research activity; or any material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Has been made radioactive by use of a particle accelerator;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produced, extracted, or converted after extraction, before, on, or after August 8, 2005, for use for a commercial, medical, or research activity;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discrete source of naturally occurring radioactive material, other than source material,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Nuclear Regulatory Commission, in consultation with the Administrator of the Environmental Protection Agency, the Secretary of Energy, the Secretary of Homeland Security, and the head of any other appropriate federal agency, determines would pose a threat similar to the threat posed by a discrete source of radium-226 to the public health and safety or the common defense and security;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Before, on, or after August 8, 2005, is extracted or converted after extraction for use in a commercial, medical, or research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“Carrier” </w:t>
      </w:r>
      <w:r>
        <w:rPr>
          <w:rFonts w:ascii="Times New Roman" w:hAnsi="Times New Roman"/>
          <w:b w:val="false"/>
          <w:i w:val="false"/>
          <w:color w:val="000000"/>
          <w:sz w:val="22"/>
        </w:rPr>
        <w:t>means a person engaged in the transportation of passengers or property by land or water as a common, contract, or private carrier, or by civil aircraft.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“Category 1 quantity of radioactive material” </w:t>
      </w:r>
      <w:r>
        <w:rPr>
          <w:rFonts w:ascii="Times New Roman" w:hAnsi="Times New Roman"/>
          <w:b w:val="false"/>
          <w:i w:val="false"/>
          <w:color w:val="000000"/>
          <w:sz w:val="22"/>
        </w:rPr>
        <w:t>means a quantity of radioactive material meeting or exceeding the category 1 threshold in Table 1 of Appendix A to this chapter. This is determined by calculating the ratio of the total activity of each radionuclide to the category 1 threshold for that radionuclide and adding the ratios together. If the sum is equal to or exceeds 1, the quantity would be considered a category 1 quantity. Category 1 quantities of radioactive material do not include the radioactive material contained in any fuel assembly, subassembly, fuel rod, or fuel pellet.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“Category 2 quantity of radioactive material” </w:t>
      </w:r>
      <w:r>
        <w:rPr>
          <w:rFonts w:ascii="Times New Roman" w:hAnsi="Times New Roman"/>
          <w:b w:val="false"/>
          <w:i w:val="false"/>
          <w:color w:val="000000"/>
          <w:sz w:val="22"/>
        </w:rPr>
        <w:t>means a quantity of radioactive material meeting or exceeding the category 2 threshold but less than the category 1 threshold in Table 1 of Appendix A to this chapter. This is determined by calculating the ratio of the total activity of each radionuclide to the category 2 threshold for that radionuclide and adding the ratios together. If the sum is equal to or exceeds 1, the quantity would be considered a category 2 quantity. Category 2 quantities of radioactive material do not include the radioactive material contained in any fuel assembly, subassembly, fuel rod, or fuel pellet.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U.S. Nuclear Regulatory Commission or its duly authorized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“Curie” </w:t>
      </w:r>
      <w:r>
        <w:rPr>
          <w:rFonts w:ascii="Times New Roman" w:hAnsi="Times New Roman"/>
          <w:b w:val="false"/>
          <w:i w:val="false"/>
          <w:color w:val="000000"/>
          <w:sz w:val="22"/>
        </w:rPr>
        <w:t>means that amount of radioactive material which disintegrates at the rate of 37 billion atoms per second.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“Diversion” </w:t>
      </w:r>
      <w:r>
        <w:rPr>
          <w:rFonts w:ascii="Times New Roman" w:hAnsi="Times New Roman"/>
          <w:b w:val="false"/>
          <w:i w:val="false"/>
          <w:color w:val="000000"/>
          <w:sz w:val="22"/>
        </w:rPr>
        <w:t>means the unauthorized movement of radioactive material subject to this chapter to a location different from the material’s authorized destination inside or outside of the site at which the material is used or 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“Escorted access” </w:t>
      </w:r>
      <w:r>
        <w:rPr>
          <w:rFonts w:ascii="Times New Roman" w:hAnsi="Times New Roman"/>
          <w:b w:val="false"/>
          <w:i w:val="false"/>
          <w:color w:val="000000"/>
          <w:sz w:val="22"/>
        </w:rPr>
        <w:t>means accompaniment while in a security zone by an approved individual who maintains continuous direct visual surveillance at all times over an individual who is not approved for unescorted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“Fingerprint orders” </w:t>
      </w:r>
      <w:r>
        <w:rPr>
          <w:rFonts w:ascii="Times New Roman" w:hAnsi="Times New Roman"/>
          <w:b w:val="false"/>
          <w:i w:val="false"/>
          <w:color w:val="000000"/>
          <w:sz w:val="22"/>
        </w:rPr>
        <w:t>means the orders issued by the U.S. Nuclear Regulatory Commission or the legally binding requirements issued by agreement states that require fingerprints and criminal history records checks for individuals with unescorted access to category 1 and category 2 quantities of radioactive material or safeguards information-modified handling.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“Government agency” </w:t>
      </w:r>
      <w:r>
        <w:rPr>
          <w:rFonts w:ascii="Times New Roman" w:hAnsi="Times New Roman"/>
          <w:b w:val="false"/>
          <w:i w:val="false"/>
          <w:color w:val="000000"/>
          <w:sz w:val="22"/>
        </w:rPr>
        <w:t>means any executive department, commission, independent establishment, corporation, wholly or partly owned by the United States of America which is an instrumentality of the United States, or any board, bureau, division, service, office, officer, authority, administration, or other establishment in the executive branch of the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 license issued by the agency in accordance with the rules adopted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“License-issuing authority” </w:t>
      </w:r>
      <w:r>
        <w:rPr>
          <w:rFonts w:ascii="Times New Roman" w:hAnsi="Times New Roman"/>
          <w:b w:val="false"/>
          <w:i w:val="false"/>
          <w:color w:val="000000"/>
          <w:sz w:val="22"/>
        </w:rPr>
        <w:t>means the licensing agency that issued the license, i.e., the agency, the U.S. Nuclear Regulatory Commission or an agreement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law enforcement agency (LLEA)” </w:t>
      </w:r>
      <w:r>
        <w:rPr>
          <w:rFonts w:ascii="Times New Roman" w:hAnsi="Times New Roman"/>
          <w:b w:val="false"/>
          <w:i w:val="false"/>
          <w:color w:val="000000"/>
          <w:sz w:val="22"/>
        </w:rPr>
        <w:t>means a public or private organization that has been approved by a federal, state, or local government to carry firearms and make arrests, and is authorized and has the capability to provide an armed response in the jurisdiction where the licensed category 1 or category 2 quantity of radioactive material is used, stored, or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“Lost or missing licensed material” </w:t>
      </w:r>
      <w:r>
        <w:rPr>
          <w:rFonts w:ascii="Times New Roman" w:hAnsi="Times New Roman"/>
          <w:b w:val="false"/>
          <w:i w:val="false"/>
          <w:color w:val="000000"/>
          <w:sz w:val="22"/>
        </w:rPr>
        <w:t>means licensed material whose location is unknown. Lost or missing licensed material includes material that has been shipped but has not reached its destination and whose location cannot be readily traced in the transportation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“Mobile device” </w:t>
      </w:r>
      <w:r>
        <w:rPr>
          <w:rFonts w:ascii="Times New Roman" w:hAnsi="Times New Roman"/>
          <w:b w:val="false"/>
          <w:i w:val="false"/>
          <w:color w:val="000000"/>
          <w:sz w:val="22"/>
        </w:rPr>
        <w:t>means a piece of equipment containing licensed radioactive material that is either mounted on wheels or casters, or otherwise equipped for moving without a need for disassembly or dismounting; or designed to be hand carried. Mobile devices do not include stationary equipment installed in a fixed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“Movement control center” </w:t>
      </w:r>
      <w:r>
        <w:rPr>
          <w:rFonts w:ascii="Times New Roman" w:hAnsi="Times New Roman"/>
          <w:b w:val="false"/>
          <w:i w:val="false"/>
          <w:color w:val="000000"/>
          <w:sz w:val="22"/>
        </w:rPr>
        <w:t>means an operations center that is remote from transport activity and that maintains position information on the movement of radioactive material, receives reports of attempted attacks or thefts, provides a means for reporting these and other problems to appropriate agencies and can request and coordinate appropriate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“No-later-than arrival time” </w:t>
      </w:r>
      <w:r>
        <w:rPr>
          <w:rFonts w:ascii="Times New Roman" w:hAnsi="Times New Roman"/>
          <w:b w:val="false"/>
          <w:i w:val="false"/>
          <w:color w:val="000000"/>
          <w:sz w:val="22"/>
        </w:rPr>
        <w:t>means the date and time that the shipping licensee and receiving licensee have established as the time at which an investigation will be initiated if the shipment has not arrived at the receiving facility. The no-later-than arrival time may not be more than six hours after the estimated arrival time for shipments of category 2 quantities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any individual, corporation, partnership, firm, association, trust, estate, public or private institution, group, agency, political subdivision of this state, any other state or political subdivision or agency thereof, and any legal successor, representative, agent, or agency of the foregoing, but shall not include federal government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“Reviewing official” </w:t>
      </w:r>
      <w:r>
        <w:rPr>
          <w:rFonts w:ascii="Times New Roman" w:hAnsi="Times New Roman"/>
          <w:b w:val="false"/>
          <w:i w:val="false"/>
          <w:color w:val="000000"/>
          <w:sz w:val="22"/>
        </w:rPr>
        <w:t>means the individual who shall make the trustworthiness and reliability determination of an individual to determine whether the individual may have, or continue to have, unescorted access to the category 1 or category 2 quantities of radioactive materials that are possessed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“Sabotage” </w:t>
      </w:r>
      <w:r>
        <w:rPr>
          <w:rFonts w:ascii="Times New Roman" w:hAnsi="Times New Roman"/>
          <w:b w:val="false"/>
          <w:i w:val="false"/>
          <w:color w:val="000000"/>
          <w:sz w:val="22"/>
        </w:rPr>
        <w:t>means deliberate damage, with malevolent intent, to a category 1 or category 2 quantity of radioactive material, a device that contains a category 1 or category 2 quantity of radioactive material, or the components of the security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“Safe haven” </w:t>
      </w:r>
      <w:r>
        <w:rPr>
          <w:rFonts w:ascii="Times New Roman" w:hAnsi="Times New Roman"/>
          <w:b w:val="false"/>
          <w:i w:val="false"/>
          <w:color w:val="000000"/>
          <w:sz w:val="22"/>
        </w:rPr>
        <w:t>means a readily recognizable and readily accessible site at which security is present or from which, in the event of an emergency, the transport crew can notify and wait for the local law enforcement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“Security zone” </w:t>
      </w:r>
      <w:r>
        <w:rPr>
          <w:rFonts w:ascii="Times New Roman" w:hAnsi="Times New Roman"/>
          <w:b w:val="false"/>
          <w:i w:val="false"/>
          <w:color w:val="000000"/>
          <w:sz w:val="22"/>
        </w:rPr>
        <w:t>means any temporary or permanent area determined and established by the licensee for the physical protection of category 1 or category 2 quantities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w:t>
      </w:r>
      <w:r>
        <w:rPr>
          <w:rFonts w:ascii="Times New Roman" w:hAnsi="Times New Roman"/>
          <w:b w:val="false"/>
          <w:i w:val="false"/>
          <w:color w:val="000000"/>
          <w:sz w:val="22"/>
        </w:rPr>
        <w:t>means a state of the United States, the District of Columbia, the Commonwealth of Puerto Rico, the Virgin Islands, Guam, American Samoa, and the Commonwealth of the Northern Mariana Islands.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“Telemetric position monitoring system” </w:t>
      </w:r>
      <w:r>
        <w:rPr>
          <w:rFonts w:ascii="Times New Roman" w:hAnsi="Times New Roman"/>
          <w:b w:val="false"/>
          <w:i w:val="false"/>
          <w:color w:val="000000"/>
          <w:sz w:val="22"/>
        </w:rPr>
        <w:t>means a data transfer system that captures information by instrumentation or measuring devices, or both, about the location and status of a transport vehicle or package between the departure and destination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“Trustworthiness and reliability” </w:t>
      </w:r>
      <w:r>
        <w:rPr>
          <w:rFonts w:ascii="Times New Roman" w:hAnsi="Times New Roman"/>
          <w:b w:val="false"/>
          <w:i w:val="false"/>
          <w:color w:val="000000"/>
          <w:sz w:val="22"/>
        </w:rPr>
        <w:t>are characteristics of an individual considered dependable in judgment, character, and performance, such that unescorted access to category 1 or category 2 quantities of radioactive material by that individual does not constitute an unreasonable risk to the public health and safety or security. A determination of trustworthiness and reliability for this purpose is based upon the results from a background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“Unescorted access” </w:t>
      </w:r>
      <w:r>
        <w:rPr>
          <w:rFonts w:ascii="Times New Roman" w:hAnsi="Times New Roman"/>
          <w:b w:val="false"/>
          <w:i w:val="false"/>
          <w:color w:val="000000"/>
          <w:sz w:val="22"/>
        </w:rPr>
        <w:t>means solitary access to an aggregated category 1 or category 2 quantity of radioactive material or the devices that contain the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“United States,” </w:t>
      </w:r>
      <w:r>
        <w:rPr>
          <w:rFonts w:ascii="Times New Roman" w:hAnsi="Times New Roman"/>
          <w:b w:val="false"/>
          <w:i w:val="false"/>
          <w:color w:val="000000"/>
          <w:sz w:val="22"/>
        </w:rPr>
        <w:t>when used in a geographical sense, includes Puerto Rico and all territories and possessions of the United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641—37.7</w:t>
      </w:r>
      <w:r>
        <w:rPr>
          <w:rFonts w:ascii="Times New Roman" w:hAnsi="Times New Roman"/>
          <w:b/>
          <w:i w:val="false"/>
          <w:color w:val="000000"/>
          <w:sz w:val="22"/>
        </w:rPr>
        <w:t xml:space="preserve">(136C) </w:t>
      </w:r>
      <w:r>
        <w:rPr>
          <w:rFonts w:ascii="Times New Roman" w:hAnsi="Times New Roman"/>
          <w:b/>
          <w:i w:val="false"/>
          <w:color w:val="000000"/>
          <w:sz w:val="22"/>
        </w:rPr>
        <w:t xml:space="preserve">Communications. </w:t>
      </w:r>
      <w:r>
        <w:rPr>
          <w:rFonts w:ascii="Times New Roman" w:hAnsi="Times New Roman"/>
          <w:b w:val="false"/>
          <w:i w:val="false"/>
          <w:color w:val="000000"/>
          <w:sz w:val="22"/>
        </w:rPr>
        <w:t>All communications and reports concerning the rules in this chapter should be addressed to the agency at its office located at the Iowa Department of Public Health, Bureau of Radiological Health, Lucas State Office Building, 5th Floor, 321 East 12th Street, 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641—37.8</w:t>
      </w:r>
      <w:r>
        <w:rPr>
          <w:rFonts w:ascii="Times New Roman" w:hAnsi="Times New Roman"/>
          <w:b w:val="false"/>
          <w:i w:val="false"/>
          <w:color w:val="000000"/>
          <w:sz w:val="22"/>
        </w:rPr>
        <w:t xml:space="preserve"> to </w:t>
      </w:r>
      <w:r>
        <w:rPr>
          <w:rFonts w:ascii="Times New Roman" w:hAnsi="Times New Roman"/>
          <w:b/>
          <w:i w:val="false"/>
          <w:color w:val="000000"/>
          <w:sz w:val="22"/>
        </w:rPr>
        <w:t>37.10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641—37.11</w:t>
      </w:r>
      <w:r>
        <w:rPr>
          <w:rFonts w:ascii="Times New Roman" w:hAnsi="Times New Roman"/>
          <w:b/>
          <w:i w:val="false"/>
          <w:color w:val="000000"/>
          <w:sz w:val="22"/>
        </w:rPr>
        <w:t xml:space="preserve">(136C) </w:t>
      </w:r>
      <w:r>
        <w:rPr>
          <w:rFonts w:ascii="Times New Roman" w:hAnsi="Times New Roman"/>
          <w:b/>
          <w:i w:val="false"/>
          <w:color w:val="000000"/>
          <w:sz w:val="22"/>
        </w:rPr>
        <w:t xml:space="preserve">Specific 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agency may, upon application of any interested person or upon its own initiative, grant such exemptions from the requirements of the rules in this chapter as it determines are authorized by law and will not result in undue hazard to public health and safety or property and are otherwise in the public interest. Application for exemption should be made in accordance with </w:t>
      </w:r>
      <w:hyperlink r:id="rId12">
        <w:r>
          <w:rPr>
            <w:rStyle w:val="Hyperlink"/>
            <w:rFonts w:ascii="Times New Roman" w:hAnsi="Times New Roman"/>
            <w:b w:val="false"/>
            <w:i w:val="false"/>
            <w:color w:val="000000"/>
            <w:sz w:val="22"/>
          </w:rPr>
          <w:t>641—Chapter 178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37.11(2)</w:t>
      </w:r>
      <w:r>
        <w:rPr>
          <w:rFonts w:ascii="Times New Roman" w:hAnsi="Times New Roman"/>
          <w:b w:val="false"/>
          <w:i w:val="false"/>
          <w:color w:val="000000"/>
          <w:sz w:val="22"/>
        </w:rPr>
        <w:t> </w:t>
      </w:r>
      <w:r>
        <w:rPr>
          <w:rFonts w:ascii="Times New Roman" w:hAnsi="Times New Roman"/>
          <w:b w:val="false"/>
          <w:i w:val="false"/>
          <w:color w:val="000000"/>
          <w:sz w:val="22"/>
        </w:rPr>
        <w:t>A licensee that possesses radioactive waste that contains category 1 or category 2 quantities of radioactive material is exempt from the requirements of this chapter. Except that any radioactive waste that contains discrete sources, ion-exchange resins, or activated material that weighs less than 2,000 kg (4,409 lbs) is not exempt from the requirements of this chapter. The licensee shall implement the following requirements to secure the radioactive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Use continuous physical barriers that allow access to the radioactive waste only through established access control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a locked door or gate with monitored alarm at the access control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Assess and respond to each actual or attempted unauthorized access to determine whether an actual or attempted theft, sabotage, or diversion occurred;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Immediately notify the LLEA and request an armed response from the LLEA upon determination that there was an actual or attempted theft, sabotage, or diversion of the radioactive waste that contains category 1 or category 2 quantities of radioactive material.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641—37.12</w:t>
      </w:r>
      <w:r>
        <w:rPr>
          <w:rFonts w:ascii="Times New Roman" w:hAnsi="Times New Roman"/>
          <w:b w:val="false"/>
          <w:i w:val="false"/>
          <w:color w:val="000000"/>
          <w:sz w:val="22"/>
        </w:rPr>
        <w:t xml:space="preserve"> to </w:t>
      </w:r>
      <w:r>
        <w:rPr>
          <w:rFonts w:ascii="Times New Roman" w:hAnsi="Times New Roman"/>
          <w:b/>
          <w:i w:val="false"/>
          <w:color w:val="000000"/>
          <w:sz w:val="22"/>
        </w:rPr>
        <w:t>37.20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BACKGROUND INVESTIGATIONS AND ACCESS CONTROL PROGRAM</w:t>
      </w:r>
    </w:p>
    <w:p>
      <w:pPr>
        <w:spacing w:before="0" w:after="0"/>
        <w:ind w:left="120"/>
        <w:jc w:val="both"/>
      </w:pPr>
      <w:r>
        <w:rPr>
          <w:rFonts w:ascii="Times New Roman" w:hAnsi="Times New Roman"/>
          <w:b/>
          <w:i w:val="false"/>
          <w:color w:val="000000"/>
          <w:sz w:val="22"/>
        </w:rPr>
        <w:t>641—37.21</w:t>
      </w:r>
      <w:r>
        <w:rPr>
          <w:rFonts w:ascii="Times New Roman" w:hAnsi="Times New Roman"/>
          <w:b/>
          <w:i w:val="false"/>
          <w:color w:val="000000"/>
          <w:sz w:val="22"/>
        </w:rPr>
        <w:t xml:space="preserve">(136C) </w:t>
      </w:r>
      <w:r>
        <w:rPr>
          <w:rFonts w:ascii="Times New Roman" w:hAnsi="Times New Roman"/>
          <w:b/>
          <w:i w:val="false"/>
          <w:color w:val="000000"/>
          <w:sz w:val="22"/>
        </w:rPr>
        <w:t xml:space="preserve">Personnel access authorization requirements for category 1 or category 2 quantities of radioactive material.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37.21(1)</w:t>
      </w:r>
      <w:r>
        <w:rPr>
          <w:rFonts w:ascii="Times New Roman" w:hAnsi="Times New Roman"/>
          <w:b w:val="false"/>
          <w:i w:val="false"/>
          <w:color w:val="000000"/>
          <w:sz w:val="22"/>
        </w:rPr>
        <w:t> </w:t>
      </w:r>
      <w:r>
        <w:rPr>
          <w:rFonts w:ascii="Times New Roman" w:hAnsi="Times New Roman"/>
          <w:b w:val="false"/>
          <w:i w:val="false"/>
          <w:color w:val="000000"/>
          <w:sz w:val="22"/>
        </w:rPr>
        <w:t>Each licensee that possesses an aggregated quantity of radioactive material at or above the category 2 threshold shall establish, implement, and maintain its access authorization program in accordance with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37.21(2)</w:t>
      </w:r>
      <w:r>
        <w:rPr>
          <w:rFonts w:ascii="Times New Roman" w:hAnsi="Times New Roman"/>
          <w:b w:val="false"/>
          <w:i w:val="false"/>
          <w:color w:val="000000"/>
          <w:sz w:val="22"/>
        </w:rPr>
        <w:t> </w:t>
      </w:r>
      <w:r>
        <w:rPr>
          <w:rFonts w:ascii="Times New Roman" w:hAnsi="Times New Roman"/>
          <w:b w:val="false"/>
          <w:i w:val="false"/>
          <w:color w:val="000000"/>
          <w:sz w:val="22"/>
        </w:rPr>
        <w:t>An applicant for a new license and each licensee that would become newly subject to the requirements of this chapter upon application for amendment of its license, and a licensee aggregating radioactive material to a quantity that equals or exceeds the category 2 threshold, shall implement the requirements of this chapter and be inspected by the agency, as appropriate, before a new license or license amendment will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licensee’s access authorization program must ensure that the individuals specified in </w:t>
      </w:r>
      <w:hyperlink r:id="rId13">
        <w:r>
          <w:rPr>
            <w:rStyle w:val="Hyperlink"/>
            <w:rFonts w:ascii="Times New Roman" w:hAnsi="Times New Roman"/>
            <w:b w:val="false"/>
            <w:i w:val="false"/>
            <w:color w:val="000000"/>
            <w:sz w:val="22"/>
          </w:rPr>
          <w:t>37.21(4)</w:t>
        </w:r>
      </w:hyperlink>
      <w:r>
        <w:rPr>
          <w:rFonts w:ascii="Times New Roman" w:hAnsi="Times New Roman"/>
          <w:b w:val="false"/>
          <w:i w:val="false"/>
          <w:color w:val="000000"/>
          <w:sz w:val="22"/>
        </w:rPr>
        <w:t xml:space="preserve"> are trustworthy and reliable.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37.21(4)</w:t>
      </w:r>
      <w:r>
        <w:rPr>
          <w:rFonts w:ascii="Times New Roman" w:hAnsi="Times New Roman"/>
          <w:b w:val="false"/>
          <w:i w:val="false"/>
          <w:color w:val="000000"/>
          <w:sz w:val="22"/>
        </w:rPr>
        <w:t> </w:t>
      </w:r>
      <w:r>
        <w:rPr>
          <w:rFonts w:ascii="Times New Roman" w:hAnsi="Times New Roman"/>
          <w:b w:val="false"/>
          <w:i w:val="false"/>
          <w:color w:val="000000"/>
          <w:sz w:val="22"/>
        </w:rPr>
        <w:t>Applicability.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shall subject the following individuals to an access authorization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individual whose assigned duties require unescorted access to category 1 or category 2 quantities of radioactive material or to any device that contains the radioactive material;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Reviewing officials.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need not subject the categories of individuals listed in rule </w:t>
      </w:r>
      <w:hyperlink r:id="rId14">
        <w:r>
          <w:rPr>
            <w:rStyle w:val="Hyperlink"/>
            <w:rFonts w:ascii="Times New Roman" w:hAnsi="Times New Roman"/>
            <w:b w:val="false"/>
            <w:i w:val="false"/>
            <w:color w:val="000000"/>
            <w:sz w:val="22"/>
          </w:rPr>
          <w:t>641—37.29</w:t>
        </w:r>
      </w:hyperlink>
      <w:r>
        <w:rPr>
          <w:rFonts w:ascii="Times New Roman" w:hAnsi="Times New Roman"/>
          <w:b w:val="false"/>
          <w:i w:val="false"/>
          <w:color w:val="000000"/>
          <w:sz w:val="22"/>
        </w:rPr>
        <w:t>(136C) to the investigation elements of the access authorization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Licensees shall approve for unescorted access to category 1 or category 2 quantities of radioactive material only those individuals with job duties that require unescorted access to category 1 or category 2 quantities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Licensees may include individuals needing access to safeguards information-modified handling under 10 CFR Part 73 in the access authorization program under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641—37.22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641—37.23</w:t>
      </w:r>
      <w:r>
        <w:rPr>
          <w:rFonts w:ascii="Times New Roman" w:hAnsi="Times New Roman"/>
          <w:b/>
          <w:i w:val="false"/>
          <w:color w:val="000000"/>
          <w:sz w:val="22"/>
        </w:rPr>
        <w:t xml:space="preserve">(136C) </w:t>
      </w:r>
      <w:r>
        <w:rPr>
          <w:rFonts w:ascii="Times New Roman" w:hAnsi="Times New Roman"/>
          <w:b/>
          <w:i w:val="false"/>
          <w:color w:val="000000"/>
          <w:sz w:val="22"/>
        </w:rPr>
        <w:t xml:space="preserve">Access authorization program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37.23(1)</w:t>
      </w:r>
      <w:r>
        <w:rPr>
          <w:rFonts w:ascii="Times New Roman" w:hAnsi="Times New Roman"/>
          <w:b w:val="false"/>
          <w:i w:val="false"/>
          <w:color w:val="000000"/>
          <w:sz w:val="22"/>
        </w:rPr>
        <w:t> </w:t>
      </w:r>
      <w:r>
        <w:rPr>
          <w:rFonts w:ascii="Times New Roman" w:hAnsi="Times New Roman"/>
          <w:b w:val="false"/>
          <w:i/>
          <w:color w:val="000000"/>
          <w:sz w:val="22"/>
        </w:rPr>
        <w:t xml:space="preserve">Granting unescorted access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shall implement the requirements of these rules for granting initial or reinstated unescorted access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who have been determined to be trustworthy and reliable shall also complete the security training required by </w:t>
      </w:r>
      <w:hyperlink r:id="rId15">
        <w:r>
          <w:rPr>
            <w:rStyle w:val="Hyperlink"/>
            <w:rFonts w:ascii="Times New Roman" w:hAnsi="Times New Roman"/>
            <w:b w:val="false"/>
            <w:i w:val="false"/>
            <w:color w:val="000000"/>
            <w:sz w:val="22"/>
          </w:rPr>
          <w:t>37.43(3)</w:t>
        </w:r>
      </w:hyperlink>
      <w:r>
        <w:rPr>
          <w:rFonts w:ascii="Times New Roman" w:hAnsi="Times New Roman"/>
          <w:b w:val="false"/>
          <w:i w:val="false"/>
          <w:color w:val="000000"/>
          <w:sz w:val="22"/>
        </w:rPr>
        <w:t xml:space="preserve"> before being allowed unescorted access to category 1 or category 2 quantities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37.23(2)</w:t>
      </w:r>
      <w:r>
        <w:rPr>
          <w:rFonts w:ascii="Times New Roman" w:hAnsi="Times New Roman"/>
          <w:b w:val="false"/>
          <w:i w:val="false"/>
          <w:color w:val="000000"/>
          <w:sz w:val="22"/>
        </w:rPr>
        <w:t> </w:t>
      </w:r>
      <w:r>
        <w:rPr>
          <w:rFonts w:ascii="Times New Roman" w:hAnsi="Times New Roman"/>
          <w:b w:val="false"/>
          <w:i/>
          <w:color w:val="000000"/>
          <w:sz w:val="22"/>
        </w:rPr>
        <w:t xml:space="preserve">Reviewing officials.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Reviewing officials are the only individuals who may make trustworthiness and reliability determinations that allow individuals to have unescorted access to category 1 or category 2 quantities of radioactive materials possessed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shall name one or more individuals to be reviewing officials. After completing the background investigation on the reviewing official, the licensee shall provide under oath or affirmation, a certification that the reviewing official is deemed trustworthy and reliable by the licensee. Each licensee shall provide oath or affirmation certifications to the agency in accordance with rule 641—37.7(136C). The fingerprints of the named reviewing official must be taken by a law enforcement agency, federal or state agencies that provide fingerprinting services to the public, or commercial fingerprinting services authorized by a state to take fingerprints. Every ten years, the licensee shall recertify that the reviewing official is deemed trustworthy and reliable in accordance with </w:t>
      </w:r>
      <w:hyperlink r:id="rId16">
        <w:r>
          <w:rPr>
            <w:rStyle w:val="Hyperlink"/>
            <w:rFonts w:ascii="Times New Roman" w:hAnsi="Times New Roman"/>
            <w:b w:val="false"/>
            <w:i w:val="false"/>
            <w:color w:val="000000"/>
            <w:sz w:val="22"/>
          </w:rPr>
          <w:t>37.25(3)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Reviewing officials must be permitted to have unescorted access to category 1 or category 2 quantities of radioactive materials or access to safeguards information or safeguards information-modified handling, if the licensee possesses safeguards information or safeguards information-modified handling.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Reviewing officials cannot approve other individuals to act as reviewing officials.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reviewing official does not need to undergo a new background investigation before being named by the licensee as the reviewing official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has undergone a background investigation that included fingerprinting and an FBI criminal history records check and has been determined to be trustworthy and reliable by the licensee;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is subject to a category listed in rule </w:t>
      </w:r>
      <w:hyperlink r:id="rId17">
        <w:r>
          <w:rPr>
            <w:rStyle w:val="Hyperlink"/>
            <w:rFonts w:ascii="Times New Roman" w:hAnsi="Times New Roman"/>
            <w:b w:val="false"/>
            <w:i w:val="false"/>
            <w:color w:val="000000"/>
            <w:sz w:val="22"/>
          </w:rPr>
          <w:t>641—37.29</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37.23(3)</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may not initiate a background investigation without the informed and signed consent of the subject individual. This consent must include authorization to share personal information with other individuals or organizations as necessary to complete the background investigation. Before a final adverse determination, the licensee shall provide the individual with an opportunity to correct any inaccurate or incomplete information that is developed during the background investigation. Licensees do not need to obtain signed consent from those individuals that meet the requirements of </w:t>
      </w:r>
      <w:hyperlink r:id="rId18">
        <w:r>
          <w:rPr>
            <w:rStyle w:val="Hyperlink"/>
            <w:rFonts w:ascii="Times New Roman" w:hAnsi="Times New Roman"/>
            <w:b w:val="false"/>
            <w:i w:val="false"/>
            <w:color w:val="000000"/>
            <w:sz w:val="22"/>
          </w:rPr>
          <w:t>37.25(2)</w:t>
        </w:r>
      </w:hyperlink>
      <w:r>
        <w:rPr>
          <w:rFonts w:ascii="Times New Roman" w:hAnsi="Times New Roman"/>
          <w:b w:val="false"/>
          <w:i w:val="false"/>
          <w:color w:val="000000"/>
          <w:sz w:val="22"/>
        </w:rPr>
        <w:t>. A signed consent must be obtained prior to any reinvestigation.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subject individual may withdraw the individual’s consent at any time. Licensees shall inform the individual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an individual withdraws consent, the licensee may not initiate any elements of the background investigation that were not in progress at the time the individual withdrew consent;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withdrawal of consent for the background investigation is sufficient cause for denial or termination of unescorted access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37.23(4)</w:t>
      </w:r>
      <w:r>
        <w:rPr>
          <w:rFonts w:ascii="Times New Roman" w:hAnsi="Times New Roman"/>
          <w:b w:val="false"/>
          <w:i w:val="false"/>
          <w:color w:val="000000"/>
          <w:sz w:val="22"/>
        </w:rPr>
        <w:t> </w:t>
      </w:r>
      <w:r>
        <w:rPr>
          <w:rFonts w:ascii="Times New Roman" w:hAnsi="Times New Roman"/>
          <w:b w:val="false"/>
          <w:i/>
          <w:color w:val="000000"/>
          <w:sz w:val="22"/>
        </w:rPr>
        <w:t xml:space="preserve">Personal history disclosure. </w:t>
      </w:r>
      <w:r>
        <w:rPr>
          <w:rFonts w:ascii="Times New Roman" w:hAnsi="Times New Roman"/>
          <w:b w:val="false"/>
          <w:i w:val="false"/>
          <w:color w:val="000000"/>
          <w:sz w:val="22"/>
        </w:rPr>
        <w:t>Any individual who is applying for unescorted access authorization shall disclose the personal history information that is required by the licensee’s access authorization program for the reviewing official to make a determination of the individual’s trustworthiness and reliability. Refusal to provide, or the falsification of, any personal history information required by these rules is sufficient cause for denial or termination of unescorted access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37.23(5)</w:t>
      </w:r>
      <w:r>
        <w:rPr>
          <w:rFonts w:ascii="Times New Roman" w:hAnsi="Times New Roman"/>
          <w:b w:val="false"/>
          <w:i w:val="false"/>
          <w:color w:val="000000"/>
          <w:sz w:val="22"/>
        </w:rPr>
        <w:t> </w:t>
      </w:r>
      <w:r>
        <w:rPr>
          <w:rFonts w:ascii="Times New Roman" w:hAnsi="Times New Roman"/>
          <w:b w:val="false"/>
          <w:i/>
          <w:color w:val="000000"/>
          <w:sz w:val="22"/>
        </w:rPr>
        <w:t xml:space="preserve">Determination basis.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reviewing official shall determine whether to permit, deny, unfavorably terminate, maintain, or administratively withdraw an individual’s unescorted access authorization based on an evaluation of all of the information collected to meet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reviewing official may not permit any individual to have unescorted access until the reviewing official has evaluated all of the information collected to meet the requirements of these rules and determined that the individual is trustworthy and reliable. The reviewing official may deny unescorted access to any individual based on information obtained at any time during the background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shall document the basis for concluding whether or not there is reasonable assurance that an individual is trustworthy and reliable.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reviewing official may terminate or administratively withdraw an individual’s unescorted access authorization based on information obtained after the background investigation has been completed and the individual granted unescorted access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Licensees shall maintain a list of persons currently approved for unescorted access authorization. When a licensee determines that a person no longer requires unescorted access or meets the access authorization requirement, the licensee shall remove the person from the approved list as soon as possible, but no later than seven working days, and take prompt measures to ensure that the individual is unable to have unescorted access to the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37.23(6)</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Licensees shall develop, implement, and maintain written procedures for implementing the access authorization program. The procedures must include provisions for the notification of individuals who are denied unescorted access. The procedures must include provisions for the review, at the request of the affected individual, of a denial or termination of unescorted access authorization. The procedures must contain a provision to ensure that the individual is informed of the grounds for the denial or termination of unescorted access authorization and allow the individual an opportunity to provide additional relevant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37.23(7)</w:t>
      </w:r>
      <w:r>
        <w:rPr>
          <w:rFonts w:ascii="Times New Roman" w:hAnsi="Times New Roman"/>
          <w:b w:val="false"/>
          <w:i w:val="false"/>
          <w:color w:val="000000"/>
          <w:sz w:val="22"/>
        </w:rPr>
        <w:t> </w:t>
      </w:r>
      <w:r>
        <w:rPr>
          <w:rFonts w:ascii="Times New Roman" w:hAnsi="Times New Roman"/>
          <w:b w:val="false"/>
          <w:i/>
          <w:color w:val="000000"/>
          <w:sz w:val="22"/>
        </w:rPr>
        <w:t xml:space="preserve">Right to correct and complete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any final adverse determination, licensees shall provide each individual subject to these rules with the right to complete, correct, and explain information obtained as a result of the licensee’s background investigation. Confirmation of receipt by the individual of this notification must be maintained by the licensee for a period of one year from the date of the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after reviewing the individual’s criminal history record, an individual believes that it is incorrect or incomplete in any respect and wishes to change, correct, update, or explain anything in the record, the individual may initiate challenge procedures. These procedures include direct application by the individual challenging the record to the law enforcement agency that contributed the questioned information or a direct challenge as to the accuracy or completeness of any entry on the criminal history record to the Federal Bureau of Investigation, Criminal Justice Information Services (CJIS) Division, ATTN: SCU, Mod.</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D-2, 1000 Custer Hollow Road, Clarksburg, WV 26306, as set forth in 28 CFR 16.30 through 16.34. In the latter case, the Federal Bureau of Investigation (FBI) will forward the challenge to the agency that submitted the data, and will request that the agency verify or correct the challenged entry. Upon receipt of an official communication directly from the agency that contributed the original information, the FBI Identification Division will make any changes necessary in accordance with the information supplied by that agency. Licensees must provide at least ten days for an individual to initiate action to challenge the results of an FBI criminal history records check after the record is made available for the individual’s review. The licensee may make a final adverse determination based upon the criminal history records only after receipt of the FBI’s confirmation or correction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37.23(8)</w:t>
      </w:r>
      <w:r>
        <w:rPr>
          <w:rFonts w:ascii="Times New Roman" w:hAnsi="Times New Roman"/>
          <w:b w:val="false"/>
          <w:i w:val="false"/>
          <w:color w:val="000000"/>
          <w:sz w:val="22"/>
        </w:rPr>
        <w:t> </w:t>
      </w:r>
      <w:r>
        <w:rPr>
          <w:rFonts w:ascii="Times New Roman" w:hAnsi="Times New Roman"/>
          <w:b w:val="false"/>
          <w:i/>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shall retain documentation regarding the trustworthiness and reliability of individual employees for three years from the date the individual no longer requires unescorted access to category 1 or category 2 quantities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shall retain a copy of the current access authorization program procedures as a record for three years after the procedure is no longer needed. If any portion of the procedure is superseded, the licensee shall retain the superseded material for three years after the record is superseded.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shall retain the list of persons approved for unescorted access authorization for three years after the list is superseded or replaced.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5059C</w:t>
      </w:r>
      <w:r>
        <w:rPr>
          <w:rFonts w:ascii="Times New Roman" w:hAnsi="Times New Roman"/>
          <w:b w:val="false"/>
          <w:i w:val="false"/>
          <w:color w:val="000000"/>
          <w:sz w:val="16"/>
        </w:rPr>
        <w:t>, IAB 6/17/20, effective 7/22/20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641—37.24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641—37.25</w:t>
      </w:r>
      <w:r>
        <w:rPr>
          <w:rFonts w:ascii="Times New Roman" w:hAnsi="Times New Roman"/>
          <w:b/>
          <w:i w:val="false"/>
          <w:color w:val="000000"/>
          <w:sz w:val="22"/>
        </w:rPr>
        <w:t xml:space="preserve">(136C) </w:t>
      </w:r>
      <w:r>
        <w:rPr>
          <w:rFonts w:ascii="Times New Roman" w:hAnsi="Times New Roman"/>
          <w:b/>
          <w:i w:val="false"/>
          <w:color w:val="000000"/>
          <w:sz w:val="22"/>
        </w:rPr>
        <w:t xml:space="preserve">Background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37.25(1)</w:t>
      </w:r>
      <w:r>
        <w:rPr>
          <w:rFonts w:ascii="Times New Roman" w:hAnsi="Times New Roman"/>
          <w:b w:val="false"/>
          <w:i w:val="false"/>
          <w:color w:val="000000"/>
          <w:sz w:val="22"/>
        </w:rPr>
        <w:t> </w:t>
      </w:r>
      <w:r>
        <w:rPr>
          <w:rFonts w:ascii="Times New Roman" w:hAnsi="Times New Roman"/>
          <w:b w:val="false"/>
          <w:i/>
          <w:color w:val="000000"/>
          <w:sz w:val="22"/>
        </w:rPr>
        <w:t xml:space="preserve">Initial investigation. </w:t>
      </w:r>
      <w:r>
        <w:rPr>
          <w:rFonts w:ascii="Times New Roman" w:hAnsi="Times New Roman"/>
          <w:b w:val="false"/>
          <w:i w:val="false"/>
          <w:color w:val="000000"/>
          <w:sz w:val="22"/>
        </w:rPr>
        <w:t>Before allowing an individual unescorted access to category 1 or category 2 quantities of radioactive material or to the devices that contain the material, licensees shall complete a background investigation of the individual seeking unescorted access authorization. The scope of the investigation must encompass at least the seven years preceding the date of the background investigation or since the individual’s eighteenth birthday, whichever is shorter. The background investigation must include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Fingerprinting and an FBI identification and criminal history records check in accordance with rule </w:t>
      </w:r>
      <w:hyperlink r:id="rId19">
        <w:r>
          <w:rPr>
            <w:rStyle w:val="Hyperlink"/>
            <w:rFonts w:ascii="Times New Roman" w:hAnsi="Times New Roman"/>
            <w:b w:val="false"/>
            <w:i w:val="false"/>
            <w:color w:val="000000"/>
            <w:sz w:val="22"/>
          </w:rPr>
          <w:t>641—37.27</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true identity. Licensees shall verify the true identity of the individual who is applying for unescorted access authorization to ensure that the applicant is who the applicant claims to be. A licensee shall review official identification documents (e.g., driver’s license; passport; government identification; certificate of birth issued by the state, province, or country of birth) and compare the documents to personal information data provided by the individual to identify any discrepancy in the information. Licensees shall document the type, expiration, and identification number of the identification document, or maintain a photocopy of identifying documents on file in accordance with rule </w:t>
      </w:r>
      <w:hyperlink r:id="rId20">
        <w:r>
          <w:rPr>
            <w:rStyle w:val="Hyperlink"/>
            <w:rFonts w:ascii="Times New Roman" w:hAnsi="Times New Roman"/>
            <w:b w:val="false"/>
            <w:i w:val="false"/>
            <w:color w:val="000000"/>
            <w:sz w:val="22"/>
          </w:rPr>
          <w:t>641—37.31</w:t>
        </w:r>
      </w:hyperlink>
      <w:r>
        <w:rPr>
          <w:rFonts w:ascii="Times New Roman" w:hAnsi="Times New Roman"/>
          <w:b w:val="false"/>
          <w:i w:val="false"/>
          <w:color w:val="000000"/>
          <w:sz w:val="22"/>
        </w:rPr>
        <w:t>(136C). Licensees shall certify in writing that the identification was properly reviewed, and shall maintain the certification and all related documents for review upon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Employment history verification. Licensees shall complete employment history verification, including military history. Licensees shall verify the individual’s employment with each previous employer for the most recent seven years before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Verification of education. Licensees shall verify that the individual participated in the education process during the claimed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Character and reputation determination. Licensees shall complete reference checks to determine the character and reputation of the individual who has applied for unescorted access authorization. Unless other references are not available, reference checks may not be conducted with any person who is known to be a close member of the individual’s family, including but not limited to the individual’s spouse, parents, siblings, or children, or any individual who resides in the individual’s permanent household. Reference checks under this rule must be limited to whether the individual has been and continues to be trustworthy and reliable;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licensee shall also, to the extent possible, obtain independent information to corroborate that provided by the individual (e.g., seek references not supplied by the individual);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a previous employer, educational institution, or any other entity with which the individual claims to have been engaged fails to provide information or indicates an inability or unwillingness to provide information within a time frame deemed appropriate by the licensee but at least after ten business days of the request or if the licensee is unable to reach the entity, the licensee shall document the refusal, unwillingness, or inability in the record of investigation and shall attempt to obtain the information from an alternate 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37.25(2)</w:t>
      </w:r>
      <w:r>
        <w:rPr>
          <w:rFonts w:ascii="Times New Roman" w:hAnsi="Times New Roman"/>
          <w:b w:val="false"/>
          <w:i w:val="false"/>
          <w:color w:val="000000"/>
          <w:sz w:val="22"/>
        </w:rPr>
        <w:t> </w:t>
      </w:r>
      <w:r>
        <w:rPr>
          <w:rFonts w:ascii="Times New Roman" w:hAnsi="Times New Roman"/>
          <w:b w:val="false"/>
          <w:i/>
          <w:color w:val="000000"/>
          <w:sz w:val="22"/>
        </w:rPr>
        <w:t xml:space="preserve">Grandfathering.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Individuals who have been determined to be trustworthy and reliable for unescorted access to category 1 or category 2 quantities of radioactive material under the fingerprint orders may continue to have unescorted access to category 1 and category 2 quantities of radioactive material without further investigation. These individuals shall be subject to the reinvestigation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Individuals who have been determined to be trustworthy and reliable under the provisions of 10 CFR Part 73 or the security orders for access to safeguards information, safeguards information-modified handling, or risk-significant material may have unescorted access to category 1 and category 2 quantities of radioactive material without further investigation. The licensee shall document that the individual was determined to be trustworthy and reliable under the provisions of 10 CFR Part 73 or a security order. Security order, in this context, refers to any order that was issued by the NRC that required fingerprints and an FBI criminal history records check for access to safeguards information, safeguards information-modified handling, or risk-significant material such as special nuclear material or large quantities of uranium hexafluoride. These individuals shall be subject to the reinvestigation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37.25(3)</w:t>
      </w:r>
      <w:r>
        <w:rPr>
          <w:rFonts w:ascii="Times New Roman" w:hAnsi="Times New Roman"/>
          <w:b w:val="false"/>
          <w:i w:val="false"/>
          <w:color w:val="000000"/>
          <w:sz w:val="22"/>
        </w:rPr>
        <w:t> </w:t>
      </w:r>
      <w:r>
        <w:rPr>
          <w:rFonts w:ascii="Times New Roman" w:hAnsi="Times New Roman"/>
          <w:b w:val="false"/>
          <w:i/>
          <w:color w:val="000000"/>
          <w:sz w:val="22"/>
        </w:rPr>
        <w:t xml:space="preserve">Reinvestigations. </w:t>
      </w:r>
      <w:r>
        <w:rPr>
          <w:rFonts w:ascii="Times New Roman" w:hAnsi="Times New Roman"/>
          <w:b w:val="false"/>
          <w:i w:val="false"/>
          <w:color w:val="000000"/>
          <w:sz w:val="22"/>
        </w:rPr>
        <w:t xml:space="preserve">Licensees shall conduct a reinvestigation every ten years for any individual with unescorted access to category 1 or category 2 quantities of radioactive material. The reinvestigation shall consist of fingerprinting and an FBI identification and criminal history records check in accordance with rule </w:t>
      </w:r>
      <w:hyperlink r:id="rId21">
        <w:r>
          <w:rPr>
            <w:rStyle w:val="Hyperlink"/>
            <w:rFonts w:ascii="Times New Roman" w:hAnsi="Times New Roman"/>
            <w:b w:val="false"/>
            <w:i w:val="false"/>
            <w:color w:val="000000"/>
            <w:sz w:val="22"/>
          </w:rPr>
          <w:t>641—37.27</w:t>
        </w:r>
      </w:hyperlink>
      <w:r>
        <w:rPr>
          <w:rFonts w:ascii="Times New Roman" w:hAnsi="Times New Roman"/>
          <w:b w:val="false"/>
          <w:i w:val="false"/>
          <w:color w:val="000000"/>
          <w:sz w:val="22"/>
        </w:rPr>
        <w:t>(136C). The reinvestigations must be completed within ten years of the date on which these elements were last completed.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641—37.26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641—37.27</w:t>
      </w:r>
      <w:r>
        <w:rPr>
          <w:rFonts w:ascii="Times New Roman" w:hAnsi="Times New Roman"/>
          <w:b/>
          <w:i w:val="false"/>
          <w:color w:val="000000"/>
          <w:sz w:val="22"/>
        </w:rPr>
        <w:t xml:space="preserve">(136C) </w:t>
      </w:r>
      <w:r>
        <w:rPr>
          <w:rFonts w:ascii="Times New Roman" w:hAnsi="Times New Roman"/>
          <w:b/>
          <w:i w:val="false"/>
          <w:color w:val="000000"/>
          <w:sz w:val="22"/>
        </w:rPr>
        <w:t xml:space="preserve">Requirements for criminal history records checks of individuals granted unescorted access to category 1 or category 2 quantities of radioactive material.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37.27(1)</w:t>
      </w:r>
      <w:r>
        <w:rPr>
          <w:rFonts w:ascii="Times New Roman" w:hAnsi="Times New Roman"/>
          <w:b w:val="false"/>
          <w:i w:val="false"/>
          <w:color w:val="000000"/>
          <w:sz w:val="22"/>
        </w:rPr>
        <w:t> </w:t>
      </w:r>
      <w:r>
        <w:rPr>
          <w:rFonts w:ascii="Times New Roman" w:hAnsi="Times New Roman"/>
          <w:b w:val="false"/>
          <w:i/>
          <w:color w:val="000000"/>
          <w:sz w:val="22"/>
        </w:rPr>
        <w:t xml:space="preserve">General performance objective and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for those individuals listed in rule </w:t>
      </w:r>
      <w:hyperlink r:id="rId22">
        <w:r>
          <w:rPr>
            <w:rStyle w:val="Hyperlink"/>
            <w:rFonts w:ascii="Times New Roman" w:hAnsi="Times New Roman"/>
            <w:b w:val="false"/>
            <w:i w:val="false"/>
            <w:color w:val="000000"/>
            <w:sz w:val="22"/>
          </w:rPr>
          <w:t>641—37.29</w:t>
        </w:r>
      </w:hyperlink>
      <w:r>
        <w:rPr>
          <w:rFonts w:ascii="Times New Roman" w:hAnsi="Times New Roman"/>
          <w:b w:val="false"/>
          <w:i w:val="false"/>
          <w:color w:val="000000"/>
          <w:sz w:val="22"/>
        </w:rPr>
        <w:t xml:space="preserve">(136C) and those individuals grandfathered under </w:t>
      </w:r>
      <w:hyperlink r:id="rId23">
        <w:r>
          <w:rPr>
            <w:rStyle w:val="Hyperlink"/>
            <w:rFonts w:ascii="Times New Roman" w:hAnsi="Times New Roman"/>
            <w:b w:val="false"/>
            <w:i w:val="false"/>
            <w:color w:val="000000"/>
            <w:sz w:val="22"/>
          </w:rPr>
          <w:t>37.25(2)</w:t>
        </w:r>
      </w:hyperlink>
      <w:r>
        <w:rPr>
          <w:rFonts w:ascii="Times New Roman" w:hAnsi="Times New Roman"/>
          <w:b w:val="false"/>
          <w:i w:val="false"/>
          <w:color w:val="000000"/>
          <w:sz w:val="22"/>
        </w:rPr>
        <w:t>, each licensee subject to the provisions of these rules shall fingerprint each individual who is to be permitted unescorted access to category 1 or category 2 quantities of radioactive material. Licensees shall transmit all collected fingerprints to the Nuclear Regulatory Commission for transmission to the FBI. The licensee shall use the information received from the FBI as part of the required background investigation to determine whether to grant or deny further unescorted access to category 1 or category 2 quantities of radioactive materials for that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shall notify each affected individual that the individual’s fingerprints will be used to secure a review of the individual’s criminal history record, and shall inform the individual of the procedures for revising the record or adding explanations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Fingerprinting is not required if a licensee is reinstating an individual’s unescorted access authorization to category 1 or category 2 quantities of radioactive materials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returns to the same facility that granted unescorted access authorization within 365 days of the termination of the individual’s unescorted access authorization;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previous access was terminated under favorable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Fingerprints do not need to be taken if an individual who is an employee of a licensee, contractor, manufacturer, or supplier has been granted unescorted access to category 1 or category 2 quantities of radioactive material, access to safeguards information, or safeguards information-modified handling by another licensee, based upon a background investigation conducted under these rules, the fingerprint orders, or 10 CFR Part 73. An existing criminal history records check file may be transferred to the licensee asked to grant unescorted access in accordance with the provisions of </w:t>
      </w:r>
      <w:hyperlink r:id="rId24">
        <w:r>
          <w:rPr>
            <w:rStyle w:val="Hyperlink"/>
            <w:rFonts w:ascii="Times New Roman" w:hAnsi="Times New Roman"/>
            <w:b w:val="false"/>
            <w:i w:val="false"/>
            <w:color w:val="000000"/>
            <w:sz w:val="22"/>
          </w:rPr>
          <w:t>37.31(3)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Licensees shall use the information obtained as part of a criminal history records check solely for the purpose of determining an individual’s suitability for unescorted access authorization to category 1 or category 2 quantities of radioactive materials, access to safeguards information, or safeguards information-modified handling.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37.27(2)</w:t>
      </w:r>
      <w:r>
        <w:rPr>
          <w:rFonts w:ascii="Times New Roman" w:hAnsi="Times New Roman"/>
          <w:b w:val="false"/>
          <w:i w:val="false"/>
          <w:color w:val="000000"/>
          <w:sz w:val="22"/>
        </w:rPr>
        <w:t> </w:t>
      </w:r>
      <w:r>
        <w:rPr>
          <w:rFonts w:ascii="Times New Roman" w:hAnsi="Times New Roman"/>
          <w:b w:val="false"/>
          <w:i/>
          <w:color w:val="000000"/>
          <w:sz w:val="22"/>
        </w:rPr>
        <w:t xml:space="preserve">Prohibitions.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may not base a final determination to deny an individual unescorted access authorization to category 1 or category 2 quantities of radioactive material solely on the basis of information received from the FBI involving: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arrest more than one year old for which there is no information of the disposition of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arrest that resulted in dismissal of the charge or an acquittal.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Licensees may not use information received from a criminal history records check obtained under these rules in a manner that would infringe upon the rights of any individual under the First Amendment to the Constitution of the United States, nor shall licensees use the information in any way that would discriminate among individuals on the basis of race, religion, national origin, gender, or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37.27(3)</w:t>
      </w:r>
      <w:r>
        <w:rPr>
          <w:rFonts w:ascii="Times New Roman" w:hAnsi="Times New Roman"/>
          <w:b w:val="false"/>
          <w:i w:val="false"/>
          <w:color w:val="000000"/>
          <w:sz w:val="22"/>
        </w:rPr>
        <w:t> </w:t>
      </w:r>
      <w:r>
        <w:rPr>
          <w:rFonts w:ascii="Times New Roman" w:hAnsi="Times New Roman"/>
          <w:b w:val="false"/>
          <w:i/>
          <w:color w:val="000000"/>
          <w:sz w:val="22"/>
        </w:rPr>
        <w:t xml:space="preserve">Procedures for processing of fingerprint checks.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 of complying with these rules, licensees shall use an appropriate method listed in 10 CFR 37.7 to submit to the U.S. Nuclear Regulatory Commission, Director, Division of Physical and Cyber Security Policy, 11545 Rockville Pike, ATTN: Criminal History Program/Mail Stop T-8B20, Rockville, Maryland 20852, one completed, legible standard fingerprint card (Form FD-258, ORIMDNRCOOOZ), electronic fingerprint scan or, where practicable, other fingerprint record for each individual requiring unescorted access to category 1 or category 2 quantities of radioactive material. Copies of these forms may be obtained by emailing </w:t>
      </w:r>
      <w:hyperlink r:id="rId25">
        <w:r>
          <w:rPr>
            <w:rStyle w:val="Hyperlink"/>
            <w:rFonts w:ascii="Times New Roman" w:hAnsi="Times New Roman"/>
            <w:b w:val="false"/>
            <w:i w:val="false"/>
            <w:color w:val="000000"/>
            <w:sz w:val="22"/>
            <w:u w:val="single"/>
          </w:rPr>
          <w:t>MAILSVS.Resource@nrc.gov</w:t>
        </w:r>
      </w:hyperlink>
      <w:r>
        <w:rPr>
          <w:rFonts w:ascii="Times New Roman" w:hAnsi="Times New Roman"/>
          <w:b w:val="false"/>
          <w:i w:val="false"/>
          <w:color w:val="000000"/>
          <w:sz w:val="22"/>
        </w:rPr>
        <w:t xml:space="preserve">. Guidance on submitting electronic fingerprints can be found at </w:t>
      </w:r>
      <w:hyperlink r:id="rId26">
        <w:r>
          <w:rPr>
            <w:rStyle w:val="Hyperlink"/>
            <w:rFonts w:ascii="Times New Roman" w:hAnsi="Times New Roman"/>
            <w:b w:val="false"/>
            <w:i w:val="false"/>
            <w:color w:val="000000"/>
            <w:sz w:val="22"/>
            <w:u w:val="single"/>
          </w:rPr>
          <w:t>www.nrc.gov/security/chp.html</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Fees for the processing of fingerprint checks are due upon application. Licensees shall submit payment with the application for the processing of fingerprints through corporate check, certified check, cashier’s check, money order, or electronic payment, made payable to “U.S. NRC.” (For guidance on making electronic payments, contact the Division of Physical and Cyber Security Policy by emailing </w:t>
      </w:r>
      <w:hyperlink r:id="rId27">
        <w:r>
          <w:rPr>
            <w:rStyle w:val="Hyperlink"/>
            <w:rFonts w:ascii="Times New Roman" w:hAnsi="Times New Roman"/>
            <w:b w:val="false"/>
            <w:i w:val="false"/>
            <w:color w:val="000000"/>
            <w:sz w:val="22"/>
            <w:u w:val="single"/>
          </w:rPr>
          <w:t>Crimhist.Resource@nrc.gov</w:t>
        </w:r>
      </w:hyperlink>
      <w:r>
        <w:rPr>
          <w:rFonts w:ascii="Times New Roman" w:hAnsi="Times New Roman"/>
          <w:b w:val="false"/>
          <w:i w:val="false"/>
          <w:color w:val="000000"/>
          <w:sz w:val="22"/>
        </w:rPr>
        <w:t xml:space="preserve">.) Combined payment for multiple applications is acceptable. The Nuclear Regulatory Commission publishes the amount of the fingerprint check application fee on the NRC’s public website. (To find the current fee amount, go to the Licensee Criminal History Records Checks &amp; Firearms Background Check information page at </w:t>
      </w:r>
      <w:hyperlink r:id="rId28">
        <w:r>
          <w:rPr>
            <w:rStyle w:val="Hyperlink"/>
            <w:rFonts w:ascii="Times New Roman" w:hAnsi="Times New Roman"/>
            <w:b w:val="false"/>
            <w:i w:val="false"/>
            <w:color w:val="000000"/>
            <w:sz w:val="22"/>
            <w:u w:val="single"/>
          </w:rPr>
          <w:t>www.nrc.gov/security/chp.html</w:t>
        </w:r>
      </w:hyperlink>
      <w:r>
        <w:rPr>
          <w:rFonts w:ascii="Times New Roman" w:hAnsi="Times New Roman"/>
          <w:b w:val="false"/>
          <w:i w:val="false"/>
          <w:color w:val="000000"/>
          <w:sz w:val="22"/>
        </w:rPr>
        <w:t xml:space="preserve"> and see the link for “How do I determine how much to pay for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Nuclear Regulatory Commission will forward to the submitting licensee all data received from the FBI as a result of the licensee’s application(s) for criminal history records checks.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3746C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5059C</w:t>
      </w:r>
      <w:r>
        <w:rPr>
          <w:rFonts w:ascii="Times New Roman" w:hAnsi="Times New Roman"/>
          <w:b w:val="false"/>
          <w:i w:val="false"/>
          <w:color w:val="000000"/>
          <w:sz w:val="16"/>
        </w:rPr>
        <w:t>, IAB 6/17/20, effective 7/22/20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641—37.28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641—37.29</w:t>
      </w:r>
      <w:r>
        <w:rPr>
          <w:rFonts w:ascii="Times New Roman" w:hAnsi="Times New Roman"/>
          <w:b/>
          <w:i w:val="false"/>
          <w:color w:val="000000"/>
          <w:sz w:val="22"/>
        </w:rPr>
        <w:t xml:space="preserve">(136C) </w:t>
      </w:r>
      <w:r>
        <w:rPr>
          <w:rFonts w:ascii="Times New Roman" w:hAnsi="Times New Roman"/>
          <w:b/>
          <w:i w:val="false"/>
          <w:color w:val="000000"/>
          <w:sz w:val="22"/>
        </w:rPr>
        <w:t xml:space="preserve">Relief from fingerprinting, identification, and criminal history records checks and other elements of background investigations for designated categories of individuals permitted unescorted access to certain radioactive materials.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37.29(1)</w:t>
      </w:r>
      <w:r>
        <w:rPr>
          <w:rFonts w:ascii="Times New Roman" w:hAnsi="Times New Roman"/>
          <w:b w:val="false"/>
          <w:i w:val="false"/>
          <w:color w:val="000000"/>
          <w:sz w:val="22"/>
        </w:rPr>
        <w:t> </w:t>
      </w:r>
      <w:r>
        <w:rPr>
          <w:rFonts w:ascii="Times New Roman" w:hAnsi="Times New Roman"/>
          <w:b w:val="false"/>
          <w:i w:val="false"/>
          <w:color w:val="000000"/>
          <w:sz w:val="22"/>
        </w:rPr>
        <w:t>Fingerprinting, identification, and criminal history records checks required by Section 149 of the Atomic Energy Act of 1954, as amended through July 16, 2014, and other elements of the background investigation are not required for the following individuals prior to granting unescorted access to category 1 or category 2 quantities of radioactive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employee of the Nuclear Regulatory Commission or of the executive branch of the U.S. government who has undergone fingerprinting for a prior U.S. government criminal history records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member of Congress;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employee of a member of Congress or congressional committee who has undergone fingerprinting for a prior U.S. government criminal history records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governor of a state or the governor’s designated state employee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Federal, state, or local law enforcement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State radiation control program directors and state homeland security advisors or their designated state employee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Agreement state employees conducting security inspections on behalf of the NRC under an agreement executed under Section 274.i. of the Atomic Energy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Representatives of the International Atomic Energy Agency (IAEA) engaged in activities associated with the U.S./IAEA Safeguards Agreement who have been certified by the NRC;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Emergency response personnel who are responding to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Commercial vehicle drivers for road shipments of category 1 and category 2 quantities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Package handlers at transportation facilities such as freight terminals and railroad yards;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Any individual who has an active federal security clearance, provided that the individual makes available the appropriate documentation. Written confirmation from the agency/employer that granted the federal security clearance or reviewed the criminal history records check must be provided to the licensee. The licensee shall retain this documentation for a period of three years from the date the individual no longer requires unescorted access to category 1 or category 2 quantities of radioactive material;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Any individual employed by a service provider licensee for which the service provider licensee has conducted the background investigation for the individual and approved the individual for unescorted access to category 1 or category 2 quantities of radioactive material. Written verification from the service provider must be provided to the licensee. The licensee shall retain the documentation for a period of three years from the date the individual no longer requires unescorted access to category 1 or category 2 quantities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37.29(2)</w:t>
      </w:r>
      <w:r>
        <w:rPr>
          <w:rFonts w:ascii="Times New Roman" w:hAnsi="Times New Roman"/>
          <w:b w:val="false"/>
          <w:i w:val="false"/>
          <w:color w:val="000000"/>
          <w:sz w:val="22"/>
        </w:rPr>
        <w:t> </w:t>
      </w:r>
      <w:r>
        <w:rPr>
          <w:rFonts w:ascii="Times New Roman" w:hAnsi="Times New Roman"/>
          <w:b w:val="false"/>
          <w:i w:val="false"/>
          <w:color w:val="000000"/>
          <w:sz w:val="22"/>
        </w:rPr>
        <w:t>Fingerprinting, and the identification and criminal history records checks required by Section 149 of the Atomic Energy Act of 1954, as amended through July 16, 2014, are not required for an individual who has had a favorably adjudicated U.S. government criminal history records check within the last five years, under a comparable U.S. government program involving fingerprinting and an FBI identification and criminal history records check provided that the individual makes available the appropriate documentation. Written confirmation from the agency/employer that reviewed the criminal history records check must be provided to the licensee. The licensee shall retain this documentation for a period of three years from the date the individual no longer requires unescorted access to category 1 or category 2 quantities of radioactive material. These programs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National Agency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Transportation Worker Identification Credentials (TWIC) under 49 CFR Part 1572;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Bureau of Alcohol, Tobacco, Firearms, and Explosives background check and clearances under 27 CFR Part 555;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Health and Human Services security risk assessments for possession and use of select agents and toxins under 42 CFR Part 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Hazardous material security threat assessment for hazardous material endorsement to commercial driver’s license under 49 CFR Part 1572;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Customs and Border Protection’s Free and Secure Trade (FAST)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3746C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641—37.30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641—37.31</w:t>
      </w:r>
      <w:r>
        <w:rPr>
          <w:rFonts w:ascii="Times New Roman" w:hAnsi="Times New Roman"/>
          <w:b/>
          <w:i w:val="false"/>
          <w:color w:val="000000"/>
          <w:sz w:val="22"/>
        </w:rPr>
        <w:t xml:space="preserve">(136C) </w:t>
      </w:r>
      <w:r>
        <w:rPr>
          <w:rFonts w:ascii="Times New Roman" w:hAnsi="Times New Roman"/>
          <w:b/>
          <w:i w:val="false"/>
          <w:color w:val="000000"/>
          <w:sz w:val="22"/>
        </w:rPr>
        <w:t xml:space="preserve">Protection of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37.31(1)</w:t>
      </w:r>
      <w:r>
        <w:rPr>
          <w:rFonts w:ascii="Times New Roman" w:hAnsi="Times New Roman"/>
          <w:b w:val="false"/>
          <w:i w:val="false"/>
          <w:color w:val="000000"/>
          <w:sz w:val="22"/>
        </w:rPr>
        <w:t> </w:t>
      </w:r>
      <w:r>
        <w:rPr>
          <w:rFonts w:ascii="Times New Roman" w:hAnsi="Times New Roman"/>
          <w:b w:val="false"/>
          <w:i w:val="false"/>
          <w:color w:val="000000"/>
          <w:sz w:val="22"/>
        </w:rPr>
        <w:t>Each licensee who obtains background information on an individual under these rules shall establish and maintain a system of files and written procedures for protection of the record and the personal information from unauthorized disclosure.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37.31(2)</w:t>
      </w:r>
      <w:r>
        <w:rPr>
          <w:rFonts w:ascii="Times New Roman" w:hAnsi="Times New Roman"/>
          <w:b w:val="false"/>
          <w:i w:val="false"/>
          <w:color w:val="000000"/>
          <w:sz w:val="22"/>
        </w:rPr>
        <w:t> </w:t>
      </w:r>
      <w:r>
        <w:rPr>
          <w:rFonts w:ascii="Times New Roman" w:hAnsi="Times New Roman"/>
          <w:b w:val="false"/>
          <w:i w:val="false"/>
          <w:color w:val="000000"/>
          <w:sz w:val="22"/>
        </w:rPr>
        <w:t>The licensee may not disclose the record or personal information collected and maintained to persons other than the subject individual, the individual’s representative, or to those who have a need to have access to the information in performing assigned duties in the process of granting or denying unescorted access to category 1 or category 2 quantities of radioactive material, safeguards information, or safeguards information-modified handling. No individual authorized to have access to the information may disseminate the information to any other individual who does not have a need to know.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37.31(3)</w:t>
      </w:r>
      <w:r>
        <w:rPr>
          <w:rFonts w:ascii="Times New Roman" w:hAnsi="Times New Roman"/>
          <w:b w:val="false"/>
          <w:i w:val="false"/>
          <w:color w:val="000000"/>
          <w:sz w:val="22"/>
        </w:rPr>
        <w:t> </w:t>
      </w:r>
      <w:r>
        <w:rPr>
          <w:rFonts w:ascii="Times New Roman" w:hAnsi="Times New Roman"/>
          <w:b w:val="false"/>
          <w:i w:val="false"/>
          <w:color w:val="000000"/>
          <w:sz w:val="22"/>
        </w:rPr>
        <w:t>The personal information obtained on an individual from a background investigation may be provided to another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the individual’s written request to the licensee holding the data to disseminate the information contained in the individual’s file;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recipient licensee verifies information such as name, date of birth, social security number, gender, and other applicable physical characteristics.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37.31(4)</w:t>
      </w:r>
      <w:r>
        <w:rPr>
          <w:rFonts w:ascii="Times New Roman" w:hAnsi="Times New Roman"/>
          <w:b w:val="false"/>
          <w:i w:val="false"/>
          <w:color w:val="000000"/>
          <w:sz w:val="22"/>
        </w:rPr>
        <w:t> </w:t>
      </w:r>
      <w:r>
        <w:rPr>
          <w:rFonts w:ascii="Times New Roman" w:hAnsi="Times New Roman"/>
          <w:b w:val="false"/>
          <w:i w:val="false"/>
          <w:color w:val="000000"/>
          <w:sz w:val="22"/>
        </w:rPr>
        <w:t>The licensee shall make background investigation records obtained under these rules available for examination by an authorized representative of the agency to determine compliance with the regulations and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37.31(5)</w:t>
      </w:r>
      <w:r>
        <w:rPr>
          <w:rFonts w:ascii="Times New Roman" w:hAnsi="Times New Roman"/>
          <w:b w:val="false"/>
          <w:i w:val="false"/>
          <w:color w:val="000000"/>
          <w:sz w:val="22"/>
        </w:rPr>
        <w:t> </w:t>
      </w:r>
      <w:r>
        <w:rPr>
          <w:rFonts w:ascii="Times New Roman" w:hAnsi="Times New Roman"/>
          <w:b w:val="false"/>
          <w:i w:val="false"/>
          <w:color w:val="000000"/>
          <w:sz w:val="22"/>
        </w:rPr>
        <w:t>The licensee shall retain all fingerprint and criminal history records on an individual (including data indicating no record) received from the FBI, or a copy of these records if the individual’s file has been transferred, for three years from the date the individual no longer requires unescorted access to category 1 or category 2 quantities of radioactive material.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641—37.32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641—37.33</w:t>
      </w:r>
      <w:r>
        <w:rPr>
          <w:rFonts w:ascii="Times New Roman" w:hAnsi="Times New Roman"/>
          <w:b/>
          <w:i w:val="false"/>
          <w:color w:val="000000"/>
          <w:sz w:val="22"/>
        </w:rPr>
        <w:t xml:space="preserve">(136C) </w:t>
      </w:r>
      <w:r>
        <w:rPr>
          <w:rFonts w:ascii="Times New Roman" w:hAnsi="Times New Roman"/>
          <w:b/>
          <w:i w:val="false"/>
          <w:color w:val="000000"/>
          <w:sz w:val="22"/>
        </w:rPr>
        <w:t xml:space="preserve">Access authorization program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37.33(1)</w:t>
      </w:r>
      <w:r>
        <w:rPr>
          <w:rFonts w:ascii="Times New Roman" w:hAnsi="Times New Roman"/>
          <w:b w:val="false"/>
          <w:i w:val="false"/>
          <w:color w:val="000000"/>
          <w:sz w:val="22"/>
        </w:rPr>
        <w:t> </w:t>
      </w:r>
      <w:r>
        <w:rPr>
          <w:rFonts w:ascii="Times New Roman" w:hAnsi="Times New Roman"/>
          <w:b w:val="false"/>
          <w:i w:val="false"/>
          <w:color w:val="000000"/>
          <w:sz w:val="22"/>
        </w:rPr>
        <w:t>Each licensee shall be responsible for the continuing effectiveness of the access authorization program. Each licensee shall ensure that access authorization programs are reviewed to confirm compliance with the requirements of these rules and that comprehensive actions are taken to correct any noncompliance that is identified. The review program shall evaluate all program performance objectives and requirements. Each licensee shall, at 12-month intervals, review the access program content and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37.33(2)</w:t>
      </w:r>
      <w:r>
        <w:rPr>
          <w:rFonts w:ascii="Times New Roman" w:hAnsi="Times New Roman"/>
          <w:b w:val="false"/>
          <w:i w:val="false"/>
          <w:color w:val="000000"/>
          <w:sz w:val="22"/>
        </w:rPr>
        <w:t> </w:t>
      </w:r>
      <w:r>
        <w:rPr>
          <w:rFonts w:ascii="Times New Roman" w:hAnsi="Times New Roman"/>
          <w:b w:val="false"/>
          <w:i w:val="false"/>
          <w:color w:val="000000"/>
          <w:sz w:val="22"/>
        </w:rPr>
        <w:t>The results of the reviews, along with any recommendations, must be documented. Each review report must identify conditions that are adverse to the proper performance of the access authorization program, the cause of the condition(s), and, when appropriate, recommend corrective actions, and corrective actions taken. The licensee shall review the findings and take any additional corrective actions necessary to preclude repetition of the condition, including reassessment of the deficient areas where indicated.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37.33(3)</w:t>
      </w:r>
      <w:r>
        <w:rPr>
          <w:rFonts w:ascii="Times New Roman" w:hAnsi="Times New Roman"/>
          <w:b w:val="false"/>
          <w:i w:val="false"/>
          <w:color w:val="000000"/>
          <w:sz w:val="22"/>
        </w:rPr>
        <w:t> </w:t>
      </w:r>
      <w:r>
        <w:rPr>
          <w:rFonts w:ascii="Times New Roman" w:hAnsi="Times New Roman"/>
          <w:b w:val="false"/>
          <w:i w:val="false"/>
          <w:color w:val="000000"/>
          <w:sz w:val="22"/>
        </w:rPr>
        <w:t>Review records must be maintained for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641—37.34</w:t>
      </w:r>
      <w:r>
        <w:rPr>
          <w:rFonts w:ascii="Times New Roman" w:hAnsi="Times New Roman"/>
          <w:b w:val="false"/>
          <w:i w:val="false"/>
          <w:color w:val="000000"/>
          <w:sz w:val="22"/>
        </w:rPr>
        <w:t xml:space="preserve"> to </w:t>
      </w:r>
      <w:r>
        <w:rPr>
          <w:rFonts w:ascii="Times New Roman" w:hAnsi="Times New Roman"/>
          <w:b/>
          <w:i w:val="false"/>
          <w:color w:val="000000"/>
          <w:sz w:val="22"/>
        </w:rPr>
        <w:t>37.40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PHYSICAL PROTECTION REQUIREMENTS DURING USE</w:t>
      </w:r>
    </w:p>
    <w:p>
      <w:pPr>
        <w:spacing w:before="0" w:after="0"/>
        <w:ind w:left="120"/>
        <w:jc w:val="both"/>
      </w:pPr>
      <w:r>
        <w:rPr>
          <w:rFonts w:ascii="Times New Roman" w:hAnsi="Times New Roman"/>
          <w:b/>
          <w:i w:val="false"/>
          <w:color w:val="000000"/>
          <w:sz w:val="22"/>
        </w:rPr>
        <w:t>641—37.41</w:t>
      </w:r>
      <w:r>
        <w:rPr>
          <w:rFonts w:ascii="Times New Roman" w:hAnsi="Times New Roman"/>
          <w:b/>
          <w:i w:val="false"/>
          <w:color w:val="000000"/>
          <w:sz w:val="22"/>
        </w:rPr>
        <w:t xml:space="preserve">(136C) </w:t>
      </w:r>
      <w:r>
        <w:rPr>
          <w:rFonts w:ascii="Times New Roman" w:hAnsi="Times New Roman"/>
          <w:b/>
          <w:i w:val="false"/>
          <w:color w:val="000000"/>
          <w:sz w:val="22"/>
        </w:rPr>
        <w:t xml:space="preserve">Security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37.41(1)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that possesses an aggregated category 1 or category 2 quantity of radioactive material shall establish, implement, and maintain a security program in accordance with the requirements of rules </w:t>
      </w:r>
      <w:hyperlink r:id="rId29">
        <w:r>
          <w:rPr>
            <w:rStyle w:val="Hyperlink"/>
            <w:rFonts w:ascii="Times New Roman" w:hAnsi="Times New Roman"/>
            <w:b w:val="false"/>
            <w:i w:val="false"/>
            <w:color w:val="000000"/>
            <w:sz w:val="22"/>
          </w:rPr>
          <w:t>641—37.41</w:t>
        </w:r>
      </w:hyperlink>
      <w:r>
        <w:rPr>
          <w:rFonts w:ascii="Times New Roman" w:hAnsi="Times New Roman"/>
          <w:b w:val="false"/>
          <w:i w:val="false"/>
          <w:color w:val="000000"/>
          <w:sz w:val="22"/>
        </w:rPr>
        <w:t xml:space="preserve">(136C) to </w:t>
      </w:r>
      <w:hyperlink r:id="rId30">
        <w:r>
          <w:rPr>
            <w:rStyle w:val="Hyperlink"/>
            <w:rFonts w:ascii="Times New Roman" w:hAnsi="Times New Roman"/>
            <w:b w:val="false"/>
            <w:i w:val="false"/>
            <w:color w:val="000000"/>
            <w:sz w:val="22"/>
          </w:rPr>
          <w:t>641—37.57</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for a new license and a licensee that would become newly subject to the requirements of this chapter upon application for amendment of its license shall implement the requirements of this chapter and be inspected by the agency, as appropriate, before a new license or license amendment will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licensee that has not previously implemented the security orders or been subject to the provisions of these rules shall provide written notification to the agency as specified in rule 641—37.7(136C) at least 90 days before aggregating radioactive material to a quantity that equals or exceeds the category 2 threshold.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37.41(2)</w:t>
      </w:r>
      <w:r>
        <w:rPr>
          <w:rFonts w:ascii="Times New Roman" w:hAnsi="Times New Roman"/>
          <w:b w:val="false"/>
          <w:i w:val="false"/>
          <w:color w:val="000000"/>
          <w:sz w:val="22"/>
        </w:rPr>
        <w:t> </w:t>
      </w:r>
      <w:r>
        <w:rPr>
          <w:rFonts w:ascii="Times New Roman" w:hAnsi="Times New Roman"/>
          <w:b w:val="false"/>
          <w:i/>
          <w:color w:val="000000"/>
          <w:sz w:val="22"/>
        </w:rPr>
        <w:t xml:space="preserve">General performance objective. </w:t>
      </w:r>
      <w:r>
        <w:rPr>
          <w:rFonts w:ascii="Times New Roman" w:hAnsi="Times New Roman"/>
          <w:b w:val="false"/>
          <w:i w:val="false"/>
          <w:color w:val="000000"/>
          <w:sz w:val="22"/>
        </w:rPr>
        <w:t>Each licensee shall establish, implement, and maintain a security program that is designed to monitor and, without delay, detect, assess, and respond to an actual or attempted unauthorized access to category 1 or category 2 quantities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37.41(3)</w:t>
      </w:r>
      <w:r>
        <w:rPr>
          <w:rFonts w:ascii="Times New Roman" w:hAnsi="Times New Roman"/>
          <w:b w:val="false"/>
          <w:i w:val="false"/>
          <w:color w:val="000000"/>
          <w:sz w:val="22"/>
        </w:rPr>
        <w:t> </w:t>
      </w:r>
      <w:r>
        <w:rPr>
          <w:rFonts w:ascii="Times New Roman" w:hAnsi="Times New Roman"/>
          <w:b w:val="false"/>
          <w:i/>
          <w:color w:val="000000"/>
          <w:sz w:val="22"/>
        </w:rPr>
        <w:t xml:space="preserve">Program features. </w:t>
      </w:r>
      <w:r>
        <w:rPr>
          <w:rFonts w:ascii="Times New Roman" w:hAnsi="Times New Roman"/>
          <w:b w:val="false"/>
          <w:i w:val="false"/>
          <w:color w:val="000000"/>
          <w:sz w:val="22"/>
        </w:rPr>
        <w:t>Each licensee’s security program must include the program features, as appropriate, described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3746C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641—37.42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641—37.43</w:t>
      </w:r>
      <w:r>
        <w:rPr>
          <w:rFonts w:ascii="Times New Roman" w:hAnsi="Times New Roman"/>
          <w:b/>
          <w:i w:val="false"/>
          <w:color w:val="000000"/>
          <w:sz w:val="22"/>
        </w:rPr>
        <w:t xml:space="preserve">(136C) </w:t>
      </w:r>
      <w:r>
        <w:rPr>
          <w:rFonts w:ascii="Times New Roman" w:hAnsi="Times New Roman"/>
          <w:b/>
          <w:i w:val="false"/>
          <w:color w:val="000000"/>
          <w:sz w:val="22"/>
        </w:rPr>
        <w:t xml:space="preserve">General security program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37.43(1)</w:t>
      </w:r>
      <w:r>
        <w:rPr>
          <w:rFonts w:ascii="Times New Roman" w:hAnsi="Times New Roman"/>
          <w:b w:val="false"/>
          <w:i w:val="false"/>
          <w:color w:val="000000"/>
          <w:sz w:val="22"/>
        </w:rPr>
        <w:t> </w:t>
      </w:r>
      <w:r>
        <w:rPr>
          <w:rFonts w:ascii="Times New Roman" w:hAnsi="Times New Roman"/>
          <w:b w:val="false"/>
          <w:i/>
          <w:color w:val="000000"/>
          <w:sz w:val="22"/>
        </w:rPr>
        <w:t xml:space="preserve">Security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identified in </w:t>
      </w:r>
      <w:hyperlink r:id="rId31">
        <w:r>
          <w:rPr>
            <w:rStyle w:val="Hyperlink"/>
            <w:rFonts w:ascii="Times New Roman" w:hAnsi="Times New Roman"/>
            <w:b w:val="false"/>
            <w:i w:val="false"/>
            <w:color w:val="000000"/>
            <w:sz w:val="22"/>
          </w:rPr>
          <w:t>37.41(1)</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develop a written security plan specific to its facilities and operations. The purpose of the security plan is to establish the licensee’s overall security strategy to ensure the integrated and effective functioning of the security program required by these rules. The security plan must,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Describe the measures and strategies used to implement the requirements of these rules;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 the security resources, equipment, and technology used to satisfy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security plan must be reviewed and approved by the individual with overall responsibility for the security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shall revise its security plan as necessary to ensure the effective implementation of agency requirements. The licensee shall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revision has been reviewed and approved by the individual with overall responsibility for the security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affected individuals are instructed on the revised plan before the changes are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licensee shall retain a copy of the current security plan as a record for three years after the security plan is no longer required. If any portion of the plan is superseded, the licensee shall retain the superseded material for three years after the record is superseded.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37.43(2)</w:t>
      </w:r>
      <w:r>
        <w:rPr>
          <w:rFonts w:ascii="Times New Roman" w:hAnsi="Times New Roman"/>
          <w:b w:val="false"/>
          <w:i w:val="false"/>
          <w:color w:val="000000"/>
          <w:sz w:val="22"/>
        </w:rPr>
        <w:t> </w:t>
      </w:r>
      <w:r>
        <w:rPr>
          <w:rFonts w:ascii="Times New Roman" w:hAnsi="Times New Roman"/>
          <w:b w:val="false"/>
          <w:i/>
          <w:color w:val="000000"/>
          <w:sz w:val="22"/>
        </w:rPr>
        <w:t xml:space="preserve">Implementing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shall develop and maintain written procedures that document how the requirements of these rules and the security plan will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implementing procedures and revisions to these procedures must be approved in writing by the individual with overall responsibility for the security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shall retain a copy of the current procedure as a record for three years after the procedure is no longer needed. Superseded portions of the procedure must be retained for three years after the record is superseded.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37.43(3)</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licensee shall conduct training to ensure that those individuals implementing the security program possess and maintain the knowledge, skills, and abilities to carry out their assigned duties and responsibilities effectively. The training must include instruction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licensee’s security program and procedures to secure category 1 or category 2 quantities of radioactive material, and in the purposes and functions of the security measures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responsibility to report promptly to the licensee any condition that causes or may cause a violation of agency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responsibility of the licensee to report promptly to the local law enforcement agency and licensee any actual or attempted theft, sabotage, or diversion of category 1 or category 2 quantities of radioactive material;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appropriate response to security alarms.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determining those individuals who shall be trained on the security program, the licensee shall consider each individual’s assigned activities during authorized use and response to potential situations involving actual or attempted theft, diversion, or sabotage of category 1 or category 2 quantities of radioactive material. The extent of the training must be commensurate with the individual’s potential involvement in the security of category 1 or category 2 quantities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Refresher training must be provided at a frequency not to exceed 12 months and when significant changes have been made to the security program. This training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of the training requirements of rule </w:t>
      </w:r>
      <w:hyperlink r:id="rId32">
        <w:r>
          <w:rPr>
            <w:rStyle w:val="Hyperlink"/>
            <w:rFonts w:ascii="Times New Roman" w:hAnsi="Times New Roman"/>
            <w:b w:val="false"/>
            <w:i w:val="false"/>
            <w:color w:val="000000"/>
            <w:sz w:val="22"/>
          </w:rPr>
          <w:t>641—37.43</w:t>
        </w:r>
      </w:hyperlink>
      <w:r>
        <w:rPr>
          <w:rFonts w:ascii="Times New Roman" w:hAnsi="Times New Roman"/>
          <w:b w:val="false"/>
          <w:i w:val="false"/>
          <w:color w:val="000000"/>
          <w:sz w:val="22"/>
        </w:rPr>
        <w:t>(136C) and any changes made to the security program since the last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Reports on any relevant security issues, problems, and lessons learned;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Relevant results of agency inspections;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Relevant results of the licensee’s program review and testing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licensee shall maintain records of the initial and refresher training for three years from the date of the training. The training records must include dates of the training, topics covered, a list of licensee personnel in attendance, and related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37.43(4)</w:t>
      </w:r>
      <w:r>
        <w:rPr>
          <w:rFonts w:ascii="Times New Roman" w:hAnsi="Times New Roman"/>
          <w:b w:val="false"/>
          <w:i w:val="false"/>
          <w:color w:val="000000"/>
          <w:sz w:val="22"/>
        </w:rPr>
        <w:t> </w:t>
      </w:r>
      <w:r>
        <w:rPr>
          <w:rFonts w:ascii="Times New Roman" w:hAnsi="Times New Roman"/>
          <w:b w:val="false"/>
          <w:i/>
          <w:color w:val="000000"/>
          <w:sz w:val="22"/>
        </w:rPr>
        <w:t xml:space="preserve">Protection of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authorized to possess category 1 or category 2 quantities of radioactive material shall limit access to and unauthorized disclosure of their security plan, implementing procedures, and the list of individuals that have been approved for unescorted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Efforts to limit access shall include the development, implementation, and maintenance of written policies and procedures for controlling access to, and for proper handling and protection against unauthorized disclosure of, the security plan, implementing procedures, and the list of individuals that have been approved for unescorted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Before granting an individual access to the security plan, implementing procedures, or the list of individuals that have been approved for unescorted access, licensees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Evaluate an individual’s need to know the security plan, implementing procedures, or the list of individuals that have been approved for unescorted access;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individual has not been authorized for unescorted access to category 1 or category 2 quantities of radioactive material, safeguards information, or safeguards information-modified handling, the licensee must complete a background investigation to determine the individual’s trustworthiness and reliability. A trustworthiness and reliability determination shall be conducted by the reviewing official and shall include the background investigation elements contained in </w:t>
      </w:r>
      <w:hyperlink r:id="rId33">
        <w:r>
          <w:rPr>
            <w:rStyle w:val="Hyperlink"/>
            <w:rFonts w:ascii="Times New Roman" w:hAnsi="Times New Roman"/>
            <w:b w:val="false"/>
            <w:i w:val="false"/>
            <w:color w:val="000000"/>
            <w:sz w:val="22"/>
          </w:rPr>
          <w:t>37.25(1)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Licensees need not subject the following individuals to the background investigation elements for protection of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categories of individuals listed in rule </w:t>
      </w:r>
      <w:hyperlink r:id="rId34">
        <w:r>
          <w:rPr>
            <w:rStyle w:val="Hyperlink"/>
            <w:rFonts w:ascii="Times New Roman" w:hAnsi="Times New Roman"/>
            <w:b w:val="false"/>
            <w:i w:val="false"/>
            <w:color w:val="000000"/>
            <w:sz w:val="22"/>
          </w:rPr>
          <w:t>641—37.29</w:t>
        </w:r>
      </w:hyperlink>
      <w:r>
        <w:rPr>
          <w:rFonts w:ascii="Times New Roman" w:hAnsi="Times New Roman"/>
          <w:b w:val="false"/>
          <w:i w:val="false"/>
          <w:color w:val="000000"/>
          <w:sz w:val="22"/>
        </w:rPr>
        <w:t>(136C);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Security service provider employees, provided written verification that the employee has been determined to be trustworthy and reliable, by the required background investigation in </w:t>
      </w:r>
      <w:hyperlink r:id="rId35">
        <w:r>
          <w:rPr>
            <w:rStyle w:val="Hyperlink"/>
            <w:rFonts w:ascii="Times New Roman" w:hAnsi="Times New Roman"/>
            <w:b w:val="false"/>
            <w:i w:val="false"/>
            <w:color w:val="000000"/>
            <w:sz w:val="22"/>
          </w:rPr>
          <w:t>37.25(1)</w:t>
        </w:r>
      </w:hyperlink>
      <w:r>
        <w:rPr>
          <w:rFonts w:ascii="Times New Roman" w:hAnsi="Times New Roman"/>
          <w:b w:val="false"/>
          <w:i w:val="false"/>
          <w:color w:val="000000"/>
          <w:sz w:val="22"/>
        </w:rPr>
        <w:t>, has been provided by the security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licensee shall document the basis for concluding that an individual is trustworthy and reliable and should be granted access to the security plan, implementing procedures, or the list of individuals that have been approved for unescorted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Licensees shall maintain a list of persons currently approved for access to the security plan, implementing procedures, or the list of individuals that have been approved for unescorted access. When a licensee determines that a person no longer needs access to the security plan, implementing procedures, or the list of individuals that have been approved for unescorted access, or no longer meets the access authorization requirements for access to the information, the licensee shall remove the person from the approved list as soon as possible, but no later than seven working days, and take prompt measures to ensure that the individual is unable to obtain the security plan, implementing procedures, or the list of individuals that have been approved for unescorted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the security plan is not in use, the licensee shall store its security plan, implementing procedures, and the list of individuals that have been approved for unescorted access in a manner to prevent unauthorized access. Information stored in nonremovable electronic form must be password protected.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licensee shall retain as a record for three years after the document is no longer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the information protection procedures;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list of individuals approved for access to the security plan, implementing procedures, or the list of individuals that have been approved for unescorted access.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5059C</w:t>
      </w:r>
      <w:r>
        <w:rPr>
          <w:rFonts w:ascii="Times New Roman" w:hAnsi="Times New Roman"/>
          <w:b w:val="false"/>
          <w:i w:val="false"/>
          <w:color w:val="000000"/>
          <w:sz w:val="16"/>
        </w:rPr>
        <w:t>, IAB 6/17/20, effective 7/22/20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641—37.44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641—37.45</w:t>
      </w:r>
      <w:r>
        <w:rPr>
          <w:rFonts w:ascii="Times New Roman" w:hAnsi="Times New Roman"/>
          <w:b/>
          <w:i w:val="false"/>
          <w:color w:val="000000"/>
          <w:sz w:val="22"/>
        </w:rPr>
        <w:t xml:space="preserve">(136C) </w:t>
      </w:r>
      <w:r>
        <w:rPr>
          <w:rFonts w:ascii="Times New Roman" w:hAnsi="Times New Roman"/>
          <w:b/>
          <w:i w:val="false"/>
          <w:color w:val="000000"/>
          <w:sz w:val="22"/>
        </w:rPr>
        <w:t xml:space="preserve">LLEA coordination.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37.45(1)</w:t>
      </w:r>
      <w:r>
        <w:rPr>
          <w:rFonts w:ascii="Times New Roman" w:hAnsi="Times New Roman"/>
          <w:b w:val="false"/>
          <w:i w:val="false"/>
          <w:color w:val="000000"/>
          <w:sz w:val="22"/>
        </w:rPr>
        <w:t> </w:t>
      </w:r>
      <w:r>
        <w:rPr>
          <w:rFonts w:ascii="Times New Roman" w:hAnsi="Times New Roman"/>
          <w:b w:val="false"/>
          <w:i w:val="false"/>
          <w:color w:val="000000"/>
          <w:sz w:val="22"/>
        </w:rPr>
        <w:t>A licensee subject to these rules shall coordinate, to the extent practicable, with an LLEA for responding to threats to the licensee’s facility, including any necessary armed response. The information provided to the LLEA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facilities and the category 1 and category 2 quantities of radioactive materials along with a description of the licensee’s security measures that have been implemented to comply with these rules;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notification that the licensee will request a timely armed response by the LLEA to any actual or attempted theft, sabotage, or diversion of category 1 or category 2 quantities of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37.45(2)</w:t>
      </w:r>
      <w:r>
        <w:rPr>
          <w:rFonts w:ascii="Times New Roman" w:hAnsi="Times New Roman"/>
          <w:b w:val="false"/>
          <w:i w:val="false"/>
          <w:color w:val="000000"/>
          <w:sz w:val="22"/>
        </w:rPr>
        <w:t> </w:t>
      </w:r>
      <w:r>
        <w:rPr>
          <w:rFonts w:ascii="Times New Roman" w:hAnsi="Times New Roman"/>
          <w:b w:val="false"/>
          <w:i w:val="false"/>
          <w:color w:val="000000"/>
          <w:sz w:val="22"/>
        </w:rPr>
        <w:t>The licensee shall notify the agency within three business days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LLEA has not responded to the request for coordination within 60 days of the coordination request;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LLEA notifies the licensee that the LLEA does not plan to participate in coordination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37.45(3)</w:t>
      </w:r>
      <w:r>
        <w:rPr>
          <w:rFonts w:ascii="Times New Roman" w:hAnsi="Times New Roman"/>
          <w:b w:val="false"/>
          <w:i w:val="false"/>
          <w:color w:val="000000"/>
          <w:sz w:val="22"/>
        </w:rPr>
        <w:t> </w:t>
      </w:r>
      <w:r>
        <w:rPr>
          <w:rFonts w:ascii="Times New Roman" w:hAnsi="Times New Roman"/>
          <w:b w:val="false"/>
          <w:i w:val="false"/>
          <w:color w:val="000000"/>
          <w:sz w:val="22"/>
        </w:rPr>
        <w:t xml:space="preserve"> The licensee shall document its efforts to coordinate with the LLEA. The documentation must be kept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37.45(4)</w:t>
      </w:r>
      <w:r>
        <w:rPr>
          <w:rFonts w:ascii="Times New Roman" w:hAnsi="Times New Roman"/>
          <w:b w:val="false"/>
          <w:i w:val="false"/>
          <w:color w:val="000000"/>
          <w:sz w:val="22"/>
        </w:rPr>
        <w:t> </w:t>
      </w:r>
      <w:r>
        <w:rPr>
          <w:rFonts w:ascii="Times New Roman" w:hAnsi="Times New Roman"/>
          <w:b w:val="false"/>
          <w:i w:val="false"/>
          <w:color w:val="000000"/>
          <w:sz w:val="22"/>
        </w:rPr>
        <w:t>The licensee shall coordinate with the LLEA at least every 12 months, or when changes to the facility design or operation adversely affect the potential vulnerability of the licensee’s material to theft, sabotage, or diversion.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641—37.46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641—37.47</w:t>
      </w:r>
      <w:r>
        <w:rPr>
          <w:rFonts w:ascii="Times New Roman" w:hAnsi="Times New Roman"/>
          <w:b/>
          <w:i w:val="false"/>
          <w:color w:val="000000"/>
          <w:sz w:val="22"/>
        </w:rPr>
        <w:t xml:space="preserve">(136C) </w:t>
      </w:r>
      <w:r>
        <w:rPr>
          <w:rFonts w:ascii="Times New Roman" w:hAnsi="Times New Roman"/>
          <w:b/>
          <w:i w:val="false"/>
          <w:color w:val="000000"/>
          <w:sz w:val="22"/>
        </w:rPr>
        <w:t xml:space="preserve">Security zones.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37.47(1)</w:t>
      </w:r>
      <w:r>
        <w:rPr>
          <w:rFonts w:ascii="Times New Roman" w:hAnsi="Times New Roman"/>
          <w:b w:val="false"/>
          <w:i w:val="false"/>
          <w:color w:val="000000"/>
          <w:sz w:val="22"/>
        </w:rPr>
        <w:t> </w:t>
      </w:r>
      <w:r>
        <w:rPr>
          <w:rFonts w:ascii="Times New Roman" w:hAnsi="Times New Roman"/>
          <w:b w:val="false"/>
          <w:i w:val="false"/>
          <w:color w:val="000000"/>
          <w:sz w:val="22"/>
        </w:rPr>
        <w:t>Licensees shall ensure that all aggregated category 1 and category 2 quantities of radioactive material are used or stored within licensee established security zones. Security zones may be permanent or temporary.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37.47(2)</w:t>
      </w:r>
      <w:r>
        <w:rPr>
          <w:rFonts w:ascii="Times New Roman" w:hAnsi="Times New Roman"/>
          <w:b w:val="false"/>
          <w:i w:val="false"/>
          <w:color w:val="000000"/>
          <w:sz w:val="22"/>
        </w:rPr>
        <w:t> </w:t>
      </w:r>
      <w:r>
        <w:rPr>
          <w:rFonts w:ascii="Times New Roman" w:hAnsi="Times New Roman"/>
          <w:b w:val="false"/>
          <w:i w:val="false"/>
          <w:color w:val="000000"/>
          <w:sz w:val="22"/>
        </w:rPr>
        <w:t>Temporary security zones must be established as necessary to meet the licensee’s transitory or intermittent business activities, such as periods of maintenance, source delivery, and source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37.47(3)</w:t>
      </w:r>
      <w:r>
        <w:rPr>
          <w:rFonts w:ascii="Times New Roman" w:hAnsi="Times New Roman"/>
          <w:b w:val="false"/>
          <w:i w:val="false"/>
          <w:color w:val="000000"/>
          <w:sz w:val="22"/>
        </w:rPr>
        <w:t> </w:t>
      </w:r>
      <w:r>
        <w:rPr>
          <w:rFonts w:ascii="Times New Roman" w:hAnsi="Times New Roman"/>
          <w:b w:val="false"/>
          <w:i w:val="false"/>
          <w:color w:val="000000"/>
          <w:sz w:val="22"/>
        </w:rPr>
        <w:t>Security zones must, at a minimum, allow unescorted access only to approved individuals through: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Isolation of category 1 and category 2 quantities of radioactive materials by the use of continuous physical barriers that allow access to the security zone only through established access control points. A physical barrier is a natural or man-made structure or formation sufficient for the isolation of the category 1 or category 2 quantities of radioactive material within a security zone;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Direct control of the security zone by approved individuals at all times;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combination of continuous physical barriers and direct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37.47(4)</w:t>
      </w:r>
      <w:r>
        <w:rPr>
          <w:rFonts w:ascii="Times New Roman" w:hAnsi="Times New Roman"/>
          <w:b w:val="false"/>
          <w:i w:val="false"/>
          <w:color w:val="000000"/>
          <w:sz w:val="22"/>
        </w:rPr>
        <w:t> </w:t>
      </w:r>
      <w:r>
        <w:rPr>
          <w:rFonts w:ascii="Times New Roman" w:hAnsi="Times New Roman"/>
          <w:b w:val="false"/>
          <w:i w:val="false"/>
          <w:color w:val="000000"/>
          <w:sz w:val="22"/>
        </w:rPr>
        <w:t>For category 1 quantities of radioactive material during periods of maintenance, source receipt, preparation for shipment, installation, or source removal or exchange, the licensee shall, at a minimum, provide sufficient individuals approved for unescorted access to maintain continuous surveillance of sources in temporary security zones and in any security zone in which physical barriers or intrusion detection systems have been disabled to allow such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37.47(5)</w:t>
      </w:r>
      <w:r>
        <w:rPr>
          <w:rFonts w:ascii="Times New Roman" w:hAnsi="Times New Roman"/>
          <w:b w:val="false"/>
          <w:i w:val="false"/>
          <w:color w:val="000000"/>
          <w:sz w:val="22"/>
        </w:rPr>
        <w:t> </w:t>
      </w:r>
      <w:r>
        <w:rPr>
          <w:rFonts w:ascii="Times New Roman" w:hAnsi="Times New Roman"/>
          <w:b w:val="false"/>
          <w:i w:val="false"/>
          <w:color w:val="000000"/>
          <w:sz w:val="22"/>
        </w:rPr>
        <w:t>Individuals not approved for unescorted access to category 1 or category 2 quantities of radioactive material must be escorted by an approved individual when in a security zone.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641—37.48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641—37.49</w:t>
      </w:r>
      <w:r>
        <w:rPr>
          <w:rFonts w:ascii="Times New Roman" w:hAnsi="Times New Roman"/>
          <w:b/>
          <w:i w:val="false"/>
          <w:color w:val="000000"/>
          <w:sz w:val="22"/>
        </w:rPr>
        <w:t xml:space="preserve">(136C) </w:t>
      </w:r>
      <w:r>
        <w:rPr>
          <w:rFonts w:ascii="Times New Roman" w:hAnsi="Times New Roman"/>
          <w:b/>
          <w:i w:val="false"/>
          <w:color w:val="000000"/>
          <w:sz w:val="22"/>
        </w:rPr>
        <w:t xml:space="preserve">Monitoring, detection, and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37.49(1)</w:t>
      </w:r>
      <w:r>
        <w:rPr>
          <w:rFonts w:ascii="Times New Roman" w:hAnsi="Times New Roman"/>
          <w:b w:val="false"/>
          <w:i w:val="false"/>
          <w:color w:val="000000"/>
          <w:sz w:val="22"/>
        </w:rPr>
        <w:t> </w:t>
      </w:r>
      <w:r>
        <w:rPr>
          <w:rFonts w:ascii="Times New Roman" w:hAnsi="Times New Roman"/>
          <w:b w:val="false"/>
          <w:i/>
          <w:color w:val="000000"/>
          <w:sz w:val="22"/>
        </w:rPr>
        <w:t xml:space="preserve">Monitoring and detection.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shall establish and maintain the capability to continuously monitor and detect without delay all unauthorized entries into their security zones. Licensees shall provide the means to maintain continuous monitoring and detection capability in the event of a loss of the primary power source, or provide for an alarm and response in the event of a loss of this capability to continuously monitor and detect unauthorized entries.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Monitoring and detection must be performed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monitored intrusion detection system that is linked to an onsite or offsite central monitoring facility;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Electronic devices for intrusion detection alarms that will alert nearby facility personnel;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monitored video surveillance system;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Direct visual surveillance by approved individuals located within the security zone;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Direct visual surveillance by a licensee-designated individual located outside the security zone.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subject to these rules shall also have a means to detect unauthorized removal of the radioactive material from the security zone. This detection capability must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category 1 quantities of radioactive material, immediate detection of any attempted unauthorized removal of the radioactive material from the security zone. Such immediate detection capability must be provided by: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Electronic sensors linked to an alarm;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Continuous monitored video surveillance;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Direct visual surveillance.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category 2 quantities of radioactive material, weekly verification through physical checks, tamper indicating devices, use, or other means to ensure that the radioactive material is present.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37.49(2)</w:t>
      </w: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Licensees shall immediately assess each actual or attempted unauthorized entry into the security zone to determine whether the unauthorized access was an actual or attempted theft, sabotage, or diversion.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37.49(3)</w:t>
      </w:r>
      <w:r>
        <w:rPr>
          <w:rFonts w:ascii="Times New Roman" w:hAnsi="Times New Roman"/>
          <w:b w:val="false"/>
          <w:i w:val="false"/>
          <w:color w:val="000000"/>
          <w:sz w:val="22"/>
        </w:rPr>
        <w:t> </w:t>
      </w:r>
      <w:r>
        <w:rPr>
          <w:rFonts w:ascii="Times New Roman" w:hAnsi="Times New Roman"/>
          <w:b w:val="false"/>
          <w:i/>
          <w:color w:val="000000"/>
          <w:sz w:val="22"/>
        </w:rPr>
        <w:t xml:space="preserve">Personnel communications and data transmission. </w:t>
      </w:r>
      <w:r>
        <w:rPr>
          <w:rFonts w:ascii="Times New Roman" w:hAnsi="Times New Roman"/>
          <w:b w:val="false"/>
          <w:i w:val="false"/>
          <w:color w:val="000000"/>
          <w:sz w:val="22"/>
        </w:rPr>
        <w:t>For personnel and automated or electronic systems supporting the licensee’s monitoring, detection, and assessment systems, licensees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 continuous capability for personnel communication and electronic data transmission and processing among site security systems;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an alternative communication capability for personnel, and an alternative data transmission and processing capability, in the event of a loss of the primary means of communication or data transmission and processing. Alternative communications and data transmission systems may not be subject to the same failure modes as the primary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37.49(4)</w:t>
      </w:r>
      <w:r>
        <w:rPr>
          <w:rFonts w:ascii="Times New Roman" w:hAnsi="Times New Roman"/>
          <w:b w:val="false"/>
          <w:i w:val="false"/>
          <w:color w:val="000000"/>
          <w:sz w:val="22"/>
        </w:rPr>
        <w:t> </w:t>
      </w:r>
      <w:r>
        <w:rPr>
          <w:rFonts w:ascii="Times New Roman" w:hAnsi="Times New Roman"/>
          <w:b w:val="false"/>
          <w:i/>
          <w:color w:val="000000"/>
          <w:sz w:val="22"/>
        </w:rPr>
        <w:t xml:space="preserve">Response. </w:t>
      </w:r>
      <w:r>
        <w:rPr>
          <w:rFonts w:ascii="Times New Roman" w:hAnsi="Times New Roman"/>
          <w:b w:val="false"/>
          <w:i w:val="false"/>
          <w:color w:val="000000"/>
          <w:sz w:val="22"/>
        </w:rPr>
        <w:t>Licensees shall immediately respond to any actual or attempted unauthorized access to the security zones, or actual or attempted theft, sabotage, or diversion of category 1 or category 2 quantities of radioactive material at licensee facilities or temporary job sites. For any unauthorized access involving an actual or attempted theft, sabotage, or diversion of category 1 or category 2 quantities of radioactive material, the licensee’s response shall include requesting, without delay, an armed response from the LLEA.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641—37.50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641—37.51</w:t>
      </w:r>
      <w:r>
        <w:rPr>
          <w:rFonts w:ascii="Times New Roman" w:hAnsi="Times New Roman"/>
          <w:b/>
          <w:i w:val="false"/>
          <w:color w:val="000000"/>
          <w:sz w:val="22"/>
        </w:rPr>
        <w:t xml:space="preserve">(136C) </w:t>
      </w:r>
      <w:r>
        <w:rPr>
          <w:rFonts w:ascii="Times New Roman" w:hAnsi="Times New Roman"/>
          <w:b/>
          <w:i w:val="false"/>
          <w:color w:val="000000"/>
          <w:sz w:val="22"/>
        </w:rPr>
        <w:t xml:space="preserve">Maintenance and testing.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37.51(1)</w:t>
      </w:r>
      <w:r>
        <w:rPr>
          <w:rFonts w:ascii="Times New Roman" w:hAnsi="Times New Roman"/>
          <w:b w:val="false"/>
          <w:i w:val="false"/>
          <w:color w:val="000000"/>
          <w:sz w:val="22"/>
        </w:rPr>
        <w:t> </w:t>
      </w:r>
      <w:r>
        <w:rPr>
          <w:rFonts w:ascii="Times New Roman" w:hAnsi="Times New Roman"/>
          <w:b w:val="false"/>
          <w:i w:val="false"/>
          <w:color w:val="000000"/>
          <w:sz w:val="22"/>
        </w:rPr>
        <w:t>Each licensee subject to these rules shall implement a maintenance and testing program to ensure that intrusion alarms, associated communication systems, and other physical components of the systems used to secure or detect unauthorized access to radioactive material are maintained in operable condition and are capable of performing their intended function when needed. The equipment relied on to meet the security requirements of this chapter must be inspected and tested for operability and performance at the manufacturer’s suggested frequency. If there is no suggested manufacturer’s suggested frequency, the testing must be performed at least annually, not to exceed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37.51(2)</w:t>
      </w:r>
      <w:r>
        <w:rPr>
          <w:rFonts w:ascii="Times New Roman" w:hAnsi="Times New Roman"/>
          <w:b w:val="false"/>
          <w:i w:val="false"/>
          <w:color w:val="000000"/>
          <w:sz w:val="22"/>
        </w:rPr>
        <w:t> </w:t>
      </w:r>
      <w:r>
        <w:rPr>
          <w:rFonts w:ascii="Times New Roman" w:hAnsi="Times New Roman"/>
          <w:b w:val="false"/>
          <w:i w:val="false"/>
          <w:color w:val="000000"/>
          <w:sz w:val="22"/>
        </w:rPr>
        <w:t>The licensee shall maintain records on the maintenance and testing activities for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641—37.52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641—37.53</w:t>
      </w:r>
      <w:r>
        <w:rPr>
          <w:rFonts w:ascii="Times New Roman" w:hAnsi="Times New Roman"/>
          <w:b/>
          <w:i w:val="false"/>
          <w:color w:val="000000"/>
          <w:sz w:val="22"/>
        </w:rPr>
        <w:t xml:space="preserve">(136C) </w:t>
      </w:r>
      <w:r>
        <w:rPr>
          <w:rFonts w:ascii="Times New Roman" w:hAnsi="Times New Roman"/>
          <w:b/>
          <w:i w:val="false"/>
          <w:color w:val="000000"/>
          <w:sz w:val="22"/>
        </w:rPr>
        <w:t xml:space="preserve">Requirements for mobile devices. </w:t>
      </w:r>
      <w:r>
        <w:rPr>
          <w:rFonts w:ascii="Times New Roman" w:hAnsi="Times New Roman"/>
          <w:b w:val="false"/>
          <w:i w:val="false"/>
          <w:color w:val="000000"/>
          <w:sz w:val="22"/>
        </w:rPr>
        <w:t>Each licensee that possesses mobile devices containing category 1 or category 2 quantities of radioactive material must: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37.53(1)</w:t>
      </w:r>
      <w:r>
        <w:rPr>
          <w:rFonts w:ascii="Times New Roman" w:hAnsi="Times New Roman"/>
          <w:b w:val="false"/>
          <w:i w:val="false"/>
          <w:color w:val="000000"/>
          <w:sz w:val="22"/>
        </w:rPr>
        <w:t> </w:t>
      </w:r>
      <w:r>
        <w:rPr>
          <w:rFonts w:ascii="Times New Roman" w:hAnsi="Times New Roman"/>
          <w:b w:val="false"/>
          <w:i w:val="false"/>
          <w:color w:val="000000"/>
          <w:sz w:val="22"/>
        </w:rPr>
        <w:t>Have two independent physical controls that form tangible barriers to secure the material from unauthorized removal when the device is not under direct control and constant surveillance by the licensee;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37.53(2)</w:t>
      </w:r>
      <w:r>
        <w:rPr>
          <w:rFonts w:ascii="Times New Roman" w:hAnsi="Times New Roman"/>
          <w:b w:val="false"/>
          <w:i w:val="false"/>
          <w:color w:val="000000"/>
          <w:sz w:val="22"/>
        </w:rPr>
        <w:t> </w:t>
      </w:r>
      <w:r>
        <w:rPr>
          <w:rFonts w:ascii="Times New Roman" w:hAnsi="Times New Roman"/>
          <w:b w:val="false"/>
          <w:i w:val="false"/>
          <w:color w:val="000000"/>
          <w:sz w:val="22"/>
        </w:rPr>
        <w:t>For devices in or on a vehicle or trailer, unless the health and safety requirements for a site prohibit the disabling of the vehicle, utilize a method to disable the vehicle or trailer when not under direct control and constant surveillance by the licensee. Licensees shall not rely on the removal of an ignition key to meet this requirement.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641—37.54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641—37.55</w:t>
      </w:r>
      <w:r>
        <w:rPr>
          <w:rFonts w:ascii="Times New Roman" w:hAnsi="Times New Roman"/>
          <w:b/>
          <w:i w:val="false"/>
          <w:color w:val="000000"/>
          <w:sz w:val="22"/>
        </w:rPr>
        <w:t xml:space="preserve">(136C) </w:t>
      </w:r>
      <w:r>
        <w:rPr>
          <w:rFonts w:ascii="Times New Roman" w:hAnsi="Times New Roman"/>
          <w:b/>
          <w:i w:val="false"/>
          <w:color w:val="000000"/>
          <w:sz w:val="22"/>
        </w:rPr>
        <w:t xml:space="preserve">Security program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37.55(1)</w:t>
      </w:r>
      <w:r>
        <w:rPr>
          <w:rFonts w:ascii="Times New Roman" w:hAnsi="Times New Roman"/>
          <w:b w:val="false"/>
          <w:i w:val="false"/>
          <w:color w:val="000000"/>
          <w:sz w:val="22"/>
        </w:rPr>
        <w:t> </w:t>
      </w:r>
      <w:r>
        <w:rPr>
          <w:rFonts w:ascii="Times New Roman" w:hAnsi="Times New Roman"/>
          <w:b w:val="false"/>
          <w:i w:val="false"/>
          <w:color w:val="000000"/>
          <w:sz w:val="22"/>
        </w:rPr>
        <w:t>Each licensee shall be responsible for the continuing effectiveness of the security program. Each licensee shall ensure that the security program is reviewed to confirm compliance with the requirements of these rules and that comprehensive actions are taken to correct any noncompliance that is identified. The review must include the radioactive material security program content and implementation. Each licensee shall periodically (at least annually) review the security program content and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37.55(2)</w:t>
      </w:r>
      <w:r>
        <w:rPr>
          <w:rFonts w:ascii="Times New Roman" w:hAnsi="Times New Roman"/>
          <w:b w:val="false"/>
          <w:i w:val="false"/>
          <w:color w:val="000000"/>
          <w:sz w:val="22"/>
        </w:rPr>
        <w:t> </w:t>
      </w:r>
      <w:r>
        <w:rPr>
          <w:rFonts w:ascii="Times New Roman" w:hAnsi="Times New Roman"/>
          <w:b w:val="false"/>
          <w:i w:val="false"/>
          <w:color w:val="000000"/>
          <w:sz w:val="22"/>
        </w:rPr>
        <w:t>The results of the review, along with any recommendations, must be documented. Each review report must identify conditions that are adverse to the proper performance of the security program, the cause of the condition(s), and, when appropriate, recommend corrective actions, and corrective actions taken. The licensee shall review the findings and take any additional corrective actions necessary to preclude repetition of the condition, including reassessment of the deficient areas where indicated.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37.55(3)</w:t>
      </w:r>
      <w:r>
        <w:rPr>
          <w:rFonts w:ascii="Times New Roman" w:hAnsi="Times New Roman"/>
          <w:b w:val="false"/>
          <w:i w:val="false"/>
          <w:color w:val="000000"/>
          <w:sz w:val="22"/>
        </w:rPr>
        <w:t> </w:t>
      </w:r>
      <w:r>
        <w:rPr>
          <w:rFonts w:ascii="Times New Roman" w:hAnsi="Times New Roman"/>
          <w:b w:val="false"/>
          <w:i w:val="false"/>
          <w:color w:val="000000"/>
          <w:sz w:val="22"/>
        </w:rPr>
        <w:t>The licensee shall maintain the review documentation for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641—37.56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641—37.57</w:t>
      </w:r>
      <w:r>
        <w:rPr>
          <w:rFonts w:ascii="Times New Roman" w:hAnsi="Times New Roman"/>
          <w:b/>
          <w:i w:val="false"/>
          <w:color w:val="000000"/>
          <w:sz w:val="22"/>
        </w:rPr>
        <w:t xml:space="preserve">(136C) </w:t>
      </w:r>
      <w:r>
        <w:rPr>
          <w:rFonts w:ascii="Times New Roman" w:hAnsi="Times New Roman"/>
          <w:b/>
          <w:i w:val="false"/>
          <w:color w:val="000000"/>
          <w:sz w:val="22"/>
        </w:rPr>
        <w:t xml:space="preserve">Reporting of events.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37.57(1)</w:t>
      </w:r>
      <w:r>
        <w:rPr>
          <w:rFonts w:ascii="Times New Roman" w:hAnsi="Times New Roman"/>
          <w:b w:val="false"/>
          <w:i w:val="false"/>
          <w:color w:val="000000"/>
          <w:sz w:val="22"/>
        </w:rPr>
        <w:t> </w:t>
      </w:r>
      <w:r>
        <w:rPr>
          <w:rFonts w:ascii="Times New Roman" w:hAnsi="Times New Roman"/>
          <w:b w:val="false"/>
          <w:i w:val="false"/>
          <w:color w:val="000000"/>
          <w:sz w:val="22"/>
        </w:rPr>
        <w:t>The licensee shall immediately notify the LLEA after determining that an unauthorized entry resulted in an actual or attempted theft, sabotage, or diversion of a category 1 or category 2 quantity of radioactive material. As soon as possible after initiating a response, but not at the expense of causing delay or interfering with the LLEA response to the event, the licensee shall notify the agency at (515)281-3478 (normal hours) or (515)323-4360 (after hours and holidays). In no case shall the notification to the agency be later than four hours after the discovery of any attempted or actual theft, sabotage, or diversion.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37.57(2)</w:t>
      </w:r>
      <w:r>
        <w:rPr>
          <w:rFonts w:ascii="Times New Roman" w:hAnsi="Times New Roman"/>
          <w:b w:val="false"/>
          <w:i w:val="false"/>
          <w:color w:val="000000"/>
          <w:sz w:val="22"/>
        </w:rPr>
        <w:t> </w:t>
      </w:r>
      <w:r>
        <w:rPr>
          <w:rFonts w:ascii="Times New Roman" w:hAnsi="Times New Roman"/>
          <w:b w:val="false"/>
          <w:i w:val="false"/>
          <w:color w:val="000000"/>
          <w:sz w:val="22"/>
        </w:rPr>
        <w:t>The licensee shall assess any suspicious activity related to possible theft, sabotage, or diversion of category 1 or category 2 quantities of radioactive material and notify the LLEA as appropriate. As soon as possible but not later than four hours after notifying the LLEA, the licensee shall notify the agency at (515)281-3478 (normal hours) or (515)323-4360 (after hours and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37.57(3)</w:t>
      </w:r>
      <w:r>
        <w:rPr>
          <w:rFonts w:ascii="Times New Roman" w:hAnsi="Times New Roman"/>
          <w:b w:val="false"/>
          <w:i w:val="false"/>
          <w:color w:val="000000"/>
          <w:sz w:val="22"/>
        </w:rPr>
        <w:t> </w:t>
      </w:r>
      <w:r>
        <w:rPr>
          <w:rFonts w:ascii="Times New Roman" w:hAnsi="Times New Roman"/>
          <w:b w:val="false"/>
          <w:i w:val="false"/>
          <w:color w:val="000000"/>
          <w:sz w:val="22"/>
        </w:rPr>
        <w:t>The initial telephonic notification required by 37.57(1) must be followed within a period of 30 days by a written report submitted to the agency. The report must include sufficient information for agency analysis and evaluation, including identification of any necessary corrective actions to prevent future instances.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641—37.58</w:t>
      </w:r>
      <w:r>
        <w:rPr>
          <w:rFonts w:ascii="Times New Roman" w:hAnsi="Times New Roman"/>
          <w:b w:val="false"/>
          <w:i w:val="false"/>
          <w:color w:val="000000"/>
          <w:sz w:val="22"/>
        </w:rPr>
        <w:t xml:space="preserve"> to </w:t>
      </w:r>
      <w:r>
        <w:rPr>
          <w:rFonts w:ascii="Times New Roman" w:hAnsi="Times New Roman"/>
          <w:b/>
          <w:i w:val="false"/>
          <w:color w:val="000000"/>
          <w:sz w:val="22"/>
        </w:rPr>
        <w:t>37.70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PHYSICAL PROTECTION IN TRANSIT</w:t>
      </w:r>
    </w:p>
    <w:p>
      <w:pPr>
        <w:spacing w:before="0" w:after="0"/>
        <w:ind w:left="120"/>
        <w:jc w:val="both"/>
      </w:pPr>
      <w:r>
        <w:rPr>
          <w:rFonts w:ascii="Times New Roman" w:hAnsi="Times New Roman"/>
          <w:b/>
          <w:i w:val="false"/>
          <w:color w:val="000000"/>
          <w:sz w:val="22"/>
        </w:rPr>
        <w:t>641—37.71</w:t>
      </w:r>
      <w:r>
        <w:rPr>
          <w:rFonts w:ascii="Times New Roman" w:hAnsi="Times New Roman"/>
          <w:b/>
          <w:i w:val="false"/>
          <w:color w:val="000000"/>
          <w:sz w:val="22"/>
        </w:rPr>
        <w:t xml:space="preserve">(136C) </w:t>
      </w:r>
      <w:r>
        <w:rPr>
          <w:rFonts w:ascii="Times New Roman" w:hAnsi="Times New Roman"/>
          <w:b/>
          <w:i w:val="false"/>
          <w:color w:val="000000"/>
          <w:sz w:val="22"/>
        </w:rPr>
        <w:t xml:space="preserve">Additional requirements for transfer of category 1 and category 2 quantities of radioactive material. </w:t>
      </w:r>
      <w:r>
        <w:rPr>
          <w:rFonts w:ascii="Times New Roman" w:hAnsi="Times New Roman"/>
          <w:b w:val="false"/>
          <w:i w:val="false"/>
          <w:color w:val="000000"/>
          <w:sz w:val="22"/>
        </w:rPr>
        <w:t xml:space="preserve">A licensee transferring a category 1 or category 2 quantity of radioactive material to a licensee of the agency, the Nuclear Regulatory Commission or an agreement state shall meet the license verification provisions listed in this rule instead of those listed in </w:t>
      </w:r>
      <w:hyperlink r:id="rId36">
        <w:r>
          <w:rPr>
            <w:rStyle w:val="Hyperlink"/>
            <w:rFonts w:ascii="Times New Roman" w:hAnsi="Times New Roman"/>
            <w:b w:val="false"/>
            <w:i w:val="false"/>
            <w:color w:val="000000"/>
            <w:sz w:val="22"/>
          </w:rPr>
          <w:t>641—subrule 39.4(41)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37.71(1)</w:t>
      </w:r>
      <w:r>
        <w:rPr>
          <w:rFonts w:ascii="Times New Roman" w:hAnsi="Times New Roman"/>
          <w:b w:val="false"/>
          <w:i w:val="false"/>
          <w:color w:val="000000"/>
          <w:sz w:val="22"/>
        </w:rPr>
        <w:t> </w:t>
      </w:r>
      <w:r>
        <w:rPr>
          <w:rFonts w:ascii="Times New Roman" w:hAnsi="Times New Roman"/>
          <w:b w:val="false"/>
          <w:i w:val="false"/>
          <w:color w:val="000000"/>
          <w:sz w:val="22"/>
        </w:rPr>
        <w:t>Any licensee transferring category 1 quantities of radioactive material to a licensee of the agency, the Nuclear Regulatory Commission or an agreement state, prior to conducting such transfer, shall verify with the agency, the NRC’s license verification system or the license-issuing authority that the transferee’s license authorizes the receipt of the type, form, and quantity of radioactive material to be transferred and that the licensee is authorized to receive radioactive material at the location requested for delivery. If the verification is conducted by contacting the license-issuing authority, the transferor shall document the verification. For transfers within the same organization, the licensee does not need to verify the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37.71(2)</w:t>
      </w:r>
      <w:r>
        <w:rPr>
          <w:rFonts w:ascii="Times New Roman" w:hAnsi="Times New Roman"/>
          <w:b w:val="false"/>
          <w:i w:val="false"/>
          <w:color w:val="000000"/>
          <w:sz w:val="22"/>
        </w:rPr>
        <w:t> </w:t>
      </w:r>
      <w:r>
        <w:rPr>
          <w:rFonts w:ascii="Times New Roman" w:hAnsi="Times New Roman"/>
          <w:b w:val="false"/>
          <w:i w:val="false"/>
          <w:color w:val="000000"/>
          <w:sz w:val="22"/>
        </w:rPr>
        <w:t>Any licensee transferring category 2 quantities of radioactive material to a licensee of the agency, the Nuclear Regulatory Commission or an agreement state, prior to conducting such transfer, shall verify with the agency, the NRC’s license verification system or the license-issuing authority that the transferee’s license authorizes the receipt of the type, form, and quantity of radioactive material to be transferred. If the verification is conducted by contacting the license-issuing authority, the transferor shall document the verification. For transfers within the same organization, the licensee does not need to verify the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37.71(3)</w:t>
      </w:r>
      <w:r>
        <w:rPr>
          <w:rFonts w:ascii="Times New Roman" w:hAnsi="Times New Roman"/>
          <w:b w:val="false"/>
          <w:i w:val="false"/>
          <w:color w:val="000000"/>
          <w:sz w:val="22"/>
        </w:rPr>
        <w:t> </w:t>
      </w:r>
      <w:r>
        <w:rPr>
          <w:rFonts w:ascii="Times New Roman" w:hAnsi="Times New Roman"/>
          <w:b w:val="false"/>
          <w:i w:val="false"/>
          <w:color w:val="000000"/>
          <w:sz w:val="22"/>
        </w:rPr>
        <w:t>In an emergency where the licensee cannot reach the agency, or the license-issuing authority and the license verification system are nonfunctional, the licensee may accept a written certification by the transferee that it is authorized by license to receive the type, form, and quantity of radioactive material to be transferred. The certification must include the license number, current revision number, issuing agency, expiration date and, for a category 1 shipment, the authorized address. The licensee shall keep a copy of the certification. The certification must be confirmed by contacting the agency or by use of the NRC’s license verification system or by contacting the license-issuing authority by the end of the next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37.71(4)</w:t>
      </w:r>
      <w:r>
        <w:rPr>
          <w:rFonts w:ascii="Times New Roman" w:hAnsi="Times New Roman"/>
          <w:b w:val="false"/>
          <w:i w:val="false"/>
          <w:color w:val="000000"/>
          <w:sz w:val="22"/>
        </w:rPr>
        <w:t> </w:t>
      </w:r>
      <w:r>
        <w:rPr>
          <w:rFonts w:ascii="Times New Roman" w:hAnsi="Times New Roman"/>
          <w:b w:val="false"/>
          <w:i w:val="false"/>
          <w:color w:val="000000"/>
          <w:sz w:val="22"/>
        </w:rPr>
        <w:t>The transferor shall keep a copy of the verification documentation as a record for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641—37.72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641—37.73</w:t>
      </w:r>
      <w:r>
        <w:rPr>
          <w:rFonts w:ascii="Times New Roman" w:hAnsi="Times New Roman"/>
          <w:b/>
          <w:i w:val="false"/>
          <w:color w:val="000000"/>
          <w:sz w:val="22"/>
        </w:rPr>
        <w:t xml:space="preserve">(136C) </w:t>
      </w:r>
      <w:r>
        <w:rPr>
          <w:rFonts w:ascii="Times New Roman" w:hAnsi="Times New Roman"/>
          <w:b/>
          <w:i w:val="false"/>
          <w:color w:val="000000"/>
          <w:sz w:val="22"/>
        </w:rPr>
        <w:t xml:space="preserve">Applicability of physical protection of category 1 and category 2 quantities of radioactive material during transit. </w:t>
      </w:r>
      <w:r>
        <w:rPr>
          <w:rFonts w:ascii="Times New Roman" w:hAnsi="Times New Roman"/>
          <w:b w:val="false"/>
          <w:i w:val="false"/>
          <w:color w:val="000000"/>
          <w:sz w:val="22"/>
        </w:rPr>
        <w:t>The shipping licensee shall be responsible for meeting the requirements of this chapter unless the receiving licensee has agreed in writing to arrange for the in-transit physical protection required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641—37.74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641—37.75</w:t>
      </w:r>
      <w:r>
        <w:rPr>
          <w:rFonts w:ascii="Times New Roman" w:hAnsi="Times New Roman"/>
          <w:b/>
          <w:i w:val="false"/>
          <w:color w:val="000000"/>
          <w:sz w:val="22"/>
        </w:rPr>
        <w:t xml:space="preserve">(136C) </w:t>
      </w:r>
      <w:r>
        <w:rPr>
          <w:rFonts w:ascii="Times New Roman" w:hAnsi="Times New Roman"/>
          <w:b/>
          <w:i w:val="false"/>
          <w:color w:val="000000"/>
          <w:sz w:val="22"/>
        </w:rPr>
        <w:t xml:space="preserve">Preplanning and coordination of shipment of category 1 or category 2 quantities of radioactive material.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37.75(1)</w:t>
      </w:r>
      <w:r>
        <w:rPr>
          <w:rFonts w:ascii="Times New Roman" w:hAnsi="Times New Roman"/>
          <w:b w:val="false"/>
          <w:i w:val="false"/>
          <w:color w:val="000000"/>
          <w:sz w:val="22"/>
        </w:rPr>
        <w:t> </w:t>
      </w:r>
      <w:r>
        <w:rPr>
          <w:rFonts w:ascii="Times New Roman" w:hAnsi="Times New Roman"/>
          <w:b w:val="false"/>
          <w:i w:val="false"/>
          <w:color w:val="000000"/>
          <w:sz w:val="22"/>
        </w:rPr>
        <w:t>Each licensee that plans to transport, or deliver to a carrier for transport, licensed material that is a category 1 quantity of radioactive material outside the confines of the licensee’s facility or other place of use or storage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Preplan and coordinate shipment arrival and departure times with the receiving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Preplan and coordinate shipment information with the governor or the governor’s designee of any state through which the shipment will pass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Discuss the state’s intention to provide law enforcement escorts;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 safe havens;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 the preplanning and coordination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37.75(2)</w:t>
      </w:r>
      <w:r>
        <w:rPr>
          <w:rFonts w:ascii="Times New Roman" w:hAnsi="Times New Roman"/>
          <w:b w:val="false"/>
          <w:i w:val="false"/>
          <w:color w:val="000000"/>
          <w:sz w:val="22"/>
        </w:rPr>
        <w:t> </w:t>
      </w:r>
      <w:r>
        <w:rPr>
          <w:rFonts w:ascii="Times New Roman" w:hAnsi="Times New Roman"/>
          <w:b w:val="false"/>
          <w:i w:val="false"/>
          <w:color w:val="000000"/>
          <w:sz w:val="22"/>
        </w:rPr>
        <w:t>Each licensee that plans to transport, or deliver to a carrier for transport, licensed material that is a category 2 quantity of radioactive material outside the confines of the licensee’s facility or other place of use or storage shall coordinate the shipment no-later-than arrival time and the expected shipment arrival with the receiving licensee. The licensee shall document the coordination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37.75(3)</w:t>
      </w:r>
      <w:r>
        <w:rPr>
          <w:rFonts w:ascii="Times New Roman" w:hAnsi="Times New Roman"/>
          <w:b w:val="false"/>
          <w:i w:val="false"/>
          <w:color w:val="000000"/>
          <w:sz w:val="22"/>
        </w:rPr>
        <w:t> </w:t>
      </w:r>
      <w:r>
        <w:rPr>
          <w:rFonts w:ascii="Times New Roman" w:hAnsi="Times New Roman"/>
          <w:b w:val="false"/>
          <w:i w:val="false"/>
          <w:color w:val="000000"/>
          <w:sz w:val="22"/>
        </w:rPr>
        <w:t>Each licensee who receives a shipment of a category 2 quantity of radioactive material shall confirm receipt of the shipment with the originator. If the shipment has not arrived by the no-later-than arrival time, the receiving licensee shall notify the originator.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37.75(4)</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who transports or plans to transport a shipment of a category 2 quantity of radioactive material and determines that the shipment will arrive after the no-later-than arrival time provided pursuant to </w:t>
      </w:r>
      <w:hyperlink r:id="rId37">
        <w:r>
          <w:rPr>
            <w:rStyle w:val="Hyperlink"/>
            <w:rFonts w:ascii="Times New Roman" w:hAnsi="Times New Roman"/>
            <w:b w:val="false"/>
            <w:i w:val="false"/>
            <w:color w:val="000000"/>
            <w:sz w:val="22"/>
          </w:rPr>
          <w:t>37.75(2)</w:t>
        </w:r>
      </w:hyperlink>
      <w:r>
        <w:rPr>
          <w:rFonts w:ascii="Times New Roman" w:hAnsi="Times New Roman"/>
          <w:b w:val="false"/>
          <w:i w:val="false"/>
          <w:color w:val="000000"/>
          <w:sz w:val="22"/>
        </w:rPr>
        <w:t xml:space="preserve"> shall promptly notify the receiving licensee of the new no-later-than arrival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37.75(5)</w:t>
      </w:r>
      <w:r>
        <w:rPr>
          <w:rFonts w:ascii="Times New Roman" w:hAnsi="Times New Roman"/>
          <w:b w:val="false"/>
          <w:i w:val="false"/>
          <w:color w:val="000000"/>
          <w:sz w:val="22"/>
        </w:rPr>
        <w:t> </w:t>
      </w:r>
      <w:r>
        <w:rPr>
          <w:rFonts w:ascii="Times New Roman" w:hAnsi="Times New Roman"/>
          <w:b w:val="false"/>
          <w:i w:val="false"/>
          <w:color w:val="000000"/>
          <w:sz w:val="22"/>
        </w:rPr>
        <w:t>The licensee shall retain a copy of the documentation for preplanning and coordination and any revision thereof, as a record for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641—37.76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641—37.77</w:t>
      </w:r>
      <w:r>
        <w:rPr>
          <w:rFonts w:ascii="Times New Roman" w:hAnsi="Times New Roman"/>
          <w:b/>
          <w:i w:val="false"/>
          <w:color w:val="000000"/>
          <w:sz w:val="22"/>
        </w:rPr>
        <w:t xml:space="preserve">(136C) </w:t>
      </w:r>
      <w:r>
        <w:rPr>
          <w:rFonts w:ascii="Times New Roman" w:hAnsi="Times New Roman"/>
          <w:b/>
          <w:i w:val="false"/>
          <w:color w:val="000000"/>
          <w:sz w:val="22"/>
        </w:rPr>
        <w:t xml:space="preserve">Advance notification of shipment of category 1 quantities of radioactive material.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37.77(1)</w:t>
      </w:r>
      <w:r>
        <w:rPr>
          <w:rFonts w:ascii="Times New Roman" w:hAnsi="Times New Roman"/>
          <w:b w:val="false"/>
          <w:i w:val="false"/>
          <w:color w:val="000000"/>
          <w:sz w:val="22"/>
        </w:rPr>
        <w:t> </w:t>
      </w:r>
      <w:r>
        <w:rPr>
          <w:rFonts w:ascii="Times New Roman" w:hAnsi="Times New Roman"/>
          <w:b w:val="false"/>
          <w:i w:val="false"/>
          <w:color w:val="000000"/>
          <w:sz w:val="22"/>
        </w:rPr>
        <w:t xml:space="preserve">As specified in </w:t>
      </w:r>
      <w:hyperlink r:id="rId38">
        <w:r>
          <w:rPr>
            <w:rStyle w:val="Hyperlink"/>
            <w:rFonts w:ascii="Times New Roman" w:hAnsi="Times New Roman"/>
            <w:b w:val="false"/>
            <w:i w:val="false"/>
            <w:color w:val="000000"/>
            <w:sz w:val="22"/>
          </w:rPr>
          <w:t>37.77(1)</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
        </w:r>
        <w:r>
          <w:rPr>
            <w:rFonts w:ascii="Times New Roman" w:hAnsi="Times New Roman"/>
            <w:b w:val="false"/>
            <w:i/>
            <w:color w:val="000000"/>
            <w:sz w:val="22"/>
          </w:rPr>
          <w:t>“b,”</w:t>
        </w:r>
      </w:hyperlink>
      <w:r>
        <w:rPr>
          <w:rFonts w:ascii="Times New Roman" w:hAnsi="Times New Roman"/>
          <w:b w:val="false"/>
          <w:i w:val="false"/>
          <w:color w:val="000000"/>
          <w:sz w:val="22"/>
        </w:rPr>
        <w:t xml:space="preserve"> each licensee shall provide advance notification to the NRC and the governor of a state, or the governor’s designee, of the shipment of licensed material in a category 1 quantity, through or across the boundary of the state, before the transport, or delivery to a carrier for transport, of the licensed material outside the confines of the licensee’s facility or other place of use or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Procedures for submitting advance notification.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notification must be made to the NRC and to the office of each appropriate governor or governor’s designee. The contact information, including telephone and mailing addresses, of governors and governors’ designees, is available on the NRC’s website at </w:t>
      </w:r>
      <w:hyperlink r:id="rId40">
        <w:r>
          <w:rPr>
            <w:rStyle w:val="Hyperlink"/>
            <w:rFonts w:ascii="Times New Roman" w:hAnsi="Times New Roman"/>
            <w:b w:val="false"/>
            <w:i w:val="false"/>
            <w:color w:val="000000"/>
            <w:sz w:val="22"/>
            <w:u w:val="single"/>
          </w:rPr>
          <w:t>scp.nrc.gov/special/designee.pdf</w:t>
        </w:r>
      </w:hyperlink>
      <w:r>
        <w:rPr>
          <w:rFonts w:ascii="Times New Roman" w:hAnsi="Times New Roman"/>
          <w:b w:val="false"/>
          <w:i w:val="false"/>
          <w:color w:val="000000"/>
          <w:sz w:val="22"/>
        </w:rPr>
        <w:t xml:space="preserve">. A list of the contact information is also available upon request from the Director, Division of Materials Safety, Security, State, and Tribal Programs, Office of Nuclear Material Safety and Safeguards, U.S. Nuclear Regulatory Commission, Washington, DC 20555-0001. Notifications to the NRC must be to the NRC’s Director, Office of Nuclear Security and Incident Response, U.S. Nuclear Regulatory Commission, Washington, DC 20555-0001. The notification to the NRC may be made by email to </w:t>
      </w:r>
      <w:hyperlink r:id="rId41">
        <w:r>
          <w:rPr>
            <w:rStyle w:val="Hyperlink"/>
            <w:rFonts w:ascii="Times New Roman" w:hAnsi="Times New Roman"/>
            <w:b w:val="false"/>
            <w:i w:val="false"/>
            <w:color w:val="000000"/>
            <w:sz w:val="22"/>
            <w:u w:val="single"/>
          </w:rPr>
          <w:t>RAMQC_SHIPMENTS@nrc.gov</w:t>
        </w:r>
      </w:hyperlink>
      <w:r>
        <w:rPr>
          <w:rFonts w:ascii="Times New Roman" w:hAnsi="Times New Roman"/>
          <w:b w:val="false"/>
          <w:i w:val="false"/>
          <w:color w:val="000000"/>
          <w:sz w:val="22"/>
        </w:rPr>
        <w:t xml:space="preserve"> or by fax to (301)816-5151.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notification delivered by mail must be postmarked at least seven days before transport of the shipment commences at the shipping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notification delivered by any means other than mail must reach the NRC at least four days before the transport of the shipment commences and must reach the office of the governor or the governor’s designee at least four days before transport of a shipment within or through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Information to be furnished in advance notification of shipment. </w:t>
      </w:r>
      <w:r>
        <w:rPr>
          <w:rFonts w:ascii="Times New Roman" w:hAnsi="Times New Roman"/>
          <w:b w:val="false"/>
          <w:i w:val="false"/>
          <w:color w:val="000000"/>
          <w:sz w:val="22"/>
        </w:rPr>
        <w:t>Each advance notification of shipment of category 1 quantities of radioactive material must contain the following information, if available at the time of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shipper, carrier, and receiver of the category 1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license numbers of the shipper and receiver;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radioactive material contained in the shipment, including the radionuclides and quantity;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point of origin of the shipment and the estimated time and date that shipment will commence;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estimated time and date that the shipment is expected to enter each state along the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estimated time and date of arrival of the shipment at the destination;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point of contact, with a telephone number, for current shipment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Revision notice.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licensee shall provide any information not previously available at the time of the initial notification, as soon as the information becomes available but not later than commencement of the shipment, to the governor of the state or the governor’s designee and to the NRC’s Director, Office of Nuclear Security and Incident Response, U.S. Nuclear Regulatory Commission, Washington, DC 20555-0001.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shall promptly notify the governor of the state or the governor’s designee of any changes to the information provided in accordance with </w:t>
      </w:r>
      <w:hyperlink r:id="rId42">
        <w:r>
          <w:rPr>
            <w:rStyle w:val="Hyperlink"/>
            <w:rFonts w:ascii="Times New Roman" w:hAnsi="Times New Roman"/>
            <w:b w:val="false"/>
            <w:i w:val="false"/>
            <w:color w:val="000000"/>
            <w:sz w:val="22"/>
          </w:rPr>
          <w:t>37.77(1)</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37.77(1)</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The licensee shall also immediately notify the NRC’s Director, Office of Nuclear Security and Incident Response, U.S. Nuclear Regulatory Commission, Washington, DC 20555-0001, of any such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Cancellation notice. </w:t>
      </w:r>
      <w:r>
        <w:rPr>
          <w:rFonts w:ascii="Times New Roman" w:hAnsi="Times New Roman"/>
          <w:b w:val="false"/>
          <w:i w:val="false"/>
          <w:color w:val="000000"/>
          <w:sz w:val="22"/>
        </w:rPr>
        <w:t>Each licensee who cancels a shipment for which advance notification has been sent shall send a cancellation notice to the governor of each state or to the governor’s designee previously notified and to the NRC’s Director, Office of Nuclear Security and Incident Response, U.S. Nuclear Regulatory Commission, Washington, DC 20555-0001. The licensee shall send the cancellation notice before the shipment would have commenced or as soon thereafter as possible. The licensee shall state in the notice that it is a cancellation and identify the advance notification that is being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The licensee shall retain a copy of the advance notification and any revision and cancellation notices as a record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Protection of information. </w:t>
      </w:r>
      <w:r>
        <w:rPr>
          <w:rFonts w:ascii="Times New Roman" w:hAnsi="Times New Roman"/>
          <w:b w:val="false"/>
          <w:i w:val="false"/>
          <w:color w:val="000000"/>
          <w:sz w:val="22"/>
        </w:rPr>
        <w:t>State officials, state employees, and other individuals, whether or not licensees of the commission or an agreement state, who receive schedule information of the kind specified in 37.77(1)</w:t>
      </w:r>
      <w:r>
        <w:rPr>
          <w:rFonts w:ascii="Times New Roman" w:hAnsi="Times New Roman"/>
          <w:b w:val="false"/>
          <w:i/>
          <w:color w:val="000000"/>
          <w:sz w:val="22"/>
        </w:rPr>
        <w:t>“b”</w:t>
      </w:r>
      <w:r>
        <w:rPr>
          <w:rFonts w:ascii="Times New Roman" w:hAnsi="Times New Roman"/>
          <w:b w:val="false"/>
          <w:i w:val="false"/>
          <w:color w:val="000000"/>
          <w:sz w:val="22"/>
        </w:rPr>
        <w:t xml:space="preserve"> shall protect that information against unauthorized disclosure as specified in 37.43(4).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3746C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5059C</w:t>
      </w:r>
      <w:r>
        <w:rPr>
          <w:rFonts w:ascii="Times New Roman" w:hAnsi="Times New Roman"/>
          <w:b w:val="false"/>
          <w:i w:val="false"/>
          <w:color w:val="000000"/>
          <w:sz w:val="16"/>
        </w:rPr>
        <w:t>, IAB 6/17/20, effective 7/22/20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641—37.78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641—37.79</w:t>
      </w:r>
      <w:r>
        <w:rPr>
          <w:rFonts w:ascii="Times New Roman" w:hAnsi="Times New Roman"/>
          <w:b/>
          <w:i w:val="false"/>
          <w:color w:val="000000"/>
          <w:sz w:val="22"/>
        </w:rPr>
        <w:t xml:space="preserve">(136C) </w:t>
      </w:r>
      <w:r>
        <w:rPr>
          <w:rFonts w:ascii="Times New Roman" w:hAnsi="Times New Roman"/>
          <w:b/>
          <w:i w:val="false"/>
          <w:color w:val="000000"/>
          <w:sz w:val="22"/>
        </w:rPr>
        <w:t xml:space="preserve">Requirements for physical protection of category 1 and category 2 quantities of radioactive material during shipment.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37.79(1)</w:t>
      </w:r>
      <w:r>
        <w:rPr>
          <w:rFonts w:ascii="Times New Roman" w:hAnsi="Times New Roman"/>
          <w:b w:val="false"/>
          <w:i w:val="false"/>
          <w:color w:val="000000"/>
          <w:sz w:val="22"/>
        </w:rPr>
        <w:t> </w:t>
      </w:r>
      <w:r>
        <w:rPr>
          <w:rFonts w:ascii="Times New Roman" w:hAnsi="Times New Roman"/>
          <w:b w:val="false"/>
          <w:i/>
          <w:color w:val="000000"/>
          <w:sz w:val="22"/>
        </w:rPr>
        <w:t xml:space="preserve">Shipments by road.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licensee who transports, or delivers to a carrier for transport, in a single shipment, a category 1 quantity of radioactive material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Ensure that movement control centers are established that maintain position information from a remote location. These control centers must monitor shipments 24 hours a day, seven days a week, and have the ability to communicate immediately, in an emergency, with the appropriate law enforcement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that redundant communications are established that allow the transport to contact the escort vehicle (when used) and movement control center at all times. Redundant communications may not be subject to the same interference factors as the primary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Ensure that shipments are continuously and actively monitored by a telemetric position monitoring system or an alternative tracking system reporting to a movement control center. A movement control center must provide positive confirmation of the location, status, and control over the shipment. The movement control center must be prepared to promptly implement preplanned procedures in response to deviations from the authorized route or a notification of actual, attempted, or suspicious activities related to the theft, loss, or diversion of a shipment. These procedures will include, but not be limited to, the identification of and contact information for the appropriate LLEA along the shipment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an individual to accompany the driver for those highway shipments with a driving time period greater than the maximum number of allowable hours of service in a 24-hour-duty day as established by the Department of Transportation Federal Motor Carrier Safety Administration. The accompanying individual may be another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Develop written normal and contingency procedures to address: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Notifications to the communication center and law enforcement agencies;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Communication protocols. Communication protocols must include a strategy for the use of authentication codes and duress codes and provisions for refueling or other stops, detours, and locations where communication is expected to be temporarily lost;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Loss of communications;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Responses to an actual or attempted theft or diversion of a shipment.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Each licensee who makes arrangements for the shipment of category 1 quantities of radioactive material shall ensure that drivers, accompanying personnel, and movement control center personnel have access to the normal and contingency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licensee that transports category 2 quantities of radioactive material shall maintain constant control or surveillance, or both, during transit and have the capability for immediate communication to summon appropriate response 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licensee who delivers to a carrier for transport, in a single shipment, a category 2 quantity of radioactive material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carriers that have established package tracking systems. An established package tracking system is a documented, proven, and reliable system routinely used to transport objects of value. In order for a package tracking system to maintain constant control or surveillance, or both, the package tracking system must allow the shipper or transporter to identify when and where the package was last reported and when it should arrive at the next point of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Use carriers that maintain constant control or surveillance, or both, during transit and have the capability for immediate communication to summon appropriate response or assistance;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Use carriers that have established tracking systems that require an authorized signature prior to releasing the package for delivery or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37.79(2)</w:t>
      </w:r>
      <w:r>
        <w:rPr>
          <w:rFonts w:ascii="Times New Roman" w:hAnsi="Times New Roman"/>
          <w:b w:val="false"/>
          <w:i w:val="false"/>
          <w:color w:val="000000"/>
          <w:sz w:val="22"/>
        </w:rPr>
        <w:t> </w:t>
      </w:r>
      <w:r>
        <w:rPr>
          <w:rFonts w:ascii="Times New Roman" w:hAnsi="Times New Roman"/>
          <w:b w:val="false"/>
          <w:i/>
          <w:color w:val="000000"/>
          <w:sz w:val="22"/>
        </w:rPr>
        <w:t xml:space="preserve">Shipments by rail.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licensee who transports, or delivers to a carrier for transport, in a single shipment, a category 1 quantity of radioactive material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Ensure that rail shipments are monitored by a telemetric position monitoring system or an alternative tracking system reporting to the licensee, third-party, or railroad communications center. The communications center shall provide positive confirmation of the location of the shipment and its status. The communications center shall implement preplanned procedures in response to deviations from the authorized route or to a notification of actual, attempted, or suspicious activities related to the theft or diversion of a shipment. These procedures will include, but not be limited to, the identification of and contact information for the appropriate LLEA along the shipment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that periodic reports to the communications center are made at preset intervals.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licensee who transports, or delivers to a carrier for transport, in a single shipment, a category 2 quantity of radioactive material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carriers that have established package tracking systems. An established package tracking system is a documented, proven, and reliable system routinely used to transport objects of value. In order for a package tracking system to maintain constant control or surveillance, or both, the package tracking system must allow the shipper or transporter to identify when and where the package was last reported and when it should arrive at the next point of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Use carriers that maintain constant control or surveillance, or both, during transit and have the capability for immediate communication to summon appropriate response or assistance;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Use carriers that have established tracking systems that require an authorized signature prior to releasing the package for delivery or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37.79(3)</w:t>
      </w:r>
      <w:r>
        <w:rPr>
          <w:rFonts w:ascii="Times New Roman" w:hAnsi="Times New Roman"/>
          <w:b w:val="false"/>
          <w:i w:val="false"/>
          <w:color w:val="000000"/>
          <w:sz w:val="22"/>
        </w:rPr>
        <w:t> </w:t>
      </w:r>
      <w:r>
        <w:rPr>
          <w:rFonts w:ascii="Times New Roman" w:hAnsi="Times New Roman"/>
          <w:b w:val="false"/>
          <w:i/>
          <w:color w:val="000000"/>
          <w:sz w:val="22"/>
        </w:rPr>
        <w:t xml:space="preserve">Investigations. </w:t>
      </w:r>
      <w:r>
        <w:rPr>
          <w:rFonts w:ascii="Times New Roman" w:hAnsi="Times New Roman"/>
          <w:b w:val="false"/>
          <w:i w:val="false"/>
          <w:color w:val="000000"/>
          <w:sz w:val="22"/>
        </w:rPr>
        <w:t>Each licensee who makes arrangements for the shipment of category 1 quantities of radioactive material shall immediately conduct an investigation upon the discovery that a category 1 shipment is lost or missing. Each licensee who makes arrangements for the shipment of category 2 quantities of radioactive material shall immediately conduct an investigation, in coordination with the receiving licensee, of any shipment that has not arrived by the designated no-later-than arrival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641—37.80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641—37.81</w:t>
      </w:r>
      <w:r>
        <w:rPr>
          <w:rFonts w:ascii="Times New Roman" w:hAnsi="Times New Roman"/>
          <w:b/>
          <w:i w:val="false"/>
          <w:color w:val="000000"/>
          <w:sz w:val="22"/>
        </w:rPr>
        <w:t xml:space="preserve">(136C) </w:t>
      </w:r>
      <w:r>
        <w:rPr>
          <w:rFonts w:ascii="Times New Roman" w:hAnsi="Times New Roman"/>
          <w:b/>
          <w:i w:val="false"/>
          <w:color w:val="000000"/>
          <w:sz w:val="22"/>
        </w:rPr>
        <w:t xml:space="preserve">Reporting of events.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shipping licensee shall notify the appropriate LLEA and the agency at (515)281-3478 (normal hours) or (515)323-4360 (after hours and holidays) within 1 hour of the shipping licensee’s determination that a shipment of category 1 quantities of radioactive material is lost or missing. The appropriate LLEA would be the law enforcement agency in the area of the shipment’s last confirmed location. During the investigation required by </w:t>
      </w:r>
      <w:hyperlink r:id="rId44">
        <w:r>
          <w:rPr>
            <w:rStyle w:val="Hyperlink"/>
            <w:rFonts w:ascii="Times New Roman" w:hAnsi="Times New Roman"/>
            <w:b w:val="false"/>
            <w:i w:val="false"/>
            <w:color w:val="000000"/>
            <w:sz w:val="22"/>
          </w:rPr>
          <w:t>37.79(3)</w:t>
        </w:r>
      </w:hyperlink>
      <w:r>
        <w:rPr>
          <w:rFonts w:ascii="Times New Roman" w:hAnsi="Times New Roman"/>
          <w:b w:val="false"/>
          <w:i w:val="false"/>
          <w:color w:val="000000"/>
          <w:sz w:val="22"/>
        </w:rPr>
        <w:t>, the shipping licensee will provide agreed-upon updates to the agency on the status of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37.81(2)</w:t>
      </w:r>
      <w:r>
        <w:rPr>
          <w:rFonts w:ascii="Times New Roman" w:hAnsi="Times New Roman"/>
          <w:b w:val="false"/>
          <w:i w:val="false"/>
          <w:color w:val="000000"/>
          <w:sz w:val="22"/>
        </w:rPr>
        <w:t> </w:t>
      </w:r>
      <w:r>
        <w:rPr>
          <w:rFonts w:ascii="Times New Roman" w:hAnsi="Times New Roman"/>
          <w:b w:val="false"/>
          <w:i w:val="false"/>
          <w:color w:val="000000"/>
          <w:sz w:val="22"/>
        </w:rPr>
        <w:t>The shipping licensee shall notify the agency at (515)281-3478 (normal hours) or (515)323-4360 (after hours and holidays) within 4 hours of the shipping licensee’s determination that a shipment of category 2 quantities of radioactive material is lost or missing. If, after 24 hours of its determination that the shipment is lost or missing and the radioactive material has not been located and secured, the licensee shall immediately notify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37.81(3)</w:t>
      </w:r>
      <w:r>
        <w:rPr>
          <w:rFonts w:ascii="Times New Roman" w:hAnsi="Times New Roman"/>
          <w:b w:val="false"/>
          <w:i w:val="false"/>
          <w:color w:val="000000"/>
          <w:sz w:val="22"/>
        </w:rPr>
        <w:t> </w:t>
      </w:r>
      <w:r>
        <w:rPr>
          <w:rFonts w:ascii="Times New Roman" w:hAnsi="Times New Roman"/>
          <w:b w:val="false"/>
          <w:i w:val="false"/>
          <w:color w:val="000000"/>
          <w:sz w:val="22"/>
        </w:rPr>
        <w:t>The shipping licensee shall notify the designated LLEA along the shipment route as soon as possible upon discovery of any actual or attempted theft or diversion of a shipment or suspicious activities related to the theft or diversion of a shipment of a category 1 quantity of radioactive material. As soon as possible after notifying the LLEA, the licensee shall notify the agency at (515)281-3478 (normal hours) or (515)323-4360 (after hours and holidays) upon discovery of any actual or attempted theft or diversion of a shipment, or any suspicious activity related to the shipment, of category 1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37.81(4)</w:t>
      </w:r>
      <w:r>
        <w:rPr>
          <w:rFonts w:ascii="Times New Roman" w:hAnsi="Times New Roman"/>
          <w:b w:val="false"/>
          <w:i w:val="false"/>
          <w:color w:val="000000"/>
          <w:sz w:val="22"/>
        </w:rPr>
        <w:t> </w:t>
      </w:r>
      <w:r>
        <w:rPr>
          <w:rFonts w:ascii="Times New Roman" w:hAnsi="Times New Roman"/>
          <w:b w:val="false"/>
          <w:i w:val="false"/>
          <w:color w:val="000000"/>
          <w:sz w:val="22"/>
        </w:rPr>
        <w:t>The shipping licensee shall notify the agency at (515)281-3478 (normal hours) or (515)323-4360 (after hours and holidays) as soon as possible upon discovery of any actual or attempted theft or diversion of a shipment, or any suspicious activity related to the shipment, of a category 2 quantity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37.81(5)</w:t>
      </w:r>
      <w:r>
        <w:rPr>
          <w:rFonts w:ascii="Times New Roman" w:hAnsi="Times New Roman"/>
          <w:b w:val="false"/>
          <w:i w:val="false"/>
          <w:color w:val="000000"/>
          <w:sz w:val="22"/>
        </w:rPr>
        <w:t> </w:t>
      </w:r>
      <w:r>
        <w:rPr>
          <w:rFonts w:ascii="Times New Roman" w:hAnsi="Times New Roman"/>
          <w:b w:val="false"/>
          <w:i w:val="false"/>
          <w:color w:val="000000"/>
          <w:sz w:val="22"/>
        </w:rPr>
        <w:t>The shipping licensee shall notify the agency at (515)281-3478 (normal hours) or (515)323-4360 (after hours and holidays) and the LLEA as soon as possible upon recovery of any lost or missing category 1 quantities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37.81(6)</w:t>
      </w:r>
      <w:r>
        <w:rPr>
          <w:rFonts w:ascii="Times New Roman" w:hAnsi="Times New Roman"/>
          <w:b w:val="false"/>
          <w:i w:val="false"/>
          <w:color w:val="000000"/>
          <w:sz w:val="22"/>
        </w:rPr>
        <w:t> </w:t>
      </w:r>
      <w:r>
        <w:rPr>
          <w:rFonts w:ascii="Times New Roman" w:hAnsi="Times New Roman"/>
          <w:b w:val="false"/>
          <w:i w:val="false"/>
          <w:color w:val="000000"/>
          <w:sz w:val="22"/>
        </w:rPr>
        <w:t>The shipping licensee shall notify the agency at (515)281-3478 (normal hours) or (515)323-4360 (after hours and holidays) as soon as possible upon recovery of any lost or missing category 2 quantities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37.81(7)</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initial telephonic notification required by </w:t>
      </w:r>
      <w:hyperlink r:id="rId45">
        <w:r>
          <w:rPr>
            <w:rStyle w:val="Hyperlink"/>
            <w:rFonts w:ascii="Times New Roman" w:hAnsi="Times New Roman"/>
            <w:b w:val="false"/>
            <w:i w:val="false"/>
            <w:color w:val="000000"/>
            <w:sz w:val="22"/>
          </w:rPr>
          <w:t>37.81(1)</w:t>
        </w:r>
      </w:hyperlink>
      <w:r>
        <w:rPr>
          <w:rFonts w:ascii="Times New Roman" w:hAnsi="Times New Roman"/>
          <w:b w:val="false"/>
          <w:i w:val="false"/>
          <w:color w:val="000000"/>
          <w:sz w:val="22"/>
        </w:rPr>
        <w:t xml:space="preserve"> through </w:t>
      </w:r>
      <w:hyperlink r:id="rId46">
        <w:r>
          <w:rPr>
            <w:rStyle w:val="Hyperlink"/>
            <w:rFonts w:ascii="Times New Roman" w:hAnsi="Times New Roman"/>
            <w:b w:val="false"/>
            <w:i w:val="false"/>
            <w:color w:val="000000"/>
            <w:sz w:val="22"/>
          </w:rPr>
          <w:t>37.81(4)</w:t>
        </w:r>
      </w:hyperlink>
      <w:r>
        <w:rPr>
          <w:rFonts w:ascii="Times New Roman" w:hAnsi="Times New Roman"/>
          <w:b w:val="false"/>
          <w:i w:val="false"/>
          <w:color w:val="000000"/>
          <w:sz w:val="22"/>
        </w:rPr>
        <w:t xml:space="preserve"> must be followed within a period of 30 days by a written report submitted to the agency. A written report is not required for notifications on suspicious activities required by </w:t>
      </w:r>
      <w:hyperlink r:id="rId47">
        <w:r>
          <w:rPr>
            <w:rStyle w:val="Hyperlink"/>
            <w:rFonts w:ascii="Times New Roman" w:hAnsi="Times New Roman"/>
            <w:b w:val="false"/>
            <w:i w:val="false"/>
            <w:color w:val="000000"/>
            <w:sz w:val="22"/>
          </w:rPr>
          <w:t>37.81(3)</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37.81(4)</w:t>
        </w:r>
      </w:hyperlink>
      <w:r>
        <w:rPr>
          <w:rFonts w:ascii="Times New Roman" w:hAnsi="Times New Roman"/>
          <w:b w:val="false"/>
          <w:i w:val="false"/>
          <w:color w:val="000000"/>
          <w:sz w:val="22"/>
        </w:rPr>
        <w:t>. The report must set forth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licensed material involved, including kind, quantity, and chemical and physical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circumstances under which the loss or theft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disposition, or probable disposition, of the licensed material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Actions that have been taken, or will be taken, to recover the material;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Procedures or measures that have been, or will be, adopted to ensure against a recurrence of the loss or theft of licensed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37.81(8)</w:t>
      </w:r>
      <w:r>
        <w:rPr>
          <w:rFonts w:ascii="Times New Roman" w:hAnsi="Times New Roman"/>
          <w:b w:val="false"/>
          <w:i w:val="false"/>
          <w:color w:val="000000"/>
          <w:sz w:val="22"/>
        </w:rPr>
        <w:t> </w:t>
      </w:r>
      <w:r>
        <w:rPr>
          <w:rFonts w:ascii="Times New Roman" w:hAnsi="Times New Roman"/>
          <w:b w:val="false"/>
          <w:i w:val="false"/>
          <w:color w:val="000000"/>
          <w:sz w:val="22"/>
        </w:rPr>
        <w:t xml:space="preserve"> Subsequent to filing the written report, the licensee shall also report any additional substantive information on the loss or theft within 30 days after the licensee learns of such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641—37.82</w:t>
      </w:r>
      <w:r>
        <w:rPr>
          <w:rFonts w:ascii="Times New Roman" w:hAnsi="Times New Roman"/>
          <w:b w:val="false"/>
          <w:i w:val="false"/>
          <w:color w:val="000000"/>
          <w:sz w:val="22"/>
        </w:rPr>
        <w:t xml:space="preserve"> to </w:t>
      </w:r>
      <w:r>
        <w:rPr>
          <w:rFonts w:ascii="Times New Roman" w:hAnsi="Times New Roman"/>
          <w:b/>
          <w:i w:val="false"/>
          <w:color w:val="000000"/>
          <w:sz w:val="22"/>
        </w:rPr>
        <w:t>37.100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RECORDS</w:t>
      </w:r>
    </w:p>
    <w:p>
      <w:pPr>
        <w:spacing w:before="0" w:after="0"/>
        <w:ind w:left="120"/>
        <w:jc w:val="both"/>
      </w:pPr>
      <w:r>
        <w:rPr>
          <w:rFonts w:ascii="Times New Roman" w:hAnsi="Times New Roman"/>
          <w:b/>
          <w:i w:val="false"/>
          <w:color w:val="000000"/>
          <w:sz w:val="22"/>
        </w:rPr>
        <w:t>641—37.101</w:t>
      </w:r>
      <w:r>
        <w:rPr>
          <w:rFonts w:ascii="Times New Roman" w:hAnsi="Times New Roman"/>
          <w:b/>
          <w:i w:val="false"/>
          <w:color w:val="000000"/>
          <w:sz w:val="22"/>
        </w:rPr>
        <w:t xml:space="preserve">(136C) </w:t>
      </w:r>
      <w:r>
        <w:rPr>
          <w:rFonts w:ascii="Times New Roman" w:hAnsi="Times New Roman"/>
          <w:b/>
          <w:i w:val="false"/>
          <w:color w:val="000000"/>
          <w:sz w:val="22"/>
        </w:rPr>
        <w:t xml:space="preserve">Form of records. </w:t>
      </w:r>
      <w:r>
        <w:rPr>
          <w:rFonts w:ascii="Times New Roman" w:hAnsi="Times New Roman"/>
          <w:b w:val="false"/>
          <w:i w:val="false"/>
          <w:color w:val="000000"/>
          <w:sz w:val="22"/>
        </w:rPr>
        <w:t>Each record required by this chapter must be legible throughout the retention period specified by each agency rule. The record may be the original or a reproduced copy or a microform, provided that the copy or microform is authenticated by authorized personnel and that the microform is capable of producing a clear copy throughout the required retention period. The record may also be stored in electronic media with the capability for producing legible, accurate, and complete records during the required retention period. Records, such as letters, drawings, and specifications, must include all pertinent information such as stamps, initials, and signatures. The licensee shall maintain adequate safeguards against tampering with and loss of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641—37.102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641—37.103</w:t>
      </w:r>
      <w:r>
        <w:rPr>
          <w:rFonts w:ascii="Times New Roman" w:hAnsi="Times New Roman"/>
          <w:b/>
          <w:i w:val="false"/>
          <w:color w:val="000000"/>
          <w:sz w:val="22"/>
        </w:rPr>
        <w:t xml:space="preserve">(136C) </w:t>
      </w:r>
      <w:r>
        <w:rPr>
          <w:rFonts w:ascii="Times New Roman" w:hAnsi="Times New Roman"/>
          <w:b/>
          <w:i w:val="false"/>
          <w:color w:val="000000"/>
          <w:sz w:val="22"/>
        </w:rPr>
        <w:t xml:space="preserve">Record retention. </w:t>
      </w:r>
      <w:r>
        <w:rPr>
          <w:rFonts w:ascii="Times New Roman" w:hAnsi="Times New Roman"/>
          <w:b w:val="false"/>
          <w:i w:val="false"/>
          <w:color w:val="000000"/>
          <w:sz w:val="22"/>
        </w:rPr>
        <w:t>Licensees shall maintain the records that are required by this chapter for the period specified by the appropriate rule. If a retention period is not otherwise specified, these records must be retained until the agency terminates the facility’s license. All records related to this chapter may be destroyed upon agency termination of the facility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641—37.104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641—37.105</w:t>
      </w:r>
      <w:r>
        <w:rPr>
          <w:rFonts w:ascii="Times New Roman" w:hAnsi="Times New Roman"/>
          <w:b/>
          <w:i w:val="false"/>
          <w:color w:val="000000"/>
          <w:sz w:val="22"/>
        </w:rPr>
        <w:t xml:space="preserve">(136C) </w:t>
      </w:r>
      <w:r>
        <w:rPr>
          <w:rFonts w:ascii="Times New Roman" w:hAnsi="Times New Roman"/>
          <w:b/>
          <w:i w:val="false"/>
          <w:color w:val="000000"/>
          <w:sz w:val="22"/>
        </w:rPr>
        <w:t xml:space="preserve">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37.105(1)</w:t>
      </w:r>
      <w:r>
        <w:rPr>
          <w:rFonts w:ascii="Times New Roman" w:hAnsi="Times New Roman"/>
          <w:b w:val="false"/>
          <w:i w:val="false"/>
          <w:color w:val="000000"/>
          <w:sz w:val="22"/>
        </w:rPr>
        <w:t> </w:t>
      </w:r>
      <w:r>
        <w:rPr>
          <w:rFonts w:ascii="Times New Roman" w:hAnsi="Times New Roman"/>
          <w:b w:val="false"/>
          <w:i w:val="false"/>
          <w:color w:val="000000"/>
          <w:sz w:val="22"/>
        </w:rPr>
        <w:t>Each licensee shall afford to the agency at all reasonable times opportunity to inspect category 1 or category 2 quantities of radioactive material and the premises and facilities wherein the nuclear material is used, produced, or stored.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37.105(2)</w:t>
      </w:r>
      <w:r>
        <w:rPr>
          <w:rFonts w:ascii="Times New Roman" w:hAnsi="Times New Roman"/>
          <w:b w:val="false"/>
          <w:i w:val="false"/>
          <w:color w:val="000000"/>
          <w:sz w:val="22"/>
        </w:rPr>
        <w:t> </w:t>
      </w:r>
      <w:r>
        <w:rPr>
          <w:rFonts w:ascii="Times New Roman" w:hAnsi="Times New Roman"/>
          <w:b w:val="false"/>
          <w:i w:val="false"/>
          <w:color w:val="000000"/>
          <w:sz w:val="22"/>
        </w:rPr>
        <w:t>Each licensee shall make available to the agency for inspection, upon reasonable notice, records kept by the licensee pertaining to its receipt, possession, use, acquisition, import, export, or transfer of category 1 or category 2 quantities of radioactive material.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1479C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2"/>
        </w:rPr>
        <w:t>CHAPTER 37—APPENDIX A</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CATEGORY 1 AND CATEGORY 2 RADIOACTIVE MATERIALS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Table 1—Category 1 and Category 2 Threshold</w:t>
      </w:r>
    </w:p>
    <w:p>
      <w:pPr>
        <w:spacing w:before="0" w:after="0"/>
        <w:ind w:left="120"/>
        <w:jc w:val="both"/>
      </w:pPr>
      <w:r>
        <w:rPr>
          <w:rFonts w:ascii="Times New Roman" w:hAnsi="Times New Roman"/>
          <w:b w:val="false"/>
          <w:i w:val="false"/>
          <w:color w:val="000000"/>
          <w:sz w:val="22"/>
        </w:rPr>
        <w:t>The terabecquerel (TBq) values are the regulatory standard. The curie (Ci) values specified are obtained by converting from the TBq value. The curie values are provided for practical usefulness only.</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40"/>
        <w:gridCol w:w="1920"/>
        <w:gridCol w:w="1920"/>
        <w:gridCol w:w="1920"/>
        <w:gridCol w:w="1920"/>
      </w:tblGrid>
      <w:tr>
        <w:trPr>
          <w:trHeight w:val="525" w:hRule="atLeast"/>
        </w:trPr>
        <w:tc>
          <w:tcPr>
            <w:tcW w:w="38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i w:val="false"/>
                <w:color w:val="000000"/>
                <w:sz w:val="21"/>
              </w:rPr>
              <w:t>Radioactive material</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Category 1</w:t>
            </w:r>
            <w:r>
              <w:br/>
            </w:r>
            <w:r>
              <w:rPr>
                <w:rFonts w:ascii="Times New Roman" w:hAnsi="Times New Roman"/>
                <w:b/>
                <w:i w:val="false"/>
                <w:color w:val="000000"/>
                <w:sz w:val="21"/>
              </w:rPr>
              <w:t>(TBq)</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Category 1</w:t>
            </w:r>
            <w:r>
              <w:br/>
            </w:r>
            <w:r>
              <w:rPr>
                <w:rFonts w:ascii="Times New Roman" w:hAnsi="Times New Roman"/>
                <w:b/>
                <w:i w:val="false"/>
                <w:color w:val="000000"/>
                <w:sz w:val="21"/>
              </w:rPr>
              <w:t>(Ci)</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Category 2</w:t>
            </w:r>
            <w:r>
              <w:br/>
            </w:r>
            <w:r>
              <w:rPr>
                <w:rFonts w:ascii="Times New Roman" w:hAnsi="Times New Roman"/>
                <w:b/>
                <w:i w:val="false"/>
                <w:color w:val="000000"/>
                <w:sz w:val="21"/>
              </w:rPr>
              <w:t>(TBq)</w:t>
            </w:r>
          </w:p>
        </w:tc>
        <w:tc>
          <w:tcPr>
            <w:tcW w:w="192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1"/>
              </w:rPr>
              <w:t>Category 2</w:t>
            </w:r>
            <w:r>
              <w:br/>
            </w:r>
            <w:r>
              <w:rPr>
                <w:rFonts w:ascii="Times New Roman" w:hAnsi="Times New Roman"/>
                <w:b/>
                <w:i w:val="false"/>
                <w:color w:val="000000"/>
                <w:sz w:val="21"/>
              </w:rPr>
              <w:t>(Ci)</w:t>
            </w:r>
          </w:p>
        </w:tc>
      </w:tr>
      <w:tr>
        <w:trPr>
          <w:trHeight w:val="25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Americium-241</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60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1,620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0.6</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16.2</w:t>
            </w:r>
          </w:p>
        </w:tc>
      </w:tr>
      <w:tr>
        <w:trPr>
          <w:trHeight w:val="25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Americium-241/Be</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60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1,620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0.6</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16.2</w:t>
            </w:r>
          </w:p>
        </w:tc>
      </w:tr>
      <w:tr>
        <w:trPr>
          <w:trHeight w:val="25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Californium-252</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540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0.2</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5.40</w:t>
            </w:r>
          </w:p>
        </w:tc>
      </w:tr>
      <w:tr>
        <w:trPr>
          <w:trHeight w:val="25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Cobalt-60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30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0.3</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8.10</w:t>
            </w:r>
          </w:p>
        </w:tc>
      </w:tr>
      <w:tr>
        <w:trPr>
          <w:trHeight w:val="25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Curium-244</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1,350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0.5</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13.5</w:t>
            </w:r>
          </w:p>
        </w:tc>
      </w:tr>
      <w:tr>
        <w:trPr>
          <w:trHeight w:val="25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Cesium-137</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100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2,700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27.0</w:t>
            </w:r>
          </w:p>
        </w:tc>
      </w:tr>
      <w:tr>
        <w:trPr>
          <w:trHeight w:val="25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Gadolinium-153</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1,000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27,000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270</w:t>
            </w:r>
          </w:p>
        </w:tc>
      </w:tr>
      <w:tr>
        <w:trPr>
          <w:trHeight w:val="25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Iridium-192</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2,160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0.8</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21.6</w:t>
            </w:r>
          </w:p>
        </w:tc>
      </w:tr>
      <w:tr>
        <w:trPr>
          <w:trHeight w:val="25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Plutonium-238</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60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1,620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0.6</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16.2</w:t>
            </w:r>
          </w:p>
        </w:tc>
      </w:tr>
      <w:tr>
        <w:trPr>
          <w:trHeight w:val="25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Plutonium-239/Be</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60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1,620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0.6</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16.2</w:t>
            </w:r>
          </w:p>
        </w:tc>
      </w:tr>
      <w:tr>
        <w:trPr>
          <w:trHeight w:val="25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Promethium-147</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40,000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1,080,000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400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10,800</w:t>
            </w:r>
          </w:p>
        </w:tc>
      </w:tr>
      <w:tr>
        <w:trPr>
          <w:trHeight w:val="25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Radium-226</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40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1,080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0.4</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10.8</w:t>
            </w:r>
          </w:p>
        </w:tc>
      </w:tr>
      <w:tr>
        <w:trPr>
          <w:trHeight w:val="25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Selenium-75</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200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5,400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54.0</w:t>
            </w:r>
          </w:p>
        </w:tc>
      </w:tr>
      <w:tr>
        <w:trPr>
          <w:trHeight w:val="25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Strontium-90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1,000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27,000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10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270</w:t>
            </w:r>
          </w:p>
        </w:tc>
      </w:tr>
      <w:tr>
        <w:trPr>
          <w:trHeight w:val="25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Thulium-170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20,000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540,000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200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5,400</w:t>
            </w:r>
          </w:p>
        </w:tc>
      </w:tr>
      <w:tr>
        <w:trPr>
          <w:trHeight w:val="25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Ytterbium-169</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300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8,100</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3</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81.0</w:t>
            </w:r>
          </w:p>
        </w:tc>
      </w:tr>
    </w:tbl>
    <w:p>
      <w:pPr>
        <w:spacing w:before="0" w:after="0"/>
        <w:ind w:left="120"/>
        <w:jc w:val="both"/>
      </w:pPr>
      <w:r>
        <w:rPr>
          <w:rFonts w:ascii="Times New Roman" w:hAnsi="Times New Roman"/>
          <w:b/>
          <w:i w:val="false"/>
          <w:color w:val="000000"/>
          <w:sz w:val="22"/>
        </w:rPr>
        <w:t>Note</w:t>
      </w:r>
      <w:r>
        <w:rPr>
          <w:rFonts w:ascii="Times New Roman" w:hAnsi="Times New Roman"/>
          <w:b w:val="false"/>
          <w:i w:val="false"/>
          <w:color w:val="000000"/>
          <w:sz w:val="22"/>
        </w:rPr>
        <w:t>: Calculations Concerning Multiple Sources or Multiple Radionuclides. The “sum of fractions” methodology for evaluating combinations of multiple sources or multiple radionuclides is to be used in determining whether a location meets or exceeds the threshold and is thus subject to the requirements of this chapter.</w:t>
      </w:r>
    </w:p>
    <w:p>
      <w:pPr>
        <w:spacing w:before="0" w:after="0"/>
        <w:ind w:left="120"/>
        <w:jc w:val="both"/>
      </w:pPr>
      <w:r>
        <w:rPr>
          <w:rFonts w:ascii="Times New Roman" w:hAnsi="Times New Roman"/>
          <w:b w:val="false"/>
          <w:i w:val="false"/>
          <w:color w:val="000000"/>
          <w:sz w:val="22"/>
        </w:rPr>
        <w:t>I. If multiple sources of the same radionuclide and/or multiple radionuclides are aggregated at a location, the sum of the ratios of the total activity of each of the radionuclides must be determined to verify whether the activity at the location is less than the category 1 or category 2 thresholds of Table 1, as appropriate. If the calculated sum of the ratios, using the equation below, is greater than or equal to 1.0, then the applicable requirements of this chapter apply.</w:t>
      </w:r>
    </w:p>
    <w:p>
      <w:pPr>
        <w:spacing w:before="0" w:after="0"/>
        <w:ind w:left="120"/>
        <w:jc w:val="both"/>
      </w:pPr>
      <w:r>
        <w:rPr>
          <w:rFonts w:ascii="Times New Roman" w:hAnsi="Times New Roman"/>
          <w:b w:val="false"/>
          <w:i w:val="false"/>
          <w:color w:val="000000"/>
          <w:sz w:val="22"/>
        </w:rPr>
        <w:t>II. First determine the total activity for each radionuclide from Table 1. This is done by adding the activity of each individual source, material in any device, and any loose or bulk material that contains the radionuclide. Then use the equation below to calculate the sum of the ratios by inserting the total activity of the applicable radionuclides from Table 1 in the numerator of the equation and the corresponding threshold activity from Table 1 in the denominator of the equation.</w:t>
      </w:r>
    </w:p>
    <w:p>
      <w:pPr>
        <w:spacing w:before="0" w:after="0"/>
        <w:ind w:left="120"/>
        <w:jc w:val="both"/>
      </w:pPr>
      <w:r>
        <w:rPr>
          <w:rFonts w:ascii="Times New Roman" w:hAnsi="Times New Roman"/>
          <w:b w:val="false"/>
          <w:i w:val="false"/>
          <w:color w:val="000000"/>
          <w:sz w:val="22"/>
        </w:rPr>
        <w:t>Calculations must be performed in metric values (i.e., TBq) and the numerator and denominator values must be in the same units.</w:t>
      </w:r>
    </w:p>
    <w:p>
      <w:pPr>
        <w:pageBreakBefore/>
        <w:spacing w:before="0" w:after="0"/>
        <w:ind w:left="120"/>
        <w:jc w:val="left"/>
      </w:pP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w:t>
      </w:r>
      <w:r>
        <w:rPr>
          <w:rFonts w:ascii="Times New Roman" w:hAnsi="Times New Roman"/>
          <w:b w:val="false"/>
          <w:i w:val="false"/>
          <w:color w:val="000000"/>
          <w:sz w:val="18"/>
          <w:vertAlign w:val="subscript"/>
        </w:rPr>
        <w:t>1</w:t>
      </w:r>
      <w:r>
        <w:rPr>
          <w:rFonts w:ascii="Times New Roman" w:hAnsi="Times New Roman"/>
          <w:b w:val="false"/>
          <w:i w:val="false"/>
          <w:color w:val="000000"/>
          <w:sz w:val="22"/>
        </w:rPr>
        <w:t xml:space="preserve"> = total activity for radionuclide 1</w:t>
      </w:r>
    </w:p>
    <w:p>
      <w:pPr>
        <w:spacing w:before="0" w:after="0"/>
        <w:ind w:left="120"/>
        <w:jc w:val="both"/>
      </w:pPr>
      <w:r>
        <w:rPr>
          <w:rFonts w:ascii="Times New Roman" w:hAnsi="Times New Roman"/>
          <w:b w:val="false"/>
          <w:i w:val="false"/>
          <w:color w:val="000000"/>
          <w:sz w:val="22"/>
        </w:rPr>
        <w:t>R</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xml:space="preserve"> = total activity for radionuclide 2</w:t>
      </w:r>
    </w:p>
    <w:p>
      <w:pPr>
        <w:spacing w:before="0" w:after="0"/>
        <w:ind w:left="120"/>
        <w:jc w:val="both"/>
      </w:pPr>
      <w:r>
        <w:rPr>
          <w:rFonts w:ascii="Times New Roman" w:hAnsi="Times New Roman"/>
          <w:b w:val="false"/>
          <w:i w:val="false"/>
          <w:color w:val="000000"/>
          <w:sz w:val="22"/>
        </w:rPr>
        <w:t>R</w:t>
      </w:r>
      <w:r>
        <w:rPr>
          <w:rFonts w:ascii="Times New Roman" w:hAnsi="Times New Roman"/>
          <w:b w:val="false"/>
          <w:i w:val="false"/>
          <w:color w:val="000000"/>
          <w:sz w:val="18"/>
          <w:vertAlign w:val="subscript"/>
        </w:rPr>
        <w:t>N</w:t>
      </w:r>
      <w:r>
        <w:rPr>
          <w:rFonts w:ascii="Times New Roman" w:hAnsi="Times New Roman"/>
          <w:b w:val="false"/>
          <w:i w:val="false"/>
          <w:color w:val="000000"/>
          <w:sz w:val="22"/>
        </w:rPr>
        <w:t xml:space="preserve"> = total activity for radionuclide n</w:t>
      </w:r>
    </w:p>
    <w:p>
      <w:pPr>
        <w:spacing w:before="0" w:after="0"/>
        <w:ind w:left="120"/>
        <w:jc w:val="both"/>
      </w:pPr>
      <w:r>
        <w:rPr>
          <w:rFonts w:ascii="Times New Roman" w:hAnsi="Times New Roman"/>
          <w:b w:val="false"/>
          <w:i w:val="false"/>
          <w:color w:val="000000"/>
          <w:sz w:val="22"/>
        </w:rPr>
        <w:t>AR</w:t>
      </w:r>
      <w:r>
        <w:rPr>
          <w:rFonts w:ascii="Times New Roman" w:hAnsi="Times New Roman"/>
          <w:b w:val="false"/>
          <w:i w:val="false"/>
          <w:color w:val="000000"/>
          <w:sz w:val="18"/>
          <w:vertAlign w:val="subscript"/>
        </w:rPr>
        <w:t>1</w:t>
      </w:r>
      <w:r>
        <w:rPr>
          <w:rFonts w:ascii="Times New Roman" w:hAnsi="Times New Roman"/>
          <w:b w:val="false"/>
          <w:i w:val="false"/>
          <w:color w:val="000000"/>
          <w:sz w:val="22"/>
        </w:rPr>
        <w:t xml:space="preserve"> = activity threshold for radionuclide 1</w:t>
      </w:r>
    </w:p>
    <w:p>
      <w:pPr>
        <w:spacing w:before="0" w:after="0"/>
        <w:ind w:left="120"/>
        <w:jc w:val="both"/>
      </w:pPr>
      <w:r>
        <w:rPr>
          <w:rFonts w:ascii="Times New Roman" w:hAnsi="Times New Roman"/>
          <w:b w:val="false"/>
          <w:i w:val="false"/>
          <w:color w:val="000000"/>
          <w:sz w:val="22"/>
        </w:rPr>
        <w:t>AR</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xml:space="preserve"> = activity threshold for radionuclide 2</w:t>
      </w:r>
    </w:p>
    <w:p>
      <w:pPr>
        <w:spacing w:before="0" w:after="0"/>
        <w:ind w:left="120"/>
        <w:jc w:val="both"/>
      </w:pPr>
      <w:r>
        <w:rPr>
          <w:rFonts w:ascii="Times New Roman" w:hAnsi="Times New Roman"/>
          <w:b w:val="false"/>
          <w:i w:val="false"/>
          <w:color w:val="000000"/>
          <w:sz w:val="22"/>
        </w:rPr>
        <w:t>AR</w:t>
      </w:r>
      <w:r>
        <w:rPr>
          <w:rFonts w:ascii="Times New Roman" w:hAnsi="Times New Roman"/>
          <w:b w:val="false"/>
          <w:i w:val="false"/>
          <w:color w:val="000000"/>
          <w:sz w:val="18"/>
          <w:vertAlign w:val="subscript"/>
        </w:rPr>
        <w:t>N</w:t>
      </w:r>
      <w:r>
        <w:rPr>
          <w:rFonts w:ascii="Times New Roman" w:hAnsi="Times New Roman"/>
          <w:b w:val="false"/>
          <w:i w:val="false"/>
          <w:color w:val="000000"/>
          <w:sz w:val="22"/>
        </w:rPr>
        <w:t xml:space="preserve"> = activity threshold for radionuclide n</w:t>
      </w:r>
    </w:p>
    <w:p>
      <w:pPr>
        <w:spacing w:before="0" w:after="0"/>
        <w:ind w:left="120"/>
        <w:jc w:val="left"/>
      </w:pPr>
      <w:r>
        <w:rPr>
          <w:rFonts w:ascii="Times New Roman" w:hAnsi="Times New Roman"/>
          <w:b w:val="false"/>
          <w:i w:val="false"/>
          <w:color w:val="000000"/>
          <w:sz w:val="22"/>
        </w:rPr>
        <w:t> </w:t>
      </w:r>
    </w:p>
    <w:p>
      <w:pPr>
        <w:spacing w:before="0" w:after="0"/>
        <w:ind w:left="120"/>
        <w:jc w:val="both"/>
      </w:pPr>
      <w:r>
        <w:drawing>
          <wp:inline distT="0" distB="0" distL="0" distR="0">
            <wp:extent cx="1876425" cy="41910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49"/>
                    <a:stretch>
                      <a:fillRect/>
                    </a:stretch>
                  </pic:blipFill>
                  <pic:spPr>
                    <a:xfrm>
                      <a:off x="0" y="0"/>
                      <a:ext cx="1876425" cy="419100"/>
                    </a:xfrm>
                    <a:prstGeom prst="rect">
                      <a:avLst/>
                    </a:prstGeom>
                  </pic:spPr>
                </pic:pic>
              </a:graphicData>
            </a:graphic>
          </wp:inline>
        </w:drawing>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0">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1479C</w:t>
      </w:r>
      <w:r>
        <w:rPr>
          <w:rFonts w:ascii="Times New Roman" w:hAnsi="Times New Roman"/>
          <w:b w:val="false"/>
          <w:i w:val="false"/>
          <w:color w:val="000000"/>
          <w:sz w:val="21"/>
        </w:rPr>
        <w:t xml:space="preserve"> (Notice ARC 1414C, IAB 4/2/14)</w:t>
      </w:r>
      <w:r>
        <w:rPr>
          <w:rFonts w:ascii="Times New Roman" w:hAnsi="Times New Roman"/>
          <w:b w:val="false"/>
          <w:i w:val="false"/>
          <w:color w:val="000000"/>
          <w:sz w:val="21"/>
        </w:rPr>
        <w:t>, IAB 6/11/14, effective 7/16/14]</w:t>
      </w:r>
    </w:p>
    <w:p>
      <w:pPr>
        <w:spacing w:before="0" w:after="0"/>
        <w:ind w:left="120"/>
        <w:jc w:val="center"/>
      </w:pPr>
      <w:r>
        <w:rPr>
          <w:rFonts w:ascii="Times New Roman" w:hAnsi="Times New Roman"/>
          <w:b w:val="false"/>
          <w:i w:val="false"/>
          <w:color w:val="000000"/>
          <w:sz w:val="21"/>
        </w:rPr>
        <w:t>[Filed ARC 3746C</w:t>
      </w:r>
      <w:r>
        <w:rPr>
          <w:rFonts w:ascii="Times New Roman" w:hAnsi="Times New Roman"/>
          <w:b w:val="false"/>
          <w:i w:val="false"/>
          <w:color w:val="000000"/>
          <w:sz w:val="21"/>
        </w:rPr>
        <w:t xml:space="preserve"> (Notice ARC 3578C, IAB 1/17/18)</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5059C</w:t>
      </w:r>
      <w:r>
        <w:rPr>
          <w:rFonts w:ascii="Times New Roman" w:hAnsi="Times New Roman"/>
          <w:b w:val="false"/>
          <w:i w:val="false"/>
          <w:color w:val="000000"/>
          <w:sz w:val="21"/>
        </w:rPr>
        <w:t xml:space="preserve"> (Notice ARC 4856C, IAB 1/15/20)</w:t>
      </w:r>
      <w:r>
        <w:rPr>
          <w:rFonts w:ascii="Times New Roman" w:hAnsi="Times New Roman"/>
          <w:b w:val="false"/>
          <w:i w:val="false"/>
          <w:color w:val="000000"/>
          <w:sz w:val="21"/>
        </w:rPr>
        <w:t>, IAB 6/17/20, effective 7/22/20]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1.37.21.pdf" Type="http://schemas.openxmlformats.org/officeDocument/2006/relationships/hyperlink" Id="rId5"/>
    <Relationship TargetMode="External" Target="https://www.legis.iowa.gov/docs/iac/rule/641.37.57.pdf" Type="http://schemas.openxmlformats.org/officeDocument/2006/relationships/hyperlink" Id="rId6"/>
    <Relationship TargetMode="External" Target="https://www.legis.iowa.gov/docs/iac/rule/641.37.71.pdf" Type="http://schemas.openxmlformats.org/officeDocument/2006/relationships/hyperlink" Id="rId7"/>
    <Relationship TargetMode="External" Target="https://www.legis.iowa.gov/docs/iac/rule/641.37.81.pdf" Type="http://schemas.openxmlformats.org/officeDocument/2006/relationships/hyperlink" Id="rId8"/>
    <Relationship TargetMode="External" Target="https://www.legis.iowa.gov/docs/iac/rule/641.37.21.pdf" Type="http://schemas.openxmlformats.org/officeDocument/2006/relationships/hyperlink" Id="rId9"/>
    <Relationship TargetMode="External" Target="https://www.legis.iowa.gov/docs/iac/rule/641.37.33.pdf" Type="http://schemas.openxmlformats.org/officeDocument/2006/relationships/hyperlink" Id="rId10"/>
    <Relationship TargetMode="External" Target="https://www.legis.iowa.gov/docs/iac/rule/641.37.43.pdf" Type="http://schemas.openxmlformats.org/officeDocument/2006/relationships/hyperlink" Id="rId11"/>
    <Relationship TargetMode="External" Target="https://www.legis.iowa.gov/docs/iac/chapter/641.178.pdf" Type="http://schemas.openxmlformats.org/officeDocument/2006/relationships/hyperlink" Id="rId12"/>
    <Relationship TargetMode="External" Target="https://www.legis.iowa.gov/docs/iac/rule/641.37.21.pdf" Type="http://schemas.openxmlformats.org/officeDocument/2006/relationships/hyperlink" Id="rId13"/>
    <Relationship TargetMode="External" Target="https://www.legis.iowa.gov/docs/iac/rule/641.37.29.pdf" Type="http://schemas.openxmlformats.org/officeDocument/2006/relationships/hyperlink" Id="rId14"/>
    <Relationship TargetMode="External" Target="https://www.legis.iowa.gov/docs/iac/rule/641.37.43.pdf" Type="http://schemas.openxmlformats.org/officeDocument/2006/relationships/hyperlink" Id="rId15"/>
    <Relationship TargetMode="External" Target="https://www.legis.iowa.gov/docs/iac/rule/641.37.25.pdf" Type="http://schemas.openxmlformats.org/officeDocument/2006/relationships/hyperlink" Id="rId16"/>
    <Relationship TargetMode="External" Target="https://www.legis.iowa.gov/docs/iac/rule/641.37.29.pdf" Type="http://schemas.openxmlformats.org/officeDocument/2006/relationships/hyperlink" Id="rId17"/>
    <Relationship TargetMode="External" Target="https://www.legis.iowa.gov/docs/iac/rule/641.37.25.pdf" Type="http://schemas.openxmlformats.org/officeDocument/2006/relationships/hyperlink" Id="rId18"/>
    <Relationship TargetMode="External" Target="https://www.legis.iowa.gov/docs/iac/rule/641.37.27.pdf" Type="http://schemas.openxmlformats.org/officeDocument/2006/relationships/hyperlink" Id="rId19"/>
    <Relationship TargetMode="External" Target="https://www.legis.iowa.gov/docs/iac/rule/641.37.31.pdf" Type="http://schemas.openxmlformats.org/officeDocument/2006/relationships/hyperlink" Id="rId20"/>
    <Relationship TargetMode="External" Target="https://www.legis.iowa.gov/docs/iac/rule/641.37.27.pdf" Type="http://schemas.openxmlformats.org/officeDocument/2006/relationships/hyperlink" Id="rId21"/>
    <Relationship TargetMode="External" Target="https://www.legis.iowa.gov/docs/iac/rule/641.37.29.pdf" Type="http://schemas.openxmlformats.org/officeDocument/2006/relationships/hyperlink" Id="rId22"/>
    <Relationship TargetMode="External" Target="https://www.legis.iowa.gov/docs/iac/rule/641.37.25.pdf" Type="http://schemas.openxmlformats.org/officeDocument/2006/relationships/hyperlink" Id="rId23"/>
    <Relationship TargetMode="External" Target="https://www.legis.iowa.gov/docs/iac/rule/641.37.31.pdf" Type="http://schemas.openxmlformats.org/officeDocument/2006/relationships/hyperlink" Id="rId24"/>
    <Relationship TargetMode="External" Target="mailto:MAILSVS.Resource@nrc.gov" Type="http://schemas.openxmlformats.org/officeDocument/2006/relationships/hyperlink" Id="rId25"/>
    <Relationship TargetMode="External" Target="http://www.nrc.gov/security/chp.html" Type="http://schemas.openxmlformats.org/officeDocument/2006/relationships/hyperlink" Id="rId26"/>
    <Relationship TargetMode="External" Target="mailto:Crimhist.Resource@nrc.gov" Type="http://schemas.openxmlformats.org/officeDocument/2006/relationships/hyperlink" Id="rId27"/>
    <Relationship TargetMode="External" Target="http://www.nrc.gov/security/chp.html" Type="http://schemas.openxmlformats.org/officeDocument/2006/relationships/hyperlink" Id="rId28"/>
    <Relationship TargetMode="External" Target="https://www.legis.iowa.gov/docs/iac/rule/641.37.41.pdf" Type="http://schemas.openxmlformats.org/officeDocument/2006/relationships/hyperlink" Id="rId29"/>
    <Relationship TargetMode="External" Target="https://www.legis.iowa.gov/docs/iac/rule/641.37.57.pdf" Type="http://schemas.openxmlformats.org/officeDocument/2006/relationships/hyperlink" Id="rId30"/>
    <Relationship TargetMode="External" Target="https://www.legis.iowa.gov/docs/iac/rule/641.37.41.pdf" Type="http://schemas.openxmlformats.org/officeDocument/2006/relationships/hyperlink" Id="rId31"/>
    <Relationship TargetMode="External" Target="https://www.legis.iowa.gov/docs/iac/rule/641.37.43.pdf" Type="http://schemas.openxmlformats.org/officeDocument/2006/relationships/hyperlink" Id="rId32"/>
    <Relationship TargetMode="External" Target="https://www.legis.iowa.gov/docs/iac/rule/641.37.25.pdf" Type="http://schemas.openxmlformats.org/officeDocument/2006/relationships/hyperlink" Id="rId33"/>
    <Relationship TargetMode="External" Target="https://www.legis.iowa.gov/docs/iac/rule/641.37.29.pdf" Type="http://schemas.openxmlformats.org/officeDocument/2006/relationships/hyperlink" Id="rId34"/>
    <Relationship TargetMode="External" Target="https://www.legis.iowa.gov/docs/iac/rule/641.37.25.pdf" Type="http://schemas.openxmlformats.org/officeDocument/2006/relationships/hyperlink" Id="rId35"/>
    <Relationship TargetMode="External" Target="https://www.legis.iowa.gov/docs/iac/rule/641.39.4.pdf" Type="http://schemas.openxmlformats.org/officeDocument/2006/relationships/hyperlink" Id="rId36"/>
    <Relationship TargetMode="External" Target="https://www.legis.iowa.gov/docs/iac/rule/641.37.75.pdf" Type="http://schemas.openxmlformats.org/officeDocument/2006/relationships/hyperlink" Id="rId37"/>
    <Relationship TargetMode="External" Target="https://www.legis.iowa.gov/docs/iac/rule/641.37.77.pdf" Type="http://schemas.openxmlformats.org/officeDocument/2006/relationships/hyperlink" Id="rId38"/>
    <Relationship TargetMode="External" Target="https://www.legis.iowa.gov/docs/iac/rule/641.37.77.pdf" Type="http://schemas.openxmlformats.org/officeDocument/2006/relationships/hyperlink" Id="rId39"/>
    <Relationship TargetMode="External" Target="https://scp.nrc.gov/special/designee.pdf" Type="http://schemas.openxmlformats.org/officeDocument/2006/relationships/hyperlink" Id="rId40"/>
    <Relationship TargetMode="External" Target="mailto:RAMQC_SHIPMENTS@nrc.gov" Type="http://schemas.openxmlformats.org/officeDocument/2006/relationships/hyperlink" Id="rId41"/>
    <Relationship TargetMode="External" Target="https://www.legis.iowa.gov/docs/iac/rule/641.37.77.pdf" Type="http://schemas.openxmlformats.org/officeDocument/2006/relationships/hyperlink" Id="rId42"/>
    <Relationship TargetMode="External" Target="https://www.legis.iowa.gov/docs/iac/rule/641.37.77.pdf" Type="http://schemas.openxmlformats.org/officeDocument/2006/relationships/hyperlink" Id="rId43"/>
    <Relationship TargetMode="External" Target="https://www.legis.iowa.gov/docs/iac/rule/641.37.79.pdf" Type="http://schemas.openxmlformats.org/officeDocument/2006/relationships/hyperlink" Id="rId44"/>
    <Relationship TargetMode="External" Target="https://www.legis.iowa.gov/docs/iac/rule/641.37.81.pdf" Type="http://schemas.openxmlformats.org/officeDocument/2006/relationships/hyperlink" Id="rId45"/>
    <Relationship TargetMode="External" Target="https://www.legis.iowa.gov/docs/iac/rule/641.37.81.pdf" Type="http://schemas.openxmlformats.org/officeDocument/2006/relationships/hyperlink" Id="rId46"/>
    <Relationship TargetMode="External" Target="https://www.legis.iowa.gov/docs/iac/rule/641.37.81.pdf" Type="http://schemas.openxmlformats.org/officeDocument/2006/relationships/hyperlink" Id="rId47"/>
    <Relationship TargetMode="External" Target="https://www.legis.iowa.gov/docs/iac/rule/641.37.81.pdf" Type="http://schemas.openxmlformats.org/officeDocument/2006/relationships/hyperlink" Id="rId48"/>
    <Relationship Target="media/document_image_rId49.jpeg" Type="http://schemas.openxmlformats.org/officeDocument/2006/relationships/image" Id="rId49"/>
    <Relationship TargetMode="External" Target="https://www.legis.iowa.gov/docs/ico/chapter/136C.pdf" Type="http://schemas.openxmlformats.org/officeDocument/2006/relationships/hyperlink" Id="rId5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