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CENTRAL REGISTRY FOR</w:t>
      </w:r>
      <w:r>
        <w:br/>
      </w:r>
      <w:r>
        <w:rPr>
          <w:rFonts w:ascii="Times New Roman" w:hAnsi="Times New Roman"/>
          <w:b w:val="false"/>
          <w:i w:val="false"/>
          <w:color w:val="000000"/>
          <w:sz w:val="21"/>
        </w:rPr>
        <w:t>BRAIN AND SPINAL CORD INJURIES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641—21.1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central registry for brain and spinal cord injuries. Data from the registry shall be utilized to facilitate prevention strategies and the provision of appropriate rehabilitative services by the department and other state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injury” </w:t>
      </w:r>
      <w:r>
        <w:rPr>
          <w:rFonts w:ascii="Times New Roman" w:hAnsi="Times New Roman"/>
          <w:b w:val="false"/>
          <w:i w:val="false"/>
          <w:color w:val="000000"/>
          <w:sz w:val="22"/>
        </w:rPr>
        <w:t>means an injury for which a person has been continuously hospitalized since recognition of that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means clinically evident damage to the brain resulting directly or indirectly from trauma, infection, anoxia, vascular lesions, or tumor of the brain, not primarily related to a degenerative disease or aging process, which temporarily or permanently impairs a person’s physical, cognitive, or behavioral functions and is diagnosed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hospital as defined by the department of inspections and appeals in Iowa Code section </w:t>
      </w:r>
      <w:hyperlink r:id="rId5">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agent” </w:t>
      </w:r>
      <w:r>
        <w:rPr>
          <w:rFonts w:ascii="Times New Roman" w:hAnsi="Times New Roman"/>
          <w:b w:val="false"/>
          <w:i w:val="false"/>
          <w:color w:val="000000"/>
          <w:sz w:val="22"/>
        </w:rPr>
        <w:t>means mechanical energy transmitted from a living or nonliving vector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case” </w:t>
      </w:r>
      <w:r>
        <w:rPr>
          <w:rFonts w:ascii="Times New Roman" w:hAnsi="Times New Roman"/>
          <w:b w:val="false"/>
          <w:i w:val="false"/>
          <w:color w:val="000000"/>
          <w:sz w:val="22"/>
        </w:rPr>
        <w:t>means a person who is discharged from an Iowa hospital for an inpatient acute care, medical rehabilitation, skilled nursing care, or outpatient care visit with a diagnosis of acute brain or spinal cord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“Spinal cord injury” </w:t>
      </w:r>
      <w:r>
        <w:rPr>
          <w:rFonts w:ascii="Times New Roman" w:hAnsi="Times New Roman"/>
          <w:b w:val="false"/>
          <w:i w:val="false"/>
          <w:color w:val="000000"/>
          <w:sz w:val="22"/>
        </w:rPr>
        <w:t>means any acute, traumatic lesion of the neural elements in the spinal canal, resulting in any degree of sensory deficit, motor deficit, or bladder/bowel dysfunction.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641—21.3</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Reportable brain and spinal cord injuries. </w:t>
      </w:r>
      <w:r>
        <w:rPr>
          <w:rFonts w:ascii="Times New Roman" w:hAnsi="Times New Roman"/>
          <w:b w:val="false"/>
          <w:i w:val="false"/>
          <w:color w:val="000000"/>
          <w:sz w:val="22"/>
        </w:rPr>
        <w:t>The brain and spinal cord injuries listed below are required to be reported to the Iowa Department of Public Health, Lucas State Office Building, Des Moines, Iowa 50319-0075, or its designee, as part of a statewide population-based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Brain injuries.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Reportable cases of brain injuries are those that are identified by the following codes from the International Classification of Diseases, 9th Revision, Clinical Modification, or the International Classification of Diseases, 10th Revision, Clinical Modification: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12"/>
        <w:gridCol w:w="4407"/>
        <w:gridCol w:w="1526"/>
        <w:gridCol w:w="4175"/>
      </w:tblGrid>
      <w:tr>
        <w:trPr>
          <w:trHeight w:val="420"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International Classification of Diseases, 9th Revision, Clinical Modification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International Classification of Diseases, 10th Revision, Clinical Modification</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cerebrum</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C71.0</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cerebrum, except lobes and ventricles</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191.10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frontal lobe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C71.1</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frontal lobe</w:t>
            </w:r>
          </w:p>
        </w:tc>
      </w:tr>
      <w:tr>
        <w:trPr>
          <w:trHeight w:val="31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191.02</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Malignant neoplasms of brain, temporal </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C71.2</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Malignant neoplasm of temporal </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191.30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parietal lobe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C71.3</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parietal lobe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191.40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occipital lobe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C71.4</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occipital lobe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191.50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ventricles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C71.5</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cerebral ventricle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191.60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cerebellum</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C71.6</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cerebellum</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191.70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brain stem</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C71.7</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brain stem</w:t>
            </w:r>
          </w:p>
        </w:tc>
      </w:tr>
      <w:tr>
        <w:trPr>
          <w:trHeight w:val="58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191.80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other part of brain, includes midbrain, peduncle, and medulla oblongata</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C71.8</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overlapping sites of brain</w:t>
            </w:r>
          </w:p>
        </w:tc>
      </w:tr>
      <w:tr>
        <w:trPr>
          <w:trHeight w:val="40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192.00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cranial nerves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C72.50</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unspecified cranial nerve</w:t>
            </w:r>
          </w:p>
        </w:tc>
      </w:tr>
      <w:tr>
        <w:trPr>
          <w:trHeight w:val="22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C72.59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other cranial nerves</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192.10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neoplasms of brain, cerebral meninges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C70.0</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Malignant neoplasm of cerebral meninges</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198.30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Secondary malignant neoplasm of brain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C79.31</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Secondary malignant neoplasm of brain</w:t>
            </w:r>
          </w:p>
        </w:tc>
      </w:tr>
      <w:tr>
        <w:trPr>
          <w:trHeight w:val="40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198.40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Secondary malignant neoplasm of other parts of the nervous system, includes cerebral meninges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C79.32</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Secondary malignant neoplasm of cerebral meninges</w:t>
            </w:r>
          </w:p>
        </w:tc>
      </w:tr>
      <w:tr>
        <w:trPr>
          <w:trHeight w:val="40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C79.49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Secondary malignant neoplasm of other parts of nervous system</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brain and other parts of the nervous system, brain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D33.2</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brain, unspecified</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225.10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brain and other parts of the nervous system, cranial nerves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D33.3</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cranial nerves</w:t>
            </w:r>
          </w:p>
        </w:tc>
      </w:tr>
      <w:tr>
        <w:trPr>
          <w:trHeight w:val="22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225.20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brain and other parts of nervous system, cerebral meninges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D32.0</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cerebral meninges</w:t>
            </w:r>
          </w:p>
        </w:tc>
      </w:tr>
      <w:tr>
        <w:trPr>
          <w:trHeight w:val="22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D32.9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Benign neoplasm of meninges, unspecified</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323.01-323.9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Encephalitis, myelitis and encephalomyelitis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G04.00-G05.4</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Encephalitis, myelitis and encephalomyelitis</w:t>
            </w:r>
          </w:p>
        </w:tc>
      </w:tr>
      <w:tr>
        <w:trPr>
          <w:trHeight w:val="22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324.00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Intracranial and intraspinal abscess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G06.0</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Intracranial abscess and granuloma</w:t>
            </w:r>
          </w:p>
        </w:tc>
      </w:tr>
      <w:tr>
        <w:trPr>
          <w:trHeight w:val="22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G06.1</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Intraspinal abscess and granuloma</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348.10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Anoxic brain damage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G93.1</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Anoxic brain damage, not elsewhere classified</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430.00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Subarachnoid hemorrhage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I60.00-I60.8</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subarachnoid hemorrhage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431.00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Intracerebral hemorrhage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I61.0-I61.9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intracerebral hemorrhage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432.00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and unspecified intracranial hemorrhage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I62.1</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extradural hemorrhage</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433.00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Occlusion and stenosis of precerebral arteries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I65.01-I65.9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Occlusion and stenosis of precerebral arteries, not resulting in cerebral infarction</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434.00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Occlusion of cerebral arteries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I66.01-I66.9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Occlusion and stenosis of cerebral arteries, not resulting in cerebral infarction</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435.00</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Transient cerebral ischemia</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G45.0-G45.9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Transient cerebral ischemic attacks and related syndromes </w:t>
            </w:r>
          </w:p>
        </w:tc>
      </w:tr>
      <w:tr>
        <w:trPr>
          <w:trHeight w:val="22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436.00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Acute, but ill-defined, cerebrovascular disease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I67.89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cerebrovascular disease</w:t>
            </w:r>
          </w:p>
        </w:tc>
      </w:tr>
      <w:tr>
        <w:trPr>
          <w:trHeight w:val="22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I67.9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Cerebrovascular disease, unspecified</w:t>
            </w:r>
          </w:p>
        </w:tc>
      </w:tr>
      <w:tr>
        <w:trPr>
          <w:trHeight w:val="225" w:hRule="atLeast"/>
        </w:trPr>
        <w:tc>
          <w:tcPr>
            <w:tcW w:w="1412"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437.00</w:t>
            </w:r>
          </w:p>
        </w:tc>
        <w:tc>
          <w:tcPr>
            <w:tcW w:w="4407"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and ill-defined cerebrovascular disease</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I67.89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cerebrovascular disease</w:t>
            </w:r>
          </w:p>
        </w:tc>
      </w:tr>
      <w:tr>
        <w:trPr>
          <w:trHeight w:val="225" w:hRule="atLeast"/>
        </w:trPr>
        <w:tc>
          <w:tcPr>
            <w:tcW w:w="0" w:type="auto"/>
            <w:vMerge/>
            <w:tcBorders>
              <w:top w:val="nil"/>
              <w:bottom w:val="single" w:color="000000" w:sz="8"/>
            </w:tcBorders>
          </w:tcPr>
          <w:p/>
        </w:tc>
        <w:tc>
          <w:tcPr>
            <w:tcW w:w="0" w:type="auto"/>
            <w:vMerge/>
            <w:tcBorders>
              <w:top w:val="nil"/>
              <w:bottom w:val="single" w:color="000000" w:sz="8"/>
            </w:tcBorders>
          </w:tcP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I67.9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Cerebrovascular disease, unspecified</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800.00-800.99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vault of skull</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S02.0X XA;S02.0X XB</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Fracture of vault of skull </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801.00-801.99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base of skull</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S02.1-S02.19</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base of skull</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803.00-803.99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and unqualified skull fractures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S02.91 XA</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skull</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804.00-804.99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Multiple fractures involving skull or face with other bones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S02.91 XA</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skull</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850.00-850.99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Concussion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S06.0X 0A-S06.0X 9A</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Concussion</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851.00-851.99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Cerebral laceration and contusion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S06.31-S06.33</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Contusion and laceration of cerebrum</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852.00-852.59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Subarachnoid, subdural, and extradural hemorrhage following injury</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S06.4; S06.5; S06.6</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Traumatic epidural, subdural, and subarachnoid hemorrhage</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853.00-853.19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and unspecified intracranial hemorrhage following injury</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S06.36</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Traumatic hemorrhage of cerebrum, unspecified</w:t>
            </w:r>
          </w:p>
        </w:tc>
      </w:tr>
      <w:tr>
        <w:trPr>
          <w:trHeight w:val="405" w:hRule="atLeast"/>
        </w:trPr>
        <w:tc>
          <w:tcPr>
            <w:tcW w:w="14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854.00-854.19</w:t>
            </w:r>
          </w:p>
        </w:tc>
        <w:tc>
          <w:tcPr>
            <w:tcW w:w="4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Intracranial injury of other and unspecified nature</w:t>
            </w:r>
          </w:p>
        </w:tc>
        <w:tc>
          <w:tcPr>
            <w:tcW w:w="1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S06.8-S06.9</w:t>
            </w:r>
          </w:p>
        </w:tc>
        <w:tc>
          <w:tcPr>
            <w:tcW w:w="41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specified intracranial injuries and unspecified intracranial injuries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Reportable cases of brain injury are those that are identified by the following codes from the International Classification of Diseases, 9th Revision, Clinical Modification, or the International Classification of Diseases, 10th Revision, Clinical Modification, only to the extent the injury or condition resulted in a brain injury.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12"/>
        <w:gridCol w:w="4407"/>
        <w:gridCol w:w="1526"/>
        <w:gridCol w:w="4175"/>
      </w:tblGrid>
      <w:tr>
        <w:trPr>
          <w:trHeight w:val="420"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International Classification of Diseases, 9th Revision, Clinical Modification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International Classification of Diseases, 10th Revision, Clinical Modification</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960-979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Poisoning by drugs, medicinal and biological substances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T41-T44</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Poisoning by, adverse effect of and underdosing of drugs and gases</w:t>
            </w: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980-989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Toxic effects of substances</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T51; T58</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Toxic effect of alcohol; toxic effect of carbon monoxide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990-995</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Effects of external causes</w:t>
            </w:r>
          </w:p>
        </w:tc>
        <w:tc>
          <w:tcPr>
            <w:tcW w:w="1526"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T71</w:t>
            </w:r>
          </w:p>
        </w:tc>
        <w:tc>
          <w:tcPr>
            <w:tcW w:w="4175"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Asphyxiation</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994.7</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Asphyxiation and strangulation</w:t>
            </w:r>
          </w:p>
        </w:tc>
        <w:tc>
          <w:tcPr>
            <w:tcW w:w="0" w:type="auto"/>
            <w:vMerge/>
            <w:tcBorders>
              <w:top w:val="nil"/>
              <w:bottom w:val="single" w:color="000000" w:sz="8"/>
            </w:tcBorders>
          </w:tcPr>
          <w:p/>
        </w:tc>
        <w:tc>
          <w:tcPr>
            <w:tcW w:w="0" w:type="auto"/>
            <w:vMerge/>
            <w:tcBorders>
              <w:top w:val="nil"/>
              <w:bottom w:val="single" w:color="000000" w:sz="8"/>
            </w:tcBorders>
          </w:tcPr>
          <w:p/>
        </w:tc>
      </w:tr>
      <w:tr>
        <w:trPr>
          <w:trHeight w:val="40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994.1</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Drowning and nonfatal submersion</w:t>
            </w:r>
          </w:p>
        </w:tc>
        <w:tc>
          <w:tcPr>
            <w:tcW w:w="15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T75.1X XA</w:t>
            </w:r>
          </w:p>
        </w:tc>
        <w:tc>
          <w:tcPr>
            <w:tcW w:w="41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effects of drowning and nonfatal submersion</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995.50-995.59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maltreatment syndrome</w:t>
            </w:r>
          </w:p>
        </w:tc>
        <w:tc>
          <w:tcPr>
            <w:tcW w:w="1526"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T74.1; T74.4</w:t>
            </w:r>
          </w:p>
        </w:tc>
        <w:tc>
          <w:tcPr>
            <w:tcW w:w="4175"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abuse, confirmed; shaken infant syndrome</w:t>
            </w:r>
          </w:p>
        </w:tc>
      </w:tr>
      <w:tr>
        <w:trPr>
          <w:trHeight w:val="225" w:hRule="atLeast"/>
        </w:trPr>
        <w:tc>
          <w:tcPr>
            <w:tcW w:w="14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995.80-995.89</w:t>
            </w:r>
          </w:p>
        </w:tc>
        <w:tc>
          <w:tcPr>
            <w:tcW w:w="44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Adult maltreatment syndrome</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Spinal cord injuries. </w:t>
      </w:r>
      <w:r>
        <w:rPr>
          <w:rFonts w:ascii="Times New Roman" w:hAnsi="Times New Roman"/>
          <w:b w:val="false"/>
          <w:i w:val="false"/>
          <w:color w:val="000000"/>
          <w:sz w:val="22"/>
        </w:rPr>
        <w:t>Reportable cases of spinal cord injuries are those that are identified by the following codes from the International Classification of Diseases, 9th Revision, Clinical Modification, or the International Classification of Diseases, 10th Revision, Clinical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Classification of Diseases, 9th Revision, Clinical Modification: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9907"/>
      </w:tblGrid>
      <w:tr>
        <w:trPr>
          <w:trHeight w:val="225" w:hRule="atLeast"/>
        </w:trPr>
        <w:tc>
          <w:tcPr>
            <w:tcW w:w="16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806.00-806.9</w:t>
            </w:r>
          </w:p>
        </w:tc>
        <w:tc>
          <w:tcPr>
            <w:tcW w:w="9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vertebral column with spinal cord injury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International Classification of Diseases, 10th Revision, Clinical Modification: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9907"/>
      </w:tblGrid>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S12.000A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the first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S12.000B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first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S12.001A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first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S12.001B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first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S12.100A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second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S12.100B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second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second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S12.101B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second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S12.200A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third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S12.200B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third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S12.201A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third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S12.201B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third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S12.300A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fourth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S12.300B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fourth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S12.301A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fourth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S12.301B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fourth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S12.400A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fifth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S12.400B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fifth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S12.401A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fifth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S12.401B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fifth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S12.500A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sixth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S12.500B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sixth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S12.501A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sixth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S12.501B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sixth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S12.600A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seventh cervical vertebra, initial encounter for closed fracture</w:t>
            </w:r>
          </w:p>
        </w:tc>
      </w:tr>
      <w:tr>
        <w:trPr>
          <w:trHeight w:val="40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S12.600B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displaced fracture of seventh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S12.601A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seventh cervical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S12.601B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nondisplaced fracture of seventh cervical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S12.9XXA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neck, unspecified,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C1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C2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C3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C4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C5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C6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C7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unspecified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C1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C2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C3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C4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C5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C6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C7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C1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C2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C3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C4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C5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C6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C7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C1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C2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C3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C4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C5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C6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C7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C1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C2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C3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C4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C5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C6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C7 level of cervical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unspecified thoracic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S22.009B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unspecified thoracic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S22.019A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first thoracic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S22.019B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first thoracic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S22.029A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second thoracic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S22.029B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second thoracic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S22.039A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third thoracic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S22.039B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third thoracic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S22.049A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fourth thoracic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S22.049B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fourth thoracic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S22.059A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T5-T6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S22.059B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T5-T6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S22.069A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T7-T8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S22.069B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T7-T8 vertebra, initial encounter for open fracture</w:t>
            </w:r>
          </w:p>
        </w:tc>
      </w:tr>
      <w:tr>
        <w:trPr>
          <w:trHeight w:val="34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S22.079A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T9-T10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S22.079B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T9-T10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S22.089A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T11-T12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S22.089B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T11-T12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T1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T2-T6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T7-T10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T11-T12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unspecified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T1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T2-T6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T7-T10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T11-T12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T1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T2-T6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T7-T10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T11-T12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T1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T2-T6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T7-T10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T11-T12 level of thoracic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unspecified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S32.009B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unspecified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S32.10XA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sacrum,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S32.10XB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sacrum,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S32.019A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first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S32.019B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first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S32.029A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second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S32.029B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second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S32.039A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third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S32.039B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third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S32.049A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fourth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S32.049B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fourth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S32.059A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fifth lumbar vertebra,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S32.059B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fracture of fifth lumbar vertebra,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S32.2XXA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coccyx, initial encounter for closed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S32.2XXB</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Fracture of coccyx, initial encounter for open fracture</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L1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L2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L3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L4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L5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unspecified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L1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L2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L3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L4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L5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S34.119A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unspecified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L1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L2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L3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L4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L5 level of lumbar spinal cord, initial encounter</w:t>
            </w:r>
          </w:p>
        </w:tc>
      </w:tr>
      <w:tr>
        <w:trPr>
          <w:trHeight w:val="34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S34.129A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unspecified level of lumbar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S34.131A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of sacral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S34.132A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Incomplete lesion of sacral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S34.139A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sacral spinal cord, initial encounter</w:t>
            </w:r>
          </w:p>
        </w:tc>
      </w:tr>
      <w:tr>
        <w:trPr>
          <w:trHeight w:val="225" w:hRule="atLeast"/>
        </w:trPr>
        <w:tc>
          <w:tcPr>
            <w:tcW w:w="16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S34.3XXA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Injury of cauda equina, initial encounter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Spinal cord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Classification of Diseases, 9th Revision, Clinical Modification: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9907"/>
      </w:tblGrid>
      <w:tr>
        <w:trPr>
          <w:trHeight w:val="225" w:hRule="atLeast"/>
        </w:trPr>
        <w:tc>
          <w:tcPr>
            <w:tcW w:w="16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952.00-952.9</w:t>
            </w:r>
          </w:p>
        </w:tc>
        <w:tc>
          <w:tcPr>
            <w:tcW w:w="9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Spinal cord injury without evidence of spinal bone injury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International Classification of Diseases, 10th Revision, Clinical Modification: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9907"/>
      </w:tblGrid>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C1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C2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C3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C4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C5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C6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C7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S14.108A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C8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unspecified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C1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C2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C3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C4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C5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C6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C7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S14.118A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C8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C1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C2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C3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C4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C5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C6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C7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S14.128A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Central cord syndrome at C8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C1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C2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C3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C4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C5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C6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C7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S14.138A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C8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C1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C2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C3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C4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S14.155A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C5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S14.156A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C6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S14.157A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C7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S14.158A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C8 level of cervical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T1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T2-T6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T7-T10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T11-T12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at unspecified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T1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T2-T6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T7-T10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S24.114A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Complete lesion at T11-T12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T1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T2-T6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T7-T10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S24.134A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Anterior cord syndrome at T11-T12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S24.151A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T1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S24.152A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T2-T6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S24.153A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T7-T10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S24.154A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incomplete lesion at T11-T12 level of thoracic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S34.109A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unspecified level of lumbar spinal cord, initial encounter</w:t>
            </w:r>
          </w:p>
        </w:tc>
      </w:tr>
      <w:tr>
        <w:trPr>
          <w:trHeight w:val="22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S34.139A</w:t>
            </w:r>
          </w:p>
        </w:tc>
        <w:tc>
          <w:tcPr>
            <w:tcW w:w="9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Unspecified injury to sacral spinal cord, initial encounter</w:t>
            </w:r>
          </w:p>
        </w:tc>
      </w:tr>
      <w:tr>
        <w:trPr>
          <w:trHeight w:val="225" w:hRule="atLeast"/>
        </w:trPr>
        <w:tc>
          <w:tcPr>
            <w:tcW w:w="16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S34.3XXA</w:t>
            </w:r>
          </w:p>
        </w:tc>
        <w:tc>
          <w:tcPr>
            <w:tcW w:w="9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Injury of cauda equina, initial encounter</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641—21.4</w:t>
      </w:r>
      <w:r>
        <w:rPr>
          <w:rFonts w:ascii="Times New Roman" w:hAnsi="Times New Roman"/>
          <w:b/>
          <w:i w:val="false"/>
          <w:color w:val="000000"/>
          <w:sz w:val="22"/>
        </w:rPr>
        <w:t xml:space="preserve">(135) </w:t>
      </w:r>
      <w:r>
        <w:rPr>
          <w:rFonts w:ascii="Times New Roman" w:hAnsi="Times New Roman"/>
          <w:b/>
          <w:i w:val="false"/>
          <w:color w:val="000000"/>
          <w:sz w:val="22"/>
        </w:rPr>
        <w:t xml:space="preserve">Who reports and under what circumstances. </w:t>
      </w:r>
      <w:r>
        <w:rPr>
          <w:rFonts w:ascii="Times New Roman" w:hAnsi="Times New Roman"/>
          <w:b w:val="false"/>
          <w:i w:val="false"/>
          <w:color w:val="000000"/>
          <w:sz w:val="22"/>
        </w:rPr>
        <w:t>Hospitals treating, transferring, or having pronounced dead any person determined to have sustained a reportable case of brain or spinal cord injury are required to submit information as identified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641—21.5</w:t>
      </w:r>
      <w:r>
        <w:rPr>
          <w:rFonts w:ascii="Times New Roman" w:hAnsi="Times New Roman"/>
          <w:b/>
          <w:i w:val="false"/>
          <w:color w:val="000000"/>
          <w:sz w:val="22"/>
        </w:rPr>
        <w:t xml:space="preserve">(135) </w:t>
      </w:r>
      <w:r>
        <w:rPr>
          <w:rFonts w:ascii="Times New Roman" w:hAnsi="Times New Roman"/>
          <w:b/>
          <w:i w:val="false"/>
          <w:color w:val="000000"/>
          <w:sz w:val="22"/>
        </w:rPr>
        <w:t xml:space="preserve">Method and frequency of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conducted under this chapter shall be coordinated with other health data collection methods. The department shall obtain brain and spinal cord injury data from the Iowa Hospital Association pursuant to 641—Chapter 177, and the association shall serve as the department’s intermediary in the collection of brain and spinal cord injury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Hospitals shall report to the Iowa Hospital Association the required information for any reportable case of brain injury or spinal cord injury no later than 45 days after the end of the quarter during which the patient was discharged, transferred to another acute care hospital, or pronounced dead in the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Reports shall meet the data quality, format, and timeliness standards prescribed by the department and the Iowa Hospital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641—21.6</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maintain the confidentiality of all submitted registry reports of brain and spinal cord injuries and shall not release reports, or any information which can be associated with a particular individual, unless the release is in compliance with the provisions of subrule </w:t>
      </w:r>
      <w:hyperlink r:id="rId6">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A registry report of a brain or spinal cord injury which is submitted to the department and which can be associated with a particular individual shall be released solely by the department and only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particular individual upon receipt of a written request signed by the particular individual and suitable identification presented in person to an employee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particular individual is a minor, to a parent or attorney of the particular individual upon receipt of a written request signed by a parent or attorney of the individual and of a certified copy of the birth certificate and suitable identification presented to an employee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particular individual has a court-appointed guardian or if the particular individual is deceased, to the court-appointed guardian or to the executor or administrator of the particular individual’s estate upon receipt of a written request signed by the court-appointed guardian, executor, or administrator, and of a certified copy of the order or decree which appoints the guardian, executor, or administrator, and of suitable identification presented to an employee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attorney or other person who is designated by the particular individual upon receipt of a written request signed by the particular individual and suitable identification presented to an employee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an authorized representative of a study or research project that shall be reviewed and approved by the department’s research and ethics review committee and approved by the director of the division of behavioral health. If information identifies individuals with brain or spinal cord injuries, the release of such information for research purposes shall be subject to the terms and conditions set by the department. Such study or research project shall maintain the identifying information as confidential and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transmit transcripts or copies of reported cases to state or national brain and spinal cord injury registries when the reports relate to residents of other states or countries. The agreement shall require that the transcripts or records be used for statistical purposes only and that the identity of reported cases shall not be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641—21.7</w:t>
      </w:r>
      <w:r>
        <w:rPr>
          <w:rFonts w:ascii="Times New Roman" w:hAnsi="Times New Roman"/>
          <w:b/>
          <w:i w:val="false"/>
          <w:color w:val="000000"/>
          <w:sz w:val="22"/>
        </w:rPr>
        <w:t xml:space="preserve">(135) </w:t>
      </w:r>
      <w:r>
        <w:rPr>
          <w:rFonts w:ascii="Times New Roman" w:hAnsi="Times New Roman"/>
          <w:b/>
          <w:i w:val="false"/>
          <w:color w:val="000000"/>
          <w:sz w:val="22"/>
        </w:rPr>
        <w:t xml:space="preserve">Quality assurance. </w:t>
      </w:r>
      <w:r>
        <w:rPr>
          <w:rFonts w:ascii="Times New Roman" w:hAnsi="Times New Roman"/>
          <w:b w:val="false"/>
          <w:i w:val="false"/>
          <w:color w:val="000000"/>
          <w:sz w:val="22"/>
        </w:rPr>
        <w:t>For the purpose of ensuring the completeness and quality of submitted data, each hospital may allow the department inspection of parts of patient’s medical reports as necessary to verify or clarify these data by signing an agreement. The department’s authorized representative may enter the facility, obtain the information, and report it in the appropriate form. Prior to inspecting the records, this department shall work with the hospital to determine a time and date agreeable to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2655C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8/28/87, Notice 6/17/87—published 9/23/87, effective 11/1/87]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1/10/90, Notice 10/4/89—published 2/7/90, effective 3/14/90]</w:t>
      </w:r>
    </w:p>
    <w:p>
      <w:pPr>
        <w:spacing w:before="0" w:after="0"/>
        <w:ind w:left="120"/>
        <w:jc w:val="center"/>
      </w:pPr>
      <w:r>
        <w:rPr>
          <w:rFonts w:ascii="Times New Roman" w:hAnsi="Times New Roman"/>
          <w:b w:val="false"/>
          <w:i w:val="false"/>
          <w:color w:val="000000"/>
          <w:sz w:val="21"/>
        </w:rPr>
        <w:t>[Filed 9/23/94, Notice 8/3/94—published 10/12/94, effective 11/16/94]</w:t>
      </w:r>
    </w:p>
    <w:p>
      <w:pPr>
        <w:spacing w:before="0" w:after="0"/>
        <w:ind w:left="120"/>
        <w:jc w:val="center"/>
      </w:pPr>
      <w:r>
        <w:rPr>
          <w:rFonts w:ascii="Times New Roman" w:hAnsi="Times New Roman"/>
          <w:b w:val="false"/>
          <w:i w:val="false"/>
          <w:color w:val="000000"/>
          <w:sz w:val="21"/>
        </w:rPr>
        <w:t>[Filed ARC 2655C</w:t>
      </w:r>
      <w:r>
        <w:rPr>
          <w:rFonts w:ascii="Times New Roman" w:hAnsi="Times New Roman"/>
          <w:b w:val="false"/>
          <w:i w:val="false"/>
          <w:color w:val="000000"/>
          <w:sz w:val="21"/>
        </w:rPr>
        <w:t xml:space="preserve"> (Notice ARC 2447C, IAB 3/16/16)</w:t>
      </w:r>
      <w:r>
        <w:rPr>
          <w:rFonts w:ascii="Times New Roman" w:hAnsi="Times New Roman"/>
          <w:b w:val="false"/>
          <w:i w:val="false"/>
          <w:color w:val="000000"/>
          <w:sz w:val="21"/>
        </w:rPr>
        <w:t>, IAB 8/3/16, effective 9/7/16]</w:t>
      </w:r>
    </w:p>
    <w:p>
      <w:pPr>
        <w:pBdr>
          <w:bottom w:space="2"/>
        </w:pBdr>
        <w:spacing w:before="0" w:after="0"/>
        <w:ind w:left="120"/>
        <w:jc w:val="both"/>
      </w:pPr>
      <w:r>
        <w:rPr>
          <w:rFonts w:ascii="Times New Roman" w:hAnsi="Times New Roman"/>
          <w:b w:val="false"/>
          <w:i w:val="false"/>
          <w:color w:val="000000"/>
          <w:sz w:val="22"/>
        </w:rPr>
        <w:t>See Human Services[441] Ch 39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1.pdf" Type="http://schemas.openxmlformats.org/officeDocument/2006/relationships/hyperlink" Id="rId5"/>
    <Relationship TargetMode="External" Target="https://www.legis.iowa.gov/docs/iac/rule/641.21.6.pdf" Type="http://schemas.openxmlformats.org/officeDocument/2006/relationships/hyperlink" Id="rId6"/>
    <Relationship TargetMode="External" Target="https://www.legis.iowa.gov/docs/ico/chapter/135.2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