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LICENSURE STANDARDS FOR SUBSTANCE USE DISORDER AND</w:t>
      </w:r>
      <w:r>
        <w:br/>
      </w:r>
      <w:r>
        <w:rPr>
          <w:rFonts w:ascii="Times New Roman" w:hAnsi="Times New Roman"/>
          <w:b w:val="false"/>
          <w:i w:val="false"/>
          <w:color w:val="000000"/>
          <w:sz w:val="21"/>
        </w:rPr>
        <w:t>PROBLEM GAMBLING TREATMENT PROGRAMS</w:t>
      </w:r>
    </w:p>
    <w:p>
      <w:pPr>
        <w:spacing w:before="0" w:after="0"/>
        <w:ind w:left="120"/>
        <w:jc w:val="center"/>
      </w:pPr>
      <w:r>
        <w:rPr>
          <w:rFonts w:ascii="Times New Roman" w:hAnsi="Times New Roman"/>
          <w:b w:val="false"/>
          <w:i w:val="false"/>
          <w:color w:val="000000"/>
          <w:sz w:val="14"/>
        </w:rPr>
        <w:t>[Prior to 7/27/88, see Substance Abuse, Iowa Department of[805] Ch 3]</w:t>
      </w:r>
    </w:p>
    <w:p>
      <w:pPr>
        <w:spacing w:before="0" w:after="0"/>
        <w:ind w:left="120"/>
        <w:jc w:val="center"/>
      </w:pPr>
      <w:r>
        <w:rPr>
          <w:rFonts w:ascii="Times New Roman" w:hAnsi="Times New Roman"/>
          <w:b w:val="false"/>
          <w:i w:val="false"/>
          <w:color w:val="000000"/>
          <w:sz w:val="14"/>
        </w:rPr>
        <w:t>[Prior to 3/29/06, see 643—Ch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641—155.1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shall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“Addictive disorder” </w:t>
      </w:r>
      <w:r>
        <w:rPr>
          <w:rFonts w:ascii="Times New Roman" w:hAnsi="Times New Roman"/>
          <w:b w:val="false"/>
          <w:i w:val="false"/>
          <w:color w:val="000000"/>
          <w:sz w:val="22"/>
        </w:rPr>
        <w:t>means a substance use disorder and problem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“Addictive disorder professional” </w:t>
      </w:r>
      <w:r>
        <w:rPr>
          <w:rFonts w:ascii="Times New Roman" w:hAnsi="Times New Roman"/>
          <w:b w:val="false"/>
          <w:i w:val="false"/>
          <w:color w:val="000000"/>
          <w:sz w:val="22"/>
        </w:rPr>
        <w:t>means an individual who is qualified by virtue of certification or license and education, training and experience to provide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means the direct application of a prescription medication to a patient by a prescriber or the prescriber’s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w:t>
      </w:r>
      <w:r>
        <w:rPr>
          <w:rFonts w:ascii="Times New Roman" w:hAnsi="Times New Roman"/>
          <w:b w:val="false"/>
          <w:i w:val="false"/>
          <w:color w:val="000000"/>
          <w:sz w:val="22"/>
        </w:rPr>
        <w:t>means the point at which an initial assessment has been completed sufficient to determine the patient’s need and eligibility for program services, and the patient has agreed to begin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“Admission, continued service, and discharge criteria” </w:t>
      </w:r>
      <w:r>
        <w:rPr>
          <w:rFonts w:ascii="Times New Roman" w:hAnsi="Times New Roman"/>
          <w:b w:val="false"/>
          <w:i w:val="false"/>
          <w:color w:val="000000"/>
          <w:sz w:val="22"/>
        </w:rPr>
        <w:t>means the ASAM criteria dimensions to be considered in determining the level of care appropriate for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facility, or legal entity that has applied for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the process through which an applicant requests an initial license, renewal of a license, or a license under deemed status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“ASAM criteria” </w:t>
      </w:r>
      <w:r>
        <w:rPr>
          <w:rFonts w:ascii="Times New Roman" w:hAnsi="Times New Roman"/>
          <w:b w:val="false"/>
          <w:i w:val="false"/>
          <w:color w:val="000000"/>
          <w:sz w:val="22"/>
        </w:rPr>
        <w:t>means the most current version of the clinical guide for the treatment of addictive, substance use and co-occurring conditions as published by the American Society of Addiction Medicine (ASAM).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ongoing process of evaluating a patient’s strengths, resources, preferences, limitations, problems, and needs; determining the licensed program services needed by the patient; determining the patient’s eligibility for program services; and identifying treatment plan priorities, in accordance with the ASAM criteria and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state board of health created pursuant to Iowa Code chapter </w:t>
      </w:r>
      <w:hyperlink r:id="rId5">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the collaborative process which assesses, plans, implements, coordinates, monitors and evaluates the options and services, both internal and external to the program, to meet patient needs, using communication and available resources to promote quality care and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substance” </w:t>
      </w:r>
      <w:r>
        <w:rPr>
          <w:rFonts w:ascii="Times New Roman" w:hAnsi="Times New Roman"/>
          <w:b w:val="false"/>
          <w:i w:val="false"/>
          <w:color w:val="000000"/>
          <w:sz w:val="22"/>
        </w:rPr>
        <w:t xml:space="preserve">means alcohol, wine, spirits and beer as defined in Iowa Code chapter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controlled substances as defined in Iowa Code section </w:t>
      </w:r>
      <w:hyperlink r:id="rId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“Chemical substitutes and antagonists program” </w:t>
      </w:r>
      <w:r>
        <w:rPr>
          <w:rFonts w:ascii="Times New Roman" w:hAnsi="Times New Roman"/>
          <w:b w:val="false"/>
          <w:i w:val="false"/>
          <w:color w:val="000000"/>
          <w:sz w:val="22"/>
        </w:rPr>
        <w:t xml:space="preserve">means an opioid treatment program that provides opioid treatment services in accordance with Iowa Code section </w:t>
      </w:r>
      <w:hyperlink r:id="rId8">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641—155.35</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w:t>
      </w:r>
      <w:r>
        <w:rPr>
          <w:rFonts w:ascii="Times New Roman" w:hAnsi="Times New Roman"/>
          <w:b w:val="false"/>
          <w:i w:val="false"/>
          <w:color w:val="000000"/>
          <w:sz w:val="22"/>
        </w:rPr>
        <w:t>means that program services are directed by addictive disorder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high-intensity residential treatment” </w:t>
      </w:r>
      <w:r>
        <w:rPr>
          <w:rFonts w:ascii="Times New Roman" w:hAnsi="Times New Roman"/>
          <w:b w:val="false"/>
          <w:i w:val="false"/>
          <w:color w:val="000000"/>
          <w:sz w:val="22"/>
        </w:rPr>
        <w:t>means the ASAM criteria level of care totaling at least 50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low-intensity residential treatment” </w:t>
      </w:r>
      <w:r>
        <w:rPr>
          <w:rFonts w:ascii="Times New Roman" w:hAnsi="Times New Roman"/>
          <w:b w:val="false"/>
          <w:i w:val="false"/>
          <w:color w:val="000000"/>
          <w:sz w:val="22"/>
        </w:rPr>
        <w:t>means the ASAM criteria level of care totaling at least five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“Clinically managed medium-intensity residential treatment” </w:t>
      </w:r>
      <w:r>
        <w:rPr>
          <w:rFonts w:ascii="Times New Roman" w:hAnsi="Times New Roman"/>
          <w:b w:val="false"/>
          <w:i w:val="false"/>
          <w:color w:val="000000"/>
          <w:sz w:val="22"/>
        </w:rPr>
        <w:t>means the ASAM criteria level of care totaling at least 30 hours of clinically managed inpatient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oversight” </w:t>
      </w:r>
      <w:r>
        <w:rPr>
          <w:rFonts w:ascii="Times New Roman" w:hAnsi="Times New Roman"/>
          <w:b w:val="false"/>
          <w:i w:val="false"/>
          <w:color w:val="000000"/>
          <w:sz w:val="22"/>
        </w:rPr>
        <w:t xml:space="preserve">means oversight provided by an individual who, by virtue of certification or license and education, training and experience is qualified to oversee treatment services in accordance with subrule </w:t>
      </w:r>
      <w:hyperlink r:id="rId10">
        <w:r>
          <w:rPr>
            <w:rStyle w:val="Hyperlink"/>
            <w:rFonts w:ascii="Times New Roman" w:hAnsi="Times New Roman"/>
            <w:b w:val="false"/>
            <w:i w:val="false"/>
            <w:color w:val="000000"/>
            <w:sz w:val="22"/>
          </w:rPr>
          <w:t>155.21(3)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substance abuse and gambling treatment program committee appointed by the state board of health pursuant to Iowa Code section </w:t>
      </w:r>
      <w:hyperlink r:id="rId11">
        <w:r>
          <w:rPr>
            <w:rStyle w:val="Hyperlink"/>
            <w:rFonts w:ascii="Times New Roman" w:hAnsi="Times New Roman"/>
            <w:b w:val="false"/>
            <w:i w:val="false"/>
            <w:color w:val="000000"/>
            <w:sz w:val="22"/>
          </w:rPr>
          <w:t>136.3(13)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“Concerned person” </w:t>
      </w:r>
      <w:r>
        <w:rPr>
          <w:rFonts w:ascii="Times New Roman" w:hAnsi="Times New Roman"/>
          <w:b w:val="false"/>
          <w:i w:val="false"/>
          <w:color w:val="000000"/>
          <w:sz w:val="22"/>
        </w:rPr>
        <w:t>means an individual who is seeking treatment services due to problems arising from a personal relationship with an individual with an addictive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means protection of patient information in compliance with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“Crisis stabilization” </w:t>
      </w:r>
      <w:r>
        <w:rPr>
          <w:rFonts w:ascii="Times New Roman" w:hAnsi="Times New Roman"/>
          <w:b w:val="false"/>
          <w:i w:val="false"/>
          <w:color w:val="000000"/>
          <w:sz w:val="22"/>
        </w:rPr>
        <w:t>means medically monitored subacute inpatient services for individuals with urgent addictive disorder needs requiring immediate intervention, assessment, and mobilization of family, community and program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“Culturally and environmentally specific” </w:t>
      </w:r>
      <w:r>
        <w:rPr>
          <w:rFonts w:ascii="Times New Roman" w:hAnsi="Times New Roman"/>
          <w:b w:val="false"/>
          <w:i w:val="false"/>
          <w:color w:val="000000"/>
          <w:sz w:val="22"/>
        </w:rPr>
        <w:t>means integrating into assessment and treatment the customs and beliefs of a given population, as well as awareness and acceptance of diversity regarding conditions, circumstances and influences affecting an individual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r>
        <w:rPr>
          <w:rFonts w:ascii="Times New Roman" w:hAnsi="Times New Roman"/>
          <w:b w:val="false"/>
          <w:i w:val="false"/>
          <w:color w:val="000000"/>
          <w:sz w:val="22"/>
        </w:rPr>
        <w:t>means the required submission of certain patient demographic and program services information to the department by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“Detoxification” </w:t>
      </w:r>
      <w:r>
        <w:rPr>
          <w:rFonts w:ascii="Times New Roman" w:hAnsi="Times New Roman"/>
          <w:b w:val="false"/>
          <w:i w:val="false"/>
          <w:color w:val="000000"/>
          <w:sz w:val="22"/>
        </w:rPr>
        <w:t>means the safe management of intoxication states and withdrawal states in accordance with the ASAM criteria and accepted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“Dimension” </w:t>
      </w:r>
      <w:r>
        <w:rPr>
          <w:rFonts w:ascii="Times New Roman" w:hAnsi="Times New Roman"/>
          <w:b w:val="false"/>
          <w:i w:val="false"/>
          <w:color w:val="000000"/>
          <w:sz w:val="22"/>
        </w:rPr>
        <w:t>means one of the six ASAM criteria patient biopsychosocial areas to be considered in the assessment process to identify patient needs and determine the appropriate level of care for admission and continued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the point at which the patient ceases participation in licensed program services, marking the end of a specific encounter or episode of care. Discharge does not require termination of the relationship between the patient and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planning” </w:t>
      </w:r>
      <w:r>
        <w:rPr>
          <w:rFonts w:ascii="Times New Roman" w:hAnsi="Times New Roman"/>
          <w:b w:val="false"/>
          <w:i w:val="false"/>
          <w:color w:val="000000"/>
          <w:sz w:val="22"/>
        </w:rPr>
        <w:t>means the process, begun at admission, of determining a patient’s continued need for licensed program services and of developing a plan to address ongoing patient needs following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department’s division of behavioral health, which acts as the single state authority for the federal substance abuse prevention and treatment block grant and associated state of Iowa addictive disorder appropriations and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intervention” </w:t>
      </w:r>
      <w:r>
        <w:rPr>
          <w:rFonts w:ascii="Times New Roman" w:hAnsi="Times New Roman"/>
          <w:b w:val="false"/>
          <w:i w:val="false"/>
          <w:color w:val="000000"/>
          <w:sz w:val="22"/>
        </w:rPr>
        <w:t>means the ASAM criteria level of care which explores and addresses problems or risk factors that appear to be related to an addictive disorder and which helps the individual recognize potential harmful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program” </w:t>
      </w:r>
      <w:r>
        <w:rPr>
          <w:rFonts w:ascii="Times New Roman" w:hAnsi="Times New Roman"/>
          <w:b w:val="false"/>
          <w:i w:val="false"/>
          <w:color w:val="000000"/>
          <w:sz w:val="22"/>
        </w:rPr>
        <w:t xml:space="preserve">means a licensee that provides enhanced treatment services in accordance with paragraph </w:t>
      </w:r>
      <w:hyperlink r:id="rId12">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“Enhanced treatment services” </w:t>
      </w:r>
      <w:r>
        <w:rPr>
          <w:rFonts w:ascii="Times New Roman" w:hAnsi="Times New Roman"/>
          <w:b w:val="false"/>
          <w:i w:val="false"/>
          <w:color w:val="000000"/>
          <w:sz w:val="22"/>
        </w:rPr>
        <w:t xml:space="preserve">means licensed program services provided in accordance with paragraph </w:t>
      </w:r>
      <w:hyperlink r:id="rId14">
        <w:r>
          <w:rPr>
            <w:rStyle w:val="Hyperlink"/>
            <w:rFonts w:ascii="Times New Roman" w:hAnsi="Times New Roman"/>
            <w:b w:val="false"/>
            <w:i w:val="false"/>
            <w:color w:val="000000"/>
            <w:sz w:val="22"/>
          </w:rPr>
          <w:t>155.2(2)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641—155.34</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an institution, a detoxification center, or an installation providing care, maintenance or treatment for persons with substance use disorders licensed by the department under Iowa Code section </w:t>
      </w:r>
      <w:hyperlink r:id="rId1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hospitals licensed under Iowa Code chapter </w:t>
      </w:r>
      <w:hyperlink r:id="rId1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the state mental health institutes designated by Iowa Code chapter </w:t>
      </w:r>
      <w:hyperlink r:id="rId18">
        <w:r>
          <w:rPr>
            <w:rStyle w:val="Hyperlink"/>
            <w:rFonts w:ascii="Times New Roman" w:hAnsi="Times New Roman"/>
            <w:b w:val="false"/>
            <w:i w:val="false"/>
            <w:color w:val="000000"/>
            <w:sz w:val="22"/>
          </w:rPr>
          <w:t>226</w:t>
        </w:r>
      </w:hyperlink>
      <w:r>
        <w:rPr>
          <w:rFonts w:ascii="Times New Roman" w:hAnsi="Times New Roman"/>
          <w:b w:val="false"/>
          <w:i w:val="false"/>
          <w:color w:val="000000"/>
          <w:sz w:val="22"/>
        </w:rPr>
        <w:t>. “Facility” also means the physical areas such as grounds, buildings, or portions thereof under administrative control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means the person, group, or legal entity that has ultimate authority and responsibility for the overall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“Inpatient” </w:t>
      </w:r>
      <w:r>
        <w:rPr>
          <w:rFonts w:ascii="Times New Roman" w:hAnsi="Times New Roman"/>
          <w:b w:val="false"/>
          <w:i w:val="false"/>
          <w:color w:val="000000"/>
          <w:sz w:val="22"/>
        </w:rPr>
        <w:t>means 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“Intensive outpatient treatment” </w:t>
      </w:r>
      <w:r>
        <w:rPr>
          <w:rFonts w:ascii="Times New Roman" w:hAnsi="Times New Roman"/>
          <w:b w:val="false"/>
          <w:i w:val="false"/>
          <w:color w:val="000000"/>
          <w:sz w:val="22"/>
        </w:rPr>
        <w:t>means the ASAM criteria level of care totaling a minimum of nine hours of clinically managed outpatient treatment services per week for adults or a minimum of six hours of clinically managed outpatient treatment services per week for juveniles.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“level of service” </w:t>
      </w:r>
      <w:r>
        <w:rPr>
          <w:rFonts w:ascii="Times New Roman" w:hAnsi="Times New Roman"/>
          <w:b w:val="false"/>
          <w:i w:val="false"/>
          <w:color w:val="000000"/>
          <w:sz w:val="22"/>
        </w:rPr>
        <w:t>means the different ASAM criteria service options. “Level of care” also means certain licensed program services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program services” </w:t>
      </w:r>
      <w:r>
        <w:rPr>
          <w:rFonts w:ascii="Times New Roman" w:hAnsi="Times New Roman"/>
          <w:b w:val="false"/>
          <w:i w:val="false"/>
          <w:color w:val="000000"/>
          <w:sz w:val="22"/>
        </w:rPr>
        <w:t>means the services a licensee may be authorized to provide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program licensed by the department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means the issuance of a license by the department pursuant to these rules which validates the licensee’s compliance with these rules and authorizes the licensee to operate a program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weighting report” </w:t>
      </w:r>
      <w:r>
        <w:rPr>
          <w:rFonts w:ascii="Times New Roman" w:hAnsi="Times New Roman"/>
          <w:b w:val="false"/>
          <w:i w:val="false"/>
          <w:color w:val="000000"/>
          <w:sz w:val="22"/>
        </w:rPr>
        <w:t>means the division’s report that is used to determine an applicant’s level of compliance with these rules and the length of time a license will be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prolonged, scheduled administration of an opiate agonist medication such as buprenorphine or methadone by an opioid treatment program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of care” </w:t>
      </w:r>
      <w:r>
        <w:rPr>
          <w:rFonts w:ascii="Times New Roman" w:hAnsi="Times New Roman"/>
          <w:b w:val="false"/>
          <w:i w:val="false"/>
          <w:color w:val="000000"/>
          <w:sz w:val="22"/>
        </w:rPr>
        <w:t xml:space="preserve">means the ongoing application of the ASAM criteria and the coordination of care to ensure the appropriate provision of licensed program services to a patient.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“May” </w:t>
      </w:r>
      <w:r>
        <w:rPr>
          <w:rFonts w:ascii="Times New Roman" w:hAnsi="Times New Roman"/>
          <w:b w:val="false"/>
          <w:i w:val="false"/>
          <w:color w:val="000000"/>
          <w:sz w:val="22"/>
        </w:rPr>
        <w:t>means a term used in the interpretation of a standard to reflect an acceptable method that is recognized but not necessarily preferred.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managed” </w:t>
      </w:r>
      <w:r>
        <w:rPr>
          <w:rFonts w:ascii="Times New Roman" w:hAnsi="Times New Roman"/>
          <w:b w:val="false"/>
          <w:i w:val="false"/>
          <w:color w:val="000000"/>
          <w:sz w:val="22"/>
        </w:rPr>
        <w:t>means that the inpatient program services that involve daily medical care in a hospital setting are directed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managed intensive inpatient treatment” </w:t>
      </w:r>
      <w:r>
        <w:rPr>
          <w:rFonts w:ascii="Times New Roman" w:hAnsi="Times New Roman"/>
          <w:b w:val="false"/>
          <w:i w:val="false"/>
          <w:color w:val="000000"/>
          <w:sz w:val="22"/>
        </w:rPr>
        <w:t>means the ASAM criteria level of care for medically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monitored” </w:t>
      </w:r>
      <w:r>
        <w:rPr>
          <w:rFonts w:ascii="Times New Roman" w:hAnsi="Times New Roman"/>
          <w:b w:val="false"/>
          <w:i w:val="false"/>
          <w:color w:val="000000"/>
          <w:sz w:val="22"/>
        </w:rPr>
        <w:t>means that the program services are directed by addictive disorder professionals with medical oversight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monitored intensive inpatient treatment” </w:t>
      </w:r>
      <w:r>
        <w:rPr>
          <w:rFonts w:ascii="Times New Roman" w:hAnsi="Times New Roman"/>
          <w:b w:val="false"/>
          <w:i w:val="false"/>
          <w:color w:val="000000"/>
          <w:sz w:val="22"/>
        </w:rPr>
        <w:t>means the ASAM criteria level of care for medically monitored subacute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“Medication-assisted treatment” </w:t>
      </w:r>
      <w:r>
        <w:rPr>
          <w:rFonts w:ascii="Times New Roman" w:hAnsi="Times New Roman"/>
          <w:b w:val="false"/>
          <w:i w:val="false"/>
          <w:color w:val="000000"/>
          <w:sz w:val="22"/>
        </w:rPr>
        <w:t>means the medically monitored use of certain substance use disorder medications in combination with other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program” </w:t>
      </w:r>
      <w:r>
        <w:rPr>
          <w:rFonts w:ascii="Times New Roman" w:hAnsi="Times New Roman"/>
          <w:b w:val="false"/>
          <w:i w:val="false"/>
          <w:color w:val="000000"/>
          <w:sz w:val="22"/>
        </w:rPr>
        <w:t xml:space="preserve">means a substance use disorder treatment program or a substance use disorder and problem gambling treatment program licensed to provide opioid treatment services in accordance with Iowa Code section </w:t>
      </w:r>
      <w:hyperlink r:id="rId19">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rules </w:t>
      </w:r>
      <w:hyperlink r:id="rId20">
        <w:r>
          <w:rPr>
            <w:rStyle w:val="Hyperlink"/>
            <w:rFonts w:ascii="Times New Roman" w:hAnsi="Times New Roman"/>
            <w:b w:val="false"/>
            <w:i w:val="false"/>
            <w:color w:val="000000"/>
            <w:sz w:val="22"/>
          </w:rPr>
          <w:t>641—155.2</w:t>
        </w:r>
      </w:hyperlink>
      <w:r>
        <w:rPr>
          <w:rFonts w:ascii="Times New Roman" w:hAnsi="Times New Roman"/>
          <w:b w:val="false"/>
          <w:i w:val="false"/>
          <w:color w:val="000000"/>
          <w:sz w:val="22"/>
        </w:rPr>
        <w:t xml:space="preserve">(125,135) and </w:t>
      </w:r>
      <w:hyperlink r:id="rId21">
        <w:r>
          <w:rPr>
            <w:rStyle w:val="Hyperlink"/>
            <w:rFonts w:ascii="Times New Roman" w:hAnsi="Times New Roman"/>
            <w:b w:val="false"/>
            <w:i w:val="false"/>
            <w:color w:val="000000"/>
            <w:sz w:val="22"/>
          </w:rPr>
          <w:t>641—155.35</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services” </w:t>
      </w:r>
      <w:r>
        <w:rPr>
          <w:rFonts w:ascii="Times New Roman" w:hAnsi="Times New Roman"/>
          <w:b w:val="false"/>
          <w:i w:val="false"/>
          <w:color w:val="000000"/>
          <w:sz w:val="22"/>
        </w:rPr>
        <w:t>means medically monitored outpatient maintenance services provided in accordance with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w:t>
      </w:r>
      <w:r>
        <w:rPr>
          <w:rFonts w:ascii="Times New Roman" w:hAnsi="Times New Roman"/>
          <w:b w:val="false"/>
          <w:i w:val="false"/>
          <w:color w:val="000000"/>
          <w:sz w:val="22"/>
        </w:rPr>
        <w:t>means non-24-hour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treatment” </w:t>
      </w:r>
      <w:r>
        <w:rPr>
          <w:rFonts w:ascii="Times New Roman" w:hAnsi="Times New Roman"/>
          <w:b w:val="false"/>
          <w:i w:val="false"/>
          <w:color w:val="000000"/>
          <w:sz w:val="22"/>
        </w:rPr>
        <w:t xml:space="preserve">means the ASAM criteria level of care totaling less than nine hours of clinically managed outpatient treatment services per week for adults and less than six hours of clinically managed outpatient treatment services per week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“OWI evaluation” </w:t>
      </w:r>
      <w:r>
        <w:rPr>
          <w:rFonts w:ascii="Times New Roman" w:hAnsi="Times New Roman"/>
          <w:b w:val="false"/>
          <w:i w:val="false"/>
          <w:color w:val="000000"/>
          <w:sz w:val="22"/>
        </w:rPr>
        <w:t xml:space="preserve">means an assessment completed solely for the purpose of compliance with the substance abuse evaluation requirements of Iowa Code chapter </w:t>
      </w:r>
      <w:hyperlink r:id="rId22">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“Partial/day treatment” </w:t>
      </w:r>
      <w:r>
        <w:rPr>
          <w:rFonts w:ascii="Times New Roman" w:hAnsi="Times New Roman"/>
          <w:b w:val="false"/>
          <w:i w:val="false"/>
          <w:color w:val="000000"/>
          <w:sz w:val="22"/>
        </w:rPr>
        <w:t>means the ASAM criteria level of care totaling 20 or more hours of clinically managed outpatient treatment services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 individual who participates in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means selection of an appropriate licensed program service, based on ongoing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“Prescriber” </w:t>
      </w:r>
      <w:r>
        <w:rPr>
          <w:rFonts w:ascii="Times New Roman" w:hAnsi="Times New Roman"/>
          <w:b w:val="false"/>
          <w:i w:val="false"/>
          <w:color w:val="000000"/>
          <w:sz w:val="22"/>
        </w:rPr>
        <w:t>means a licensed health care professional with the authority to prescribe medication in accordance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w:t>
      </w:r>
      <w:r>
        <w:rPr>
          <w:rFonts w:ascii="Times New Roman" w:hAnsi="Times New Roman"/>
          <w:b w:val="false"/>
          <w:i w:val="false"/>
          <w:color w:val="000000"/>
          <w:sz w:val="22"/>
        </w:rPr>
        <w:t>means activities aimed at minimizing the use of potentially addictive substances, lowering risk in at-risk individuals, or minimizing potential adverse consequences of substance use or gambling.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“Prime programming time” </w:t>
      </w:r>
      <w:r>
        <w:rPr>
          <w:rFonts w:ascii="Times New Roman" w:hAnsi="Times New Roman"/>
          <w:b w:val="false"/>
          <w:i w:val="false"/>
          <w:color w:val="000000"/>
          <w:sz w:val="22"/>
        </w:rPr>
        <w:t>means any period of the day, as determined by a program treating juveniles, when special attention or supervision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“Problem gambling” </w:t>
      </w:r>
      <w:r>
        <w:rPr>
          <w:rFonts w:ascii="Times New Roman" w:hAnsi="Times New Roman"/>
          <w:b w:val="false"/>
          <w:i w:val="false"/>
          <w:color w:val="000000"/>
          <w:sz w:val="22"/>
        </w:rPr>
        <w:t>means a gambling disorder that results in a functional impairment of sufficient impact and duration to meet diagnostic criteria specified within the most current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person, facility, institution, building, agency or legal entity that provides one or more of the services stated in subrule </w:t>
      </w:r>
      <w:hyperlink r:id="rId23">
        <w:r>
          <w:rPr>
            <w:rStyle w:val="Hyperlink"/>
            <w:rFonts w:ascii="Times New Roman" w:hAnsi="Times New Roman"/>
            <w:b w:val="false"/>
            <w:i w:val="false"/>
            <w:color w:val="000000"/>
            <w:sz w:val="22"/>
          </w:rPr>
          <w:t>155.2(2)</w:t>
        </w:r>
      </w:hyperlink>
      <w:r>
        <w:rPr>
          <w:rFonts w:ascii="Times New Roman" w:hAnsi="Times New Roman"/>
          <w:b w:val="false"/>
          <w:i w:val="false"/>
          <w:color w:val="000000"/>
          <w:sz w:val="22"/>
        </w:rPr>
        <w:t xml:space="preserve"> and is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w:t>
      </w:r>
      <w:r>
        <w:rPr>
          <w:rFonts w:ascii="Times New Roman" w:hAnsi="Times New Roman"/>
          <w:b w:val="false"/>
          <w:i w:val="false"/>
          <w:color w:val="000000"/>
          <w:sz w:val="22"/>
        </w:rPr>
        <w:t>means the process of objectively and systematically monitoring and evaluating the quality and appropriateness of patient care and program services and operations to resolve identified problems and to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the process of addressing an addictive disorder and working toward personally defined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supports” </w:t>
      </w:r>
      <w:r>
        <w:rPr>
          <w:rFonts w:ascii="Times New Roman" w:hAnsi="Times New Roman"/>
          <w:b w:val="false"/>
          <w:i w:val="false"/>
          <w:color w:val="000000"/>
          <w:sz w:val="22"/>
        </w:rPr>
        <w:t>means the broad range of nontreatment services, such as transportation, that assists patients in their recovery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 </w:t>
      </w:r>
      <w:r>
        <w:rPr>
          <w:rFonts w:ascii="Times New Roman" w:hAnsi="Times New Roman"/>
          <w:b w:val="false"/>
          <w:i w:val="false"/>
          <w:color w:val="000000"/>
          <w:sz w:val="22"/>
        </w:rPr>
        <w:t xml:space="preserve">means the geographic grouping of counties for conducting the department’s responsibilities under Iowa Code chapter </w:t>
      </w:r>
      <w:hyperlink r:id="rId2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the restoration of an optimal state of health by medical, psychological, and social means, including peer group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w:t>
      </w:r>
      <w:r>
        <w:rPr>
          <w:rFonts w:ascii="Times New Roman" w:hAnsi="Times New Roman"/>
          <w:b w:val="false"/>
          <w:i w:val="false"/>
          <w:color w:val="000000"/>
          <w:sz w:val="22"/>
        </w:rPr>
        <w:t>means clinically managed inpatient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“Resiliency- and recovery-oriented system of care” </w:t>
      </w:r>
      <w:r>
        <w:rPr>
          <w:rFonts w:ascii="Times New Roman" w:hAnsi="Times New Roman"/>
          <w:b w:val="false"/>
          <w:i w:val="false"/>
          <w:color w:val="000000"/>
          <w:sz w:val="22"/>
        </w:rPr>
        <w:t>means coordinated, person-centered approaches to health promotion, prevention, early intervention, treatment and recovery support that build on the protective factors and strengths of individuals to sustain or achieve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w:t>
      </w:r>
      <w:r>
        <w:rPr>
          <w:rFonts w:ascii="Times New Roman" w:hAnsi="Times New Roman"/>
          <w:b w:val="false"/>
          <w:i w:val="false"/>
          <w:color w:val="000000"/>
          <w:sz w:val="22"/>
        </w:rPr>
        <w:t>means each department statement of general applicability that implements, interprets, or prescribes law or policy, or that describes the procedure or practice requirements of the division. The term includes the amendment or repeal of existing rules as specified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means the brief review of a patient’s or potential patient’s current risk factors for an addictive disorder or medical or mental health condition to determine if they indicate a need for immediate admission or referral. Screening is not an assessment and is not sufficient to develop a treatment plan, rule out an addictive disorder, or determine that admission to treatment or referral to other services is not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medication” </w:t>
      </w:r>
      <w:r>
        <w:rPr>
          <w:rFonts w:ascii="Times New Roman" w:hAnsi="Times New Roman"/>
          <w:b w:val="false"/>
          <w:i w:val="false"/>
          <w:color w:val="000000"/>
          <w:sz w:val="22"/>
        </w:rPr>
        <w:t>means the process whereby a properly trained and qualified staff person observes a patient take medication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 </w:t>
      </w:r>
      <w:r>
        <w:rPr>
          <w:rFonts w:ascii="Times New Roman" w:hAnsi="Times New Roman"/>
          <w:b w:val="false"/>
          <w:i w:val="false"/>
          <w:color w:val="000000"/>
          <w:sz w:val="22"/>
        </w:rPr>
        <w:t>means the term used to indicate a mandatory statement, the only acceptable method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“Should” </w:t>
      </w:r>
      <w:r>
        <w:rPr>
          <w:rFonts w:ascii="Times New Roman" w:hAnsi="Times New Roman"/>
          <w:b w:val="false"/>
          <w:i w:val="false"/>
          <w:color w:val="000000"/>
          <w:sz w:val="22"/>
        </w:rPr>
        <w:t>means the term used in the interpretation of a standard to reflect the commonly accepted method, but allowing for the use of effective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means any individual who conducts an activity on behalf of a program as an employee, agent, consultant, contractor, volunteer or other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“Standards category” </w:t>
      </w:r>
      <w:r>
        <w:rPr>
          <w:rFonts w:ascii="Times New Roman" w:hAnsi="Times New Roman"/>
          <w:b w:val="false"/>
          <w:i w:val="false"/>
          <w:color w:val="000000"/>
          <w:sz w:val="22"/>
        </w:rPr>
        <w:t>means the grouping of standards, such as clinical, administrative or programming, in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“Subacute” </w:t>
      </w:r>
      <w:r>
        <w:rPr>
          <w:rFonts w:ascii="Times New Roman" w:hAnsi="Times New Roman"/>
          <w:b w:val="false"/>
          <w:i w:val="false"/>
          <w:color w:val="000000"/>
          <w:sz w:val="22"/>
        </w:rPr>
        <w:t>means medically monitored inpatient services for individuals who require management, supervision and treatment to reduce immediate risk of danger to self or others or severe disability or complication of an addictive disorder or an addictive disorder and a medical or mental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treatment and rehabilitation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“substance abuse treatment program” </w:t>
      </w:r>
      <w:r>
        <w:rPr>
          <w:rFonts w:ascii="Times New Roman" w:hAnsi="Times New Roman"/>
          <w:b w:val="false"/>
          <w:i w:val="false"/>
          <w:color w:val="000000"/>
          <w:sz w:val="22"/>
        </w:rPr>
        <w:t>means a program required to be licensed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use disorder” </w:t>
      </w:r>
      <w:r>
        <w:rPr>
          <w:rFonts w:ascii="Times New Roman" w:hAnsi="Times New Roman"/>
          <w:b w:val="false"/>
          <w:i w:val="false"/>
          <w:color w:val="000000"/>
          <w:sz w:val="22"/>
        </w:rPr>
        <w:t>means a substance use disorder that results in a functional impairment of sufficient impact and duration to meet diagnostic criteria specified within the most current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 frames” </w:t>
      </w:r>
      <w:r>
        <w:rPr>
          <w:rFonts w:ascii="Times New Roman" w:hAnsi="Times New Roman"/>
          <w:b w:val="false"/>
          <w:i w:val="false"/>
          <w:color w:val="000000"/>
          <w:sz w:val="22"/>
        </w:rPr>
        <w:t>means the periods of time specified throughout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the broad range of planned services to identify and change patterns of behavior that are maladaptive, destructive or injurious to health; or to restore appropriate levels of physical, psychological or social functioning. Such services may include assessment; care coordination; crisis stabilization; detoxification; early intervention; health promotion; individual, group and family counseling; management of care; and medication administration, provided by addictive disorder professionals and a mix of medical, mental health and peer professionals as appropriate to the structure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planning” </w:t>
      </w:r>
      <w:r>
        <w:rPr>
          <w:rFonts w:ascii="Times New Roman" w:hAnsi="Times New Roman"/>
          <w:b w:val="false"/>
          <w:i w:val="false"/>
          <w:color w:val="000000"/>
          <w:sz w:val="22"/>
        </w:rPr>
        <w:t>means the process, based on ongoing assessment, by which a patient and qualified staff identify and rank problems, establish agreed-upon goals, and decide on the treatment services and resources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action by the committee or division that suspends the requirements of a standard on a case-by-case basis in accordance with </w:t>
      </w:r>
      <w:hyperlink r:id="rId25">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In accordance with Iowa Code section </w:t>
      </w:r>
      <w:hyperlink r:id="rId26">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a person shall not maintain or conduct a substance use disorder program without having first obtained a license for the program from the department, and in accordance with Iowa Code section </w:t>
      </w:r>
      <w:hyperlink r:id="rId27">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xml:space="preserve">, a person shall not maintain or conduct a problem gambling treatment program funded by the department unless the person has obtained a license for the program from the department. The provision of treatment to a patient through any electronic means, regardless of the location of the program or facility, shall constitute the practice of treatment in the state of Iowa and shall be subject to regulation in accordance with Iowa Code chapter </w:t>
      </w:r>
      <w:hyperlink r:id="rId2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Iowa Code section </w:t>
      </w:r>
      <w:hyperlink r:id="rId29">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 and these rules. An applicant shall apply for one license only. The department shall award one license only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Program licenses. </w:t>
      </w:r>
      <w:r>
        <w:rPr>
          <w:rFonts w:ascii="Times New Roman" w:hAnsi="Times New Roman"/>
          <w:b w:val="false"/>
          <w:i w:val="false"/>
          <w:color w:val="000000"/>
          <w:sz w:val="22"/>
        </w:rPr>
        <w:t>The department shall offer the following program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assessment and OWI evaluation-only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and problem gambling treatment program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Licensed program services. </w:t>
      </w:r>
      <w:r>
        <w:rPr>
          <w:rFonts w:ascii="Times New Roman" w:hAnsi="Times New Roman"/>
          <w:b w:val="false"/>
          <w:i w:val="false"/>
          <w:color w:val="000000"/>
          <w:sz w:val="22"/>
        </w:rPr>
        <w:t xml:space="preserve">The license will delineate the licensed program service(s) the program is authorized to provide and will specify that each licensed program service is licensed for adults, juveniles, or adults and juveniles. Licensed program services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assessment and OWI evaluation only, provided by a substance use disorder assessment and OWI evaluation-only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Intensive outpatient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Partial/day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Clinically managed medium-intensity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provided by a substance use disorder treatment program, a problem gambling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Medically monitored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Enhanced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Opioid treatment services, provided by a substance use disorder treatment program or a substance use disorder and problem gambling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w:t>
      </w:r>
      <w:r>
        <w:rPr>
          <w:rFonts w:ascii="Times New Roman" w:hAnsi="Times New Roman"/>
          <w:b w:val="false"/>
          <w:i w:val="false"/>
          <w:color w:val="000000"/>
          <w:sz w:val="22"/>
        </w:rPr>
        <w:t> </w:t>
      </w:r>
      <w:r>
        <w:rPr>
          <w:rFonts w:ascii="Times New Roman" w:hAnsi="Times New Roman"/>
          <w:b w:val="false"/>
          <w:i/>
          <w:color w:val="000000"/>
          <w:sz w:val="22"/>
        </w:rPr>
        <w:t xml:space="preserve">Licensing body. </w:t>
      </w:r>
      <w:r>
        <w:rPr>
          <w:rFonts w:ascii="Times New Roman" w:hAnsi="Times New Roman"/>
          <w:b w:val="false"/>
          <w:i w:val="false"/>
          <w:color w:val="000000"/>
          <w:sz w:val="22"/>
        </w:rPr>
        <w:t>The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and approve or deny all license applications, suspensions and revocations;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the department on policies governing the performance of the department in the discharge of any duties imposed on the department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Advise or make recommendations to the board relative to addictive disorder programs 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other duties as assigned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w:t>
      </w:r>
      <w:r>
        <w:rPr>
          <w:rFonts w:ascii="Times New Roman" w:hAnsi="Times New Roman"/>
          <w:b/>
          <w:i w:val="false"/>
          <w:color w:val="000000"/>
          <w:sz w:val="22"/>
        </w:rPr>
        <w:t xml:space="preserve">(125,135) </w:t>
      </w:r>
      <w:r>
        <w:rPr>
          <w:rFonts w:ascii="Times New Roman" w:hAnsi="Times New Roman"/>
          <w:b/>
          <w:i w:val="false"/>
          <w:color w:val="000000"/>
          <w:sz w:val="22"/>
        </w:rPr>
        <w:t xml:space="preserve">Types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155.3(1)</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an initial license for 270 days to a new applicant scoring a minimum rating of 70 percent in each standards category on the licensure weighting report. An initial license shall expire in 270 days and shall not be extended or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155.3(2)</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subsequent to an initial license for one, two, or three years based on the applicant’s rating on the licensure weighting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95 percent or higher in each standards category may qualify for a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95 percent but not less than 90 percent in each standards category may qualify for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achieving a rating of less than 90 percent but not less than 70 percent in each standards category may qualify for a one-year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 for one, two, or three years shall expire on the date noted on the license and shall not be extended but may be renewed upon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155.3(3)</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license under deemed status to an applicant providing required documentation of accreditation by a recognized accreditation body. A deemed-status license shall be effective for the same time frame as that of the accreditation granted by the accreditation body, up to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641—155.4</w:t>
      </w:r>
      <w:r>
        <w:rPr>
          <w:rFonts w:ascii="Times New Roman" w:hAnsi="Times New Roman"/>
          <w:b/>
          <w:i w:val="false"/>
          <w:color w:val="000000"/>
          <w:sz w:val="22"/>
        </w:rPr>
        <w:t xml:space="preserve">(125,135) </w:t>
      </w:r>
      <w:r>
        <w:rPr>
          <w:rFonts w:ascii="Times New Roman" w:hAnsi="Times New Roman"/>
          <w:b/>
          <w:i w:val="false"/>
          <w:color w:val="000000"/>
          <w:sz w:val="22"/>
        </w:rPr>
        <w:t xml:space="preserve">Nonassignability.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A license issued by the department for the operation of a program applies both to the licensee and the facility in which the program is operated. A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A closing program is one which intends to cease providing licensed program services. The licensee shall notify the division 30 days before ceasing service provision. The licensee shall be responsible for the transition of patients to another program and for the preservation of all records. The licensee shall include in its notice to the division its plan to transition patients and locate records. When a program closes, the program’s license is void on the date the program ceases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155.4(3)</w:t>
      </w:r>
      <w:r>
        <w:rPr>
          <w:rFonts w:ascii="Times New Roman" w:hAnsi="Times New Roman"/>
          <w:b w:val="false"/>
          <w:i w:val="false"/>
          <w:color w:val="000000"/>
          <w:sz w:val="22"/>
        </w:rPr>
        <w:t> </w:t>
      </w:r>
      <w:r>
        <w:rPr>
          <w:rFonts w:ascii="Times New Roman" w:hAnsi="Times New Roman"/>
          <w:b w:val="false"/>
          <w:i w:val="false"/>
          <w:color w:val="000000"/>
          <w:sz w:val="22"/>
        </w:rPr>
        <w:t>A closed program is one which has ceased providing licensed program services. The licensee shall notify the division immediately of ceased service provision. The licensee shall be responsible for the transition of patients to another program and for the preservation of all records. The licensee shall include in its notice to the division its plan to transition patients and locate records. When a program is closed, the program’s license is void on the date the program ceased providing licensed program services, and the license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155.4(4)</w:t>
      </w:r>
      <w:r>
        <w:rPr>
          <w:rFonts w:ascii="Times New Roman" w:hAnsi="Times New Roman"/>
          <w:b w:val="false"/>
          <w:i w:val="false"/>
          <w:color w:val="000000"/>
          <w:sz w:val="22"/>
        </w:rPr>
        <w:t> </w:t>
      </w:r>
      <w:r>
        <w:rPr>
          <w:rFonts w:ascii="Times New Roman" w:hAnsi="Times New Roman"/>
          <w:b w:val="false"/>
          <w:i w:val="false"/>
          <w:color w:val="000000"/>
          <w:sz w:val="22"/>
        </w:rPr>
        <w:t>A person, facility or legal entity acquiring a licensed, closing or closed program for the purpose of operating a program shall apply for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641—155.5</w:t>
      </w:r>
      <w:r>
        <w:rPr>
          <w:rFonts w:ascii="Times New Roman" w:hAnsi="Times New Roman"/>
          <w:b/>
          <w:i w:val="false"/>
          <w:color w:val="000000"/>
          <w:sz w:val="22"/>
        </w:rPr>
        <w:t xml:space="preserve">(125,135)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division shall provide license application forms on the department’s website and at its office. An applicant shall submit application materials to the division. The division will proceed with inspection of the applicant upon receipt of a complete application. To be complete, an application must include all required materials and be responsive to all licensure standards,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Application information. </w:t>
      </w:r>
      <w:r>
        <w:rPr>
          <w:rFonts w:ascii="Times New Roman" w:hAnsi="Times New Roman"/>
          <w:b w:val="false"/>
          <w:i w:val="false"/>
          <w:color w:val="000000"/>
          <w:sz w:val="22"/>
        </w:rPr>
        <w:t>An applicant shall submit application materials on the forms provided and in the required format. Application materials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 and, if the applicant is part of a larger organization, the name and address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applicant’s executive director and, if the applicant is part of a larger organization, the name and address of the executive director of the larger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names, titles, dates of employment, education, and years of current job-related experience of the applicant’s staff; and the table of organization. If the applicant is part of a larger organization or has multiple organizational components and physical facilities, the relationships between the larger organization, organizational components and physical facilities must be shown on the table of organization, with the applicant and applicant’s staff positions clearly delineated.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members of the applicant’s governing body, sponsors, and advisory boards; and the current articles of incorporation and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individuals, facilities, organizations, and legal entities with which the applicant has a contractual or affiliation agreement pertaining to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program services to be provided by the applicant and a calendar showing program services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physical facility, copies of reports substantiating compliance with federal, state and local laws, rules and regulations, to include appropriate Iowa department of inspections and appeals rules, state fire marshal rules and fire ordinances, and local health, fire, occupancy,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for programs admitting juveniles as described under Iowa Code section </w:t>
      </w:r>
      <w:hyperlink r:id="rId30">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Fiscal management information, to include a recent audit or opinion of auditor and program board minutes to reflect approval of the program’s budget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Insurance coverage related to professional and general liability, building, workers’ compensation, and fidelity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address of each physical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written policies and procedures manual that covers all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An applicant seeking to be licensed subsequent to a 270-day initial license or a licensee seeking to renew a one-, two-, or three-year license or to significantly change a currently licensed program shall submit an application at least 90 days before expiration of the current license or before the program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License under deemed status. </w:t>
      </w:r>
      <w:r>
        <w:rPr>
          <w:rFonts w:ascii="Times New Roman" w:hAnsi="Times New Roman"/>
          <w:b w:val="false"/>
          <w:i w:val="false"/>
          <w:color w:val="000000"/>
          <w:sz w:val="22"/>
        </w:rPr>
        <w:t>An organization seeking to be licensed under deemed status shall submit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641—155.6</w:t>
      </w:r>
      <w:r>
        <w:rPr>
          <w:rFonts w:ascii="Times New Roman" w:hAnsi="Times New Roman"/>
          <w:b/>
          <w:i w:val="false"/>
          <w:color w:val="000000"/>
          <w:sz w:val="22"/>
        </w:rPr>
        <w:t xml:space="preserve">(125,135) </w:t>
      </w:r>
      <w:r>
        <w:rPr>
          <w:rFonts w:ascii="Times New Roman" w:hAnsi="Times New Roman"/>
          <w:b/>
          <w:i w:val="false"/>
          <w:color w:val="000000"/>
          <w:sz w:val="22"/>
        </w:rPr>
        <w:t xml:space="preserve">Technical assistance. </w:t>
      </w:r>
      <w:r>
        <w:rPr>
          <w:rFonts w:ascii="Times New Roman" w:hAnsi="Times New Roman"/>
          <w:b w:val="false"/>
          <w:i w:val="false"/>
          <w:color w:val="000000"/>
          <w:sz w:val="22"/>
        </w:rPr>
        <w:t>The division may provide technical assistance to an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155.6(1)</w:t>
      </w:r>
      <w:r>
        <w:rPr>
          <w:rFonts w:ascii="Times New Roman" w:hAnsi="Times New Roman"/>
          <w:b w:val="false"/>
          <w:i w:val="false"/>
          <w:color w:val="000000"/>
          <w:sz w:val="22"/>
        </w:rPr>
        <w:t> </w:t>
      </w:r>
      <w:r>
        <w:rPr>
          <w:rFonts w:ascii="Times New Roman" w:hAnsi="Times New Roman"/>
          <w:b w:val="false"/>
          <w:i w:val="false"/>
          <w:color w:val="000000"/>
          <w:sz w:val="22"/>
        </w:rPr>
        <w:t>An applicant may request technical assistance regarding these rules and the licensure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155.6(2)</w:t>
      </w:r>
      <w:r>
        <w:rPr>
          <w:rFonts w:ascii="Times New Roman" w:hAnsi="Times New Roman"/>
          <w:b w:val="false"/>
          <w:i w:val="false"/>
          <w:color w:val="000000"/>
          <w:sz w:val="22"/>
        </w:rPr>
        <w:t> </w:t>
      </w:r>
      <w:r>
        <w:rPr>
          <w:rFonts w:ascii="Times New Roman" w:hAnsi="Times New Roman"/>
          <w:b w:val="false"/>
          <w:i w:val="false"/>
          <w:color w:val="000000"/>
          <w:sz w:val="22"/>
        </w:rPr>
        <w:t>A licensee may request technical assistance regarding these rules and the licensure process or to bring areas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155.6(3)</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 licensee to receive technical assistance to bring areas of noncompliance with these rules into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641—155.7</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of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155.7(1)</w:t>
      </w:r>
      <w:r>
        <w:rPr>
          <w:rFonts w:ascii="Times New Roman" w:hAnsi="Times New Roman"/>
          <w:b w:val="false"/>
          <w:i w:val="false"/>
          <w:color w:val="000000"/>
          <w:sz w:val="22"/>
        </w:rPr>
        <w:t> </w:t>
      </w:r>
      <w:r>
        <w:rPr>
          <w:rFonts w:ascii="Times New Roman" w:hAnsi="Times New Roman"/>
          <w:b w:val="false"/>
          <w:i/>
          <w:color w:val="000000"/>
          <w:sz w:val="22"/>
        </w:rPr>
        <w:t xml:space="preserve">Inspection of applicants. </w:t>
      </w:r>
      <w:r>
        <w:rPr>
          <w:rFonts w:ascii="Times New Roman" w:hAnsi="Times New Roman"/>
          <w:b w:val="false"/>
          <w:i w:val="false"/>
          <w:color w:val="000000"/>
          <w:sz w:val="22"/>
        </w:rPr>
        <w:t>The division shall inspect each applicant. Inspection shall include review of the complete application and may include, but may not be limited to, review of patient records, review of applicant data reporting, and interviews with staff and patients. Inspection shall include on-site inspection unless specifically waived as allowed under these rules. The division will send the applicant a report of inspection findings within 30 business days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155.7(2)</w:t>
      </w:r>
      <w:r>
        <w:rPr>
          <w:rFonts w:ascii="Times New Roman" w:hAnsi="Times New Roman"/>
          <w:b w:val="false"/>
          <w:i w:val="false"/>
          <w:color w:val="000000"/>
          <w:sz w:val="22"/>
        </w:rPr>
        <w:t> </w:t>
      </w:r>
      <w:r>
        <w:rPr>
          <w:rFonts w:ascii="Times New Roman" w:hAnsi="Times New Roman"/>
          <w:b w:val="false"/>
          <w:i/>
          <w:color w:val="000000"/>
          <w:sz w:val="22"/>
        </w:rPr>
        <w:t xml:space="preserve">On-site inspection. </w:t>
      </w:r>
      <w:r>
        <w:rPr>
          <w:rFonts w:ascii="Times New Roman" w:hAnsi="Times New Roman"/>
          <w:b w:val="false"/>
          <w:i w:val="false"/>
          <w:color w:val="000000"/>
          <w:sz w:val="22"/>
        </w:rPr>
        <w:t>The division will schedule an on-site inspection of an applicant within 60 business days of receipt of the applicant’s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may waive on-site inspection of an applicant that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applying to renew a license when the applicant’s licensed program services are limited to substance use disorder assessment and OWI evaluation services only, outpatient treatment, or intensive outpatient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applying for a license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be required to provide advance notice of the on-site inspection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consist of designated employees or agents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on-site inspection team will inspect the applicant to verify application information and determine compliance with all laws,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641—155.8</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License—approval. </w:t>
      </w:r>
      <w:r>
        <w:rPr>
          <w:rFonts w:ascii="Times New Roman" w:hAnsi="Times New Roman"/>
          <w:b w:val="false"/>
          <w:i w:val="false"/>
          <w:color w:val="000000"/>
          <w:sz w:val="22"/>
        </w:rPr>
        <w:t>The department shall issue a license upon approval of an application for a license by the committee. The license shall become effective on the date approved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155.8(1)</w:t>
      </w:r>
      <w:r>
        <w:rPr>
          <w:rFonts w:ascii="Times New Roman" w:hAnsi="Times New Roman"/>
          <w:b w:val="false"/>
          <w:i w:val="false"/>
          <w:color w:val="000000"/>
          <w:sz w:val="22"/>
        </w:rPr>
        <w:t> </w:t>
      </w:r>
      <w:r>
        <w:rPr>
          <w:rFonts w:ascii="Times New Roman" w:hAnsi="Times New Roman"/>
          <w:b w:val="false"/>
          <w:i/>
          <w:color w:val="000000"/>
          <w:sz w:val="22"/>
        </w:rPr>
        <w:t xml:space="preserve">Committee meeting preparation. </w:t>
      </w:r>
      <w:r>
        <w:rPr>
          <w:rFonts w:ascii="Times New Roman" w:hAnsi="Times New Roman"/>
          <w:b w:val="false"/>
          <w:i w:val="false"/>
          <w:color w:val="000000"/>
          <w:sz w:val="22"/>
        </w:rPr>
        <w:t xml:space="preserve">The division shall prepare an inspection findings report with a license recommendation for presentation at a committee meeting held within 60 business days from the date of the inspection findings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will provide public notice of committee meetings in accordance with Iowa Code section </w:t>
      </w:r>
      <w:hyperlink r:id="rId31">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provide committee members with the inspection findings report and license recommendation for each application to be acted upon at each committee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155.8(2)</w:t>
      </w:r>
      <w:r>
        <w:rPr>
          <w:rFonts w:ascii="Times New Roman" w:hAnsi="Times New Roman"/>
          <w:b w:val="false"/>
          <w:i w:val="false"/>
          <w:color w:val="000000"/>
          <w:sz w:val="22"/>
        </w:rPr>
        <w:t> </w:t>
      </w:r>
      <w:r>
        <w:rPr>
          <w:rFonts w:ascii="Times New Roman" w:hAnsi="Times New Roman"/>
          <w:b w:val="false"/>
          <w:i/>
          <w:color w:val="000000"/>
          <w:sz w:val="22"/>
        </w:rPr>
        <w:t xml:space="preserve">Committee meeting format.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or chairperson’s designee shall call the meeting to order at the designated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Division staff will review each application, inspection findings report, and license recommendation, as directed by the chairperson or the chairperson’s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or the chairperson’s designee may give the applicant and the public the opportunity to provide comment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any applicant and public comments are heard, the committee will make a decision to approve or initially deny the application for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641—155.9</w:t>
      </w:r>
      <w:r>
        <w:rPr>
          <w:rFonts w:ascii="Times New Roman" w:hAnsi="Times New Roman"/>
          <w:b/>
          <w:i w:val="false"/>
          <w:color w:val="000000"/>
          <w:sz w:val="22"/>
        </w:rPr>
        <w:t xml:space="preserve">(125,135) </w:t>
      </w:r>
      <w:r>
        <w:rPr>
          <w:rFonts w:ascii="Times New Roman" w:hAnsi="Times New Roman"/>
          <w:b/>
          <w:i w:val="false"/>
          <w:color w:val="000000"/>
          <w:sz w:val="22"/>
        </w:rPr>
        <w:t xml:space="preserve">Written corrective action plan. </w:t>
      </w:r>
      <w:r>
        <w:rPr>
          <w:rFonts w:ascii="Times New Roman" w:hAnsi="Times New Roman"/>
          <w:b w:val="false"/>
          <w:i w:val="false"/>
          <w:color w:val="000000"/>
          <w:sz w:val="22"/>
        </w:rPr>
        <w:t>A program approved for a license shall submit a written corrective action plan to the division within 30 days following the committee meeting to bring any area of noncompliance with these rules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155.9(1)</w:t>
      </w:r>
      <w:r>
        <w:rPr>
          <w:rFonts w:ascii="Times New Roman" w:hAnsi="Times New Roman"/>
          <w:b w:val="false"/>
          <w:i w:val="false"/>
          <w:color w:val="000000"/>
          <w:sz w:val="22"/>
        </w:rPr>
        <w:t> </w:t>
      </w:r>
      <w:r>
        <w:rPr>
          <w:rFonts w:ascii="Times New Roman" w:hAnsi="Times New Roman"/>
          <w:b w:val="false"/>
          <w:i w:val="false"/>
          <w:color w:val="000000"/>
          <w:sz w:val="22"/>
        </w:rPr>
        <w:t>The written corrective action plan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area of noncompliance specified in the inspection findings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corrective measures to be taken by the program for each area of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completion date for each corrective measure.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155.9(2)</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the licensee, including on-site inspection, to review the implemented corrective measures and report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641—155.10</w:t>
      </w:r>
      <w:r>
        <w:rPr>
          <w:rFonts w:ascii="Times New Roman" w:hAnsi="Times New Roman"/>
          <w:b/>
          <w:i w:val="false"/>
          <w:color w:val="000000"/>
          <w:sz w:val="22"/>
        </w:rPr>
        <w:t xml:space="preserve">(125,135) </w:t>
      </w:r>
      <w:r>
        <w:rPr>
          <w:rFonts w:ascii="Times New Roman" w:hAnsi="Times New Roman"/>
          <w:b/>
          <w:i w:val="false"/>
          <w:color w:val="000000"/>
          <w:sz w:val="22"/>
        </w:rPr>
        <w:t xml:space="preserve">Grounds for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155.10(1)</w:t>
      </w:r>
      <w:r>
        <w:rPr>
          <w:rFonts w:ascii="Times New Roman" w:hAnsi="Times New Roman"/>
          <w:b w:val="false"/>
          <w:i w:val="false"/>
          <w:color w:val="000000"/>
          <w:sz w:val="22"/>
        </w:rPr>
        <w:t> </w:t>
      </w:r>
      <w:r>
        <w:rPr>
          <w:rFonts w:ascii="Times New Roman" w:hAnsi="Times New Roman"/>
          <w:b w:val="false"/>
          <w:i w:val="false"/>
          <w:color w:val="000000"/>
          <w:sz w:val="22"/>
        </w:rPr>
        <w:t>The committee may deny an application for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not complete, is not timely or otherwise does not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achieve the minimum licensure weighting report rating required for a 270-day initial license or a one-, two- or three-year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Lack of patients or patient records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following grounds for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fraudulent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Violation by a program or staff of any statute or rule pertaining to programs, including violation of any provision of these rules, or failure to adhere to program policies and procedures adopted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licensure, inspection, health, fire, occupancy, safety, sanitation, zoning, or building codes or regulations required by federal, state or local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or revocation of accreditation by an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Sanction, modification, termination, withdrawal, refused renewal, suspension, revocation, or refused issuance of a federal registration to distribute or dispense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Commission of or permitting, aiding or abetting commission of an unlawful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Conviction of a member of the governing body, a director, administrator, chief executive officer, or other managing staff person of a felony or misdemeanor related to the management, operation or integrity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Conduct or practices determined to be detrimental to the general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Violation of a patient’s confidentiality or willful, substantial, or repeated violation of a patient’s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Defrauding a patient, potential patient, concerned person, visitor, staff or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Inappropriate conduct by staff, including sexual or other harassment or exploitation of a patient, potential patient, concerned person, visitor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Utilization of treatment techniques that endanger the health, safety, or welfare of a patient, potential patient, concerned person, visitor, staff or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Discrimination or retaliation against a patient, potential patient, concerned person, visitor, staff, or member of the public who has submitted a complaint or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Failure to allow an employee or agent of the department access to the program or facility for the purpose of inspection, investigation, or other activity necessary to the performance of the department’s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submit an acceptable written corrective action plan or failure to comply with a corrective action plan issued pursuant to rule </w:t>
      </w:r>
      <w:hyperlink r:id="rId32">
        <w:r>
          <w:rPr>
            <w:rStyle w:val="Hyperlink"/>
            <w:rFonts w:ascii="Times New Roman" w:hAnsi="Times New Roman"/>
            <w:b w:val="false"/>
            <w:i w:val="false"/>
            <w:color w:val="000000"/>
            <w:sz w:val="22"/>
          </w:rPr>
          <w:t>641—155.9</w:t>
        </w:r>
      </w:hyperlink>
      <w:r>
        <w:rPr>
          <w:rFonts w:ascii="Times New Roman" w:hAnsi="Times New Roman"/>
          <w:b w:val="false"/>
          <w:i w:val="false"/>
          <w:color w:val="000000"/>
          <w:sz w:val="22"/>
        </w:rPr>
        <w:t xml:space="preserve">(125,135) or </w:t>
      </w:r>
      <w:hyperlink r:id="rId33">
        <w:r>
          <w:rPr>
            <w:rStyle w:val="Hyperlink"/>
            <w:rFonts w:ascii="Times New Roman" w:hAnsi="Times New Roman"/>
            <w:b w:val="false"/>
            <w:i w:val="false"/>
            <w:color w:val="000000"/>
            <w:sz w:val="22"/>
          </w:rPr>
          <w:t>641—155.16</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Violation of an order of the committee or violating the terms or conditions of a consent agreement or informal settlement between a program and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641—155.11</w:t>
      </w:r>
      <w:r>
        <w:rPr>
          <w:rFonts w:ascii="Times New Roman" w:hAnsi="Times New Roman"/>
          <w:b/>
          <w:i w:val="false"/>
          <w:color w:val="000000"/>
          <w:sz w:val="22"/>
        </w:rPr>
        <w:t xml:space="preserve">(125,135) </w:t>
      </w:r>
      <w:r>
        <w:rPr>
          <w:rFonts w:ascii="Times New Roman" w:hAnsi="Times New Roman"/>
          <w:b/>
          <w:i w:val="false"/>
          <w:color w:val="000000"/>
          <w:sz w:val="22"/>
        </w:rPr>
        <w:t xml:space="preserve">Denial, suspension or revocation of a license. </w:t>
      </w:r>
      <w:r>
        <w:rPr>
          <w:rFonts w:ascii="Times New Roman" w:hAnsi="Times New Roman"/>
          <w:b w:val="false"/>
          <w:i w:val="false"/>
          <w:color w:val="000000"/>
          <w:sz w:val="22"/>
        </w:rPr>
        <w:t xml:space="preserve">The committee may deny an application for a license. The committee may suspend or revoke a license for any of the grounds for discipline pursuant to paragraph </w:t>
      </w:r>
      <w:hyperlink r:id="rId34">
        <w:r>
          <w:rPr>
            <w:rStyle w:val="Hyperlink"/>
            <w:rFonts w:ascii="Times New Roman" w:hAnsi="Times New Roman"/>
            <w:b w:val="false"/>
            <w:i w:val="false"/>
            <w:color w:val="000000"/>
            <w:sz w:val="22"/>
          </w:rPr>
          <w:t>155.10(1)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155.11(1)</w:t>
      </w:r>
      <w:r>
        <w:rPr>
          <w:rFonts w:ascii="Times New Roman" w:hAnsi="Times New Roman"/>
          <w:b w:val="false"/>
          <w:i w:val="false"/>
          <w:color w:val="000000"/>
          <w:sz w:val="22"/>
        </w:rPr>
        <w:t> </w:t>
      </w:r>
      <w:r>
        <w:rPr>
          <w:rFonts w:ascii="Times New Roman" w:hAnsi="Times New Roman"/>
          <w:b w:val="false"/>
          <w:i/>
          <w:color w:val="000000"/>
          <w:sz w:val="22"/>
        </w:rPr>
        <w:t xml:space="preserve">Initial notice from committee. </w:t>
      </w:r>
      <w:r>
        <w:rPr>
          <w:rFonts w:ascii="Times New Roman" w:hAnsi="Times New Roman"/>
          <w:b w:val="false"/>
          <w:i w:val="false"/>
          <w:color w:val="000000"/>
          <w:sz w:val="22"/>
        </w:rPr>
        <w:t>When the committee determines to deny, suspend or revoke a one-, two-, or three-year license or a license under deemed status, the division shall notify the applicant or licensee by certified mail, return receipt requested. Such notice shall provide the applicant or licensee the opportunity to submit a written corrective action plan or written objections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corrective action plan or objections. </w:t>
      </w:r>
      <w:r>
        <w:rPr>
          <w:rFonts w:ascii="Times New Roman" w:hAnsi="Times New Roman"/>
          <w:b w:val="false"/>
          <w:i w:val="false"/>
          <w:color w:val="000000"/>
          <w:sz w:val="22"/>
        </w:rPr>
        <w:t>An applicant notified of denial of a one-, two-, or three-year license or a license under deemed status or a licensee notified of suspension or revocation of a license may submit a written corrective action plan or written objections to the division within 20 days after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 xml:space="preserve">The written corrective action plan must meet the requirements of paragraphs </w:t>
      </w:r>
      <w:hyperlink r:id="rId35">
        <w:r>
          <w:rPr>
            <w:rStyle w:val="Hyperlink"/>
            <w:rFonts w:ascii="Times New Roman" w:hAnsi="Times New Roman"/>
            <w:b w:val="false"/>
            <w:i w:val="false"/>
            <w:color w:val="000000"/>
            <w:sz w:val="22"/>
          </w:rPr>
          <w:t>155.9(1)</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hyperlink>
      <w:r>
        <w:rPr>
          <w:rFonts w:ascii="Times New Roman" w:hAnsi="Times New Roman"/>
          <w:b w:val="false"/>
          <w:i w:val="false"/>
          <w:color w:val="000000"/>
          <w:sz w:val="22"/>
        </w:rPr>
        <w:t xml:space="preserve"> If the applicant or licensee submits a written corrective action plan, the applicant or licensee shall have 90 days from the date of submission within which to show compliance with the plan. The applicant or licensee shall submit any information to the committee that the committee requests or that the applicant or licensee deems pertinent to show compliance with the plan. The department may inspect the licensee, including on-site inspection, to review the implemented corrective measures and report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Objections. </w:t>
      </w:r>
      <w:r>
        <w:rPr>
          <w:rFonts w:ascii="Times New Roman" w:hAnsi="Times New Roman"/>
          <w:b w:val="false"/>
          <w:i w:val="false"/>
          <w:color w:val="000000"/>
          <w:sz w:val="22"/>
        </w:rPr>
        <w:t>If the applicant or licensee submits written objections, the applicant or licensee shall submit to the committee any information that the committee or the applicant or licensee deems pertinent to support the applicant’s or licensee’s defense.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155.11(3)</w:t>
      </w:r>
      <w:r>
        <w:rPr>
          <w:rFonts w:ascii="Times New Roman" w:hAnsi="Times New Roman"/>
          <w:b w:val="false"/>
          <w:i w:val="false"/>
          <w:color w:val="000000"/>
          <w:sz w:val="22"/>
        </w:rPr>
        <w:t> </w:t>
      </w:r>
      <w:r>
        <w:rPr>
          <w:rFonts w:ascii="Times New Roman" w:hAnsi="Times New Roman"/>
          <w:b w:val="false"/>
          <w:i/>
          <w:color w:val="000000"/>
          <w:sz w:val="22"/>
        </w:rPr>
        <w:t xml:space="preserve">Decision of committee. </w:t>
      </w:r>
      <w:r>
        <w:rPr>
          <w:rFonts w:ascii="Times New Roman" w:hAnsi="Times New Roman"/>
          <w:b w:val="false"/>
          <w:i w:val="false"/>
          <w:color w:val="000000"/>
          <w:sz w:val="22"/>
        </w:rPr>
        <w:t>Following receipt of a written corrective action plan and expiration of the 90-day compliance period, or following receipt of written objections, or when a written corrective action plan or written objections have not been received within the 20-day time period, the committee may meet to determine whether to proceed with the denial, suspension or revocation. The division shall send notice of this meeting to the applicant or licensee by certified mail, return receipt requested, ten days prior to the committee meeting, notifying the program director and the program board chairperson of the time, place and date of the committee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155.11(4)</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and opportunity for 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committee determines to deny, suspend, or revoke a license, the applicant or licensee shall be given written notice by restricted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may request a hearing on the determination. The request must be in writing and sent by certified mail, return receipt requested, to the department’s address within 30 days of the notice issued by the division. Failure to request a hearing will result in final action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155.11(5)</w:t>
      </w:r>
      <w:r>
        <w:rPr>
          <w:rFonts w:ascii="Times New Roman" w:hAnsi="Times New Roman"/>
          <w:b w:val="false"/>
          <w:i w:val="false"/>
          <w:color w:val="000000"/>
          <w:sz w:val="22"/>
        </w:rPr>
        <w:t> </w:t>
      </w:r>
      <w:r>
        <w:rPr>
          <w:rFonts w:ascii="Times New Roman" w:hAnsi="Times New Roman"/>
          <w:b w:val="false"/>
          <w:i/>
          <w:color w:val="000000"/>
          <w:sz w:val="22"/>
        </w:rPr>
        <w:t xml:space="preserve">Summary suspension. </w:t>
      </w:r>
      <w:r>
        <w:rPr>
          <w:rFonts w:ascii="Times New Roman" w:hAnsi="Times New Roman"/>
          <w:b w:val="false"/>
          <w:i w:val="false"/>
          <w:color w:val="000000"/>
          <w:sz w:val="22"/>
        </w:rPr>
        <w:t xml:space="preserve">If the committee or department finds that the health, safety or welfare of the public is endangered by continued operation of a program, the committee or department may order summary suspension of a license, pursuant to Iowa Code sections </w:t>
      </w:r>
      <w:hyperlink r:id="rId3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xml:space="preserve">, pending proceedings for revocation or other actions in accordance with Iowa Code sections </w:t>
      </w:r>
      <w:hyperlink r:id="rId38">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125.15A</w:t>
        </w:r>
      </w:hyperlink>
      <w:r>
        <w:rPr>
          <w:rFonts w:ascii="Times New Roman" w:hAnsi="Times New Roman"/>
          <w:b w:val="false"/>
          <w:i w:val="false"/>
          <w:color w:val="000000"/>
          <w:sz w:val="22"/>
        </w:rPr>
        <w:t>. These proceedings shall be promptly instituted and determined.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641—155.12</w:t>
      </w:r>
      <w:r>
        <w:rPr>
          <w:rFonts w:ascii="Times New Roman" w:hAnsi="Times New Roman"/>
          <w:b/>
          <w:i w:val="false"/>
          <w:color w:val="000000"/>
          <w:sz w:val="22"/>
        </w:rPr>
        <w:t xml:space="preserve">(125,135) </w:t>
      </w:r>
      <w:r>
        <w:rPr>
          <w:rFonts w:ascii="Times New Roman" w:hAnsi="Times New Roman"/>
          <w:b/>
          <w:i w:val="false"/>
          <w:color w:val="000000"/>
          <w:sz w:val="22"/>
        </w:rPr>
        <w:t xml:space="preserve">Contested case hearing. </w:t>
      </w:r>
      <w:r>
        <w:rPr>
          <w:rFonts w:ascii="Times New Roman" w:hAnsi="Times New Roman"/>
          <w:b w:val="false"/>
          <w:i w:val="false"/>
          <w:color w:val="000000"/>
          <w:sz w:val="22"/>
        </w:rPr>
        <w:t>An applicant or licensee may contest the denial, suspension or revocation of a license by requesting a hearing before an administrative law judge from the department of inspections and appeals. The applicant or licensee will be notified by certified mail, return receipt requested, of the date of the hearing, no less than 30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155.12(1)</w:t>
      </w:r>
      <w:r>
        <w:rPr>
          <w:rFonts w:ascii="Times New Roman" w:hAnsi="Times New Roman"/>
          <w:b w:val="false"/>
          <w:i w:val="false"/>
          <w:color w:val="000000"/>
          <w:sz w:val="22"/>
        </w:rPr>
        <w:t> </w:t>
      </w:r>
      <w:r>
        <w:rPr>
          <w:rFonts w:ascii="Times New Roman" w:hAnsi="Times New Roman"/>
          <w:b w:val="false"/>
          <w:i/>
          <w:color w:val="000000"/>
          <w:sz w:val="22"/>
        </w:rPr>
        <w:t xml:space="preserve">Failure to appear. </w:t>
      </w:r>
      <w:r>
        <w:rPr>
          <w:rFonts w:ascii="Times New Roman" w:hAnsi="Times New Roman"/>
          <w:b w:val="false"/>
          <w:i w:val="false"/>
          <w:color w:val="000000"/>
          <w:sz w:val="22"/>
        </w:rPr>
        <w:t>If a party fails to appear in a contested case hearing proceeding after proper service of notice, the administrative law judge shall, in such a case, enter a default judgment against the party failing to appear.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155.12(2)</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Opportunity shall be afforded all parties to respond and present evidence and argument on all issues involved and to be represented by counsel at their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hearing shall be informal, and all relevant evidence shall be admissible. Effect will be given to the rules of privilege recognized by law. Objections to evidentiary offers may be made and shall be noted in the record. When the hearing will be expedited and the interests of the parties will not be prejudiced substantially, any part of the evidence may be required to be submitted in verified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Documentary evidence may be received in the form of copies or excerpts if the original is not readily available. Upon request,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Witnesses present at the hearing shall be subject to cross-examination by any party as necessary for a full and true disclosure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intermediate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administrative law judge presiding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open to the public and shall be recorded either by mechanized means or by certified shorthand reporters. Oral proceedings or any part thereof shall be transcribed at the request of any party with the expense of the transcription charged to the requesting party. The recording or stenographic notes of oral proceedings or the transcription thereof shall be filed with and maintained by the agency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Findings of fact shall be based solely on the evidence in the record and on matters officially noticed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155.12(3)</w:t>
      </w:r>
      <w:r>
        <w:rPr>
          <w:rFonts w:ascii="Times New Roman" w:hAnsi="Times New Roman"/>
          <w:b w:val="false"/>
          <w:i w:val="false"/>
          <w:color w:val="000000"/>
          <w:sz w:val="22"/>
        </w:rPr>
        <w:t> </w:t>
      </w:r>
      <w:r>
        <w:rPr>
          <w:rFonts w:ascii="Times New Roman" w:hAnsi="Times New Roman"/>
          <w:b w:val="false"/>
          <w:i/>
          <w:color w:val="000000"/>
          <w:sz w:val="22"/>
        </w:rPr>
        <w:t xml:space="preserve">Continuance. </w:t>
      </w:r>
      <w:r>
        <w:rPr>
          <w:rFonts w:ascii="Times New Roman" w:hAnsi="Times New Roman"/>
          <w:b w:val="false"/>
          <w:i w:val="false"/>
          <w:color w:val="000000"/>
          <w:sz w:val="22"/>
        </w:rPr>
        <w:t>For good cause, the administrative law judge may continue hearings beyond the time originally scheduled or recessed. Requests for continuance shall be made to the administrative law judge in writing at least three days prior to the scheduled hearing date. Continuances will not be granted less than three days before the hearing except in exigent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Findings of fact shall be based solely on the evidence in the record and upon matters officially noticed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decision of the administrative law judge shall be the final decision unless there is an appeal to the board within 20 days of the receipt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proposed or final decision or order in a contested case hearing shall be in writing. A proposed or final decision shall include findings of fact and conclusions of law, separately stated. Parties will be promptly notified of each proposed or final decision or order by the delivery to them of a copy of such decision or order by certified mail, return receipt requested. In the case of a proposed decision, parties shall be notified of the right to appeal the decision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155.12(5)</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that the board review the proposed decision. The request shall be in writing and mailed within 20 days of receipt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have an opportunity to submit briefs to the board. The board will review the record and any briefs. No new evidence shall be admitted unless requested and allowed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Oral presentation will be made to the board at a time set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issue its decision in writing within 30 days after conclusion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641—155.13</w:t>
      </w:r>
      <w:r>
        <w:rPr>
          <w:rFonts w:ascii="Times New Roman" w:hAnsi="Times New Roman"/>
          <w:b/>
          <w:i w:val="false"/>
          <w:color w:val="000000"/>
          <w:sz w:val="22"/>
        </w:rPr>
        <w:t xml:space="preserve">(125,135) </w:t>
      </w:r>
      <w:r>
        <w:rPr>
          <w:rFonts w:ascii="Times New Roman" w:hAnsi="Times New Roman"/>
          <w:b/>
          <w:i w:val="false"/>
          <w:color w:val="000000"/>
          <w:sz w:val="22"/>
        </w:rPr>
        <w:t xml:space="preserve">Rehearing application. </w:t>
      </w:r>
      <w:r>
        <w:rPr>
          <w:rFonts w:ascii="Times New Roman" w:hAnsi="Times New Roman"/>
          <w:b w:val="false"/>
          <w:i w:val="false"/>
          <w:color w:val="000000"/>
          <w:sz w:val="22"/>
        </w:rPr>
        <w:t>Any party may file an application for rehearing, stating the specific grounds therefor and the relief sought, within 20 days after the issuance of any final decision by the board in a contested case. A copy of such application for rehearing shall be timely mailed by the applicant to all parties of record not joining therein. Such an application for rehearing shall be deemed to have been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641—155.14</w:t>
      </w:r>
      <w:r>
        <w:rPr>
          <w:rFonts w:ascii="Times New Roman" w:hAnsi="Times New Roman"/>
          <w:b/>
          <w:i w:val="false"/>
          <w:color w:val="000000"/>
          <w:sz w:val="22"/>
        </w:rPr>
        <w:t xml:space="preserve">(125,135)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An applicant or licensee that is aggrieved or adversely affected by the board’s final decision and that has exhausted all adequate administrative remedies may seek judicial review of the board’s decision pursuant to and in accordance with Iowa Code section </w:t>
      </w:r>
      <w:hyperlink r:id="rId4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641—155.15</w:t>
      </w:r>
      <w:r>
        <w:rPr>
          <w:rFonts w:ascii="Times New Roman" w:hAnsi="Times New Roman"/>
          <w:b/>
          <w:i w:val="false"/>
          <w:color w:val="000000"/>
          <w:sz w:val="22"/>
        </w:rPr>
        <w:t xml:space="preserve">(125,135) </w:t>
      </w:r>
      <w:r>
        <w:rPr>
          <w:rFonts w:ascii="Times New Roman" w:hAnsi="Times New Roman"/>
          <w:b/>
          <w:i w:val="false"/>
          <w:color w:val="000000"/>
          <w:sz w:val="22"/>
        </w:rPr>
        <w:t xml:space="preserve">Issuance of a license after denial, suspension or revocation. </w:t>
      </w:r>
      <w:r>
        <w:rPr>
          <w:rFonts w:ascii="Times New Roman" w:hAnsi="Times New Roman"/>
          <w:b w:val="false"/>
          <w:i w:val="false"/>
          <w:color w:val="000000"/>
          <w:sz w:val="22"/>
        </w:rPr>
        <w:t>After denial, suspension, or revocation of a license, the former applicant or licensee shall not have a license issued within one year of the effective date of the denial, suspension or revocation. After one year, the former applicant or licensee may submit an application for a 270-day initial license. For purposes of this rule, “former applicant or licensee” shall include any director, officer, administrator, chief executive officer, or other managing staff of the former applicant or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641—155.16</w:t>
      </w:r>
      <w:r>
        <w:rPr>
          <w:rFonts w:ascii="Times New Roman" w:hAnsi="Times New Roman"/>
          <w:b/>
          <w:i w:val="false"/>
          <w:color w:val="000000"/>
          <w:sz w:val="22"/>
        </w:rPr>
        <w:t xml:space="preserve">(125,135)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department against any program licensed pursuant to this chapter. The complaint shall be made in writing and shall be emailed, mailed or delivered to the health facility officer at the Division of Behavioral Health, Iowa Department of Public Health, Lucas State Office Building, 321 East 12th Street, Des Moines, Iowa 50319-0075. The complaint shall include the name and address of the complainant, the name of the program, and a concise statement of the allegations against the program, including the specific alleged violations of Iowa Code chapter </w:t>
      </w:r>
      <w:hyperlink r:id="rId4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or this chapter, if known. A complaint may also be initiated upon the committee’s own motion or by the department when an emergency exists that is deemed to endanger the health, safety or welfare of a patient, potential patient, concerned person, visitor, staff or the public, pursuant to evidence received by the department. Timely filing of complaints is required to ensure the availability of witnesses and to avoid initiation of an investigation under conditions which may have been significantly altered during the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155.16(2)</w:t>
      </w:r>
      <w:r>
        <w:rPr>
          <w:rFonts w:ascii="Times New Roman" w:hAnsi="Times New Roman"/>
          <w:b w:val="false"/>
          <w:i w:val="false"/>
          <w:color w:val="000000"/>
          <w:sz w:val="22"/>
        </w:rPr>
        <w:t> </w:t>
      </w:r>
      <w:r>
        <w:rPr>
          <w:rFonts w:ascii="Times New Roman" w:hAnsi="Times New Roman"/>
          <w:b w:val="false"/>
          <w:i/>
          <w:color w:val="000000"/>
          <w:sz w:val="22"/>
        </w:rPr>
        <w:t xml:space="preserve">Evaluation and investigation. </w:t>
      </w:r>
      <w:r>
        <w:rPr>
          <w:rFonts w:ascii="Times New Roman" w:hAnsi="Times New Roman"/>
          <w:b w:val="false"/>
          <w:i w:val="false"/>
          <w:color w:val="000000"/>
          <w:sz w:val="22"/>
        </w:rPr>
        <w:t>Upon receipt of a complaint, the division shall make a preliminary review of the allegations contained in the complaint. The division may request that the complainant submit the complaint to the program’s grievance process. Unless the division concludes that the complaint is intended solely to harass a program or lacks a reasonable basis, or is more reasonably addressed through the program’s grievance process, the department shall conduct an investigation of the program that is the subject of the complaint as soon as is practicable. The program that is the subject of the complaint shall be given an opportunity to informally respond to the allegations contained in the complaint either in writing or through a personal interview or conference with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155.16(3)</w:t>
      </w:r>
      <w:r>
        <w:rPr>
          <w:rFonts w:ascii="Times New Roman" w:hAnsi="Times New Roman"/>
          <w:b w:val="false"/>
          <w:i w:val="false"/>
          <w:color w:val="000000"/>
          <w:sz w:val="22"/>
        </w:rPr>
        <w:t> </w:t>
      </w:r>
      <w:r>
        <w:rPr>
          <w:rFonts w:ascii="Times New Roman" w:hAnsi="Times New Roman"/>
          <w:b w:val="false"/>
          <w:i/>
          <w:color w:val="000000"/>
          <w:sz w:val="22"/>
        </w:rPr>
        <w:t xml:space="preserve">Investigative report. </w:t>
      </w:r>
      <w:r>
        <w:rPr>
          <w:rFonts w:ascii="Times New Roman" w:hAnsi="Times New Roman"/>
          <w:b w:val="false"/>
          <w:i w:val="false"/>
          <w:color w:val="000000"/>
          <w:sz w:val="22"/>
        </w:rPr>
        <w:t>Within 30 days after completion of the investigation, the division shall prepare a written investigative report and shall submit the report to the executive director of the program, the chairperson of the governing body of the program, and the committee. This report shall include the nature of the complaint and shall indicate if the complaint allegations were substantiated, unsubstantiated, or undetermined; the basis for the finding; the specific statutes or rules at issue; a response from the program, if received; and a recommendation for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155.16(4)</w:t>
      </w:r>
      <w:r>
        <w:rPr>
          <w:rFonts w:ascii="Times New Roman" w:hAnsi="Times New Roman"/>
          <w:b w:val="false"/>
          <w:i w:val="false"/>
          <w:color w:val="000000"/>
          <w:sz w:val="22"/>
        </w:rPr>
        <w:t> </w:t>
      </w:r>
      <w:r>
        <w:rPr>
          <w:rFonts w:ascii="Times New Roman" w:hAnsi="Times New Roman"/>
          <w:b w:val="false"/>
          <w:i/>
          <w:color w:val="000000"/>
          <w:sz w:val="22"/>
        </w:rPr>
        <w:t xml:space="preserve">Review of investigations. </w:t>
      </w:r>
      <w:r>
        <w:rPr>
          <w:rFonts w:ascii="Times New Roman" w:hAnsi="Times New Roman"/>
          <w:b w:val="false"/>
          <w:i w:val="false"/>
          <w:color w:val="000000"/>
          <w:sz w:val="22"/>
        </w:rPr>
        <w:t>The committee shall review the investigative report at its next regularly scheduled meeting and shall determine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If the committee determines that the allegations contained in the complaint are unsubstantiated, the committee shall close the case and the division shall promptly notify the complainant and the program by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for further investigation. </w:t>
      </w:r>
      <w:r>
        <w:rPr>
          <w:rFonts w:ascii="Times New Roman" w:hAnsi="Times New Roman"/>
          <w:b w:val="false"/>
          <w:i w:val="false"/>
          <w:color w:val="000000"/>
          <w:sz w:val="22"/>
        </w:rPr>
        <w:t>If the committee determines that the complaint warrants further investigation, the committee shall refer the complaint to the department for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corrective action plan. </w:t>
      </w:r>
      <w:r>
        <w:rPr>
          <w:rFonts w:ascii="Times New Roman" w:hAnsi="Times New Roman"/>
          <w:b w:val="false"/>
          <w:i w:val="false"/>
          <w:color w:val="000000"/>
          <w:sz w:val="22"/>
        </w:rPr>
        <w:t>If the committee determines that the allegations contained in the complaint are substantiated and corrective action is warranted, the committee may require the program to submit and comply with a written corrective action plan. A program shall submit a written corrective action plan to the division within 20 business days after receiving a request for such plan. The written corrective action plan shall include a plan for correcting areas of noncompliance as required by the committee and a time frame within which such plan shall be implemented. The plan is subject to department approval. Requiring a written corrective action plan is not formal disciplinary action. Failure to submit or comply with a written corrective action plan may result in formal disciplinary action against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 xml:space="preserve">If the committee determines that the allegations contained in the complaint are substantiated and disciplinary action is warranted, the committee may proceed with such action in accordance with rule </w:t>
      </w:r>
      <w:hyperlink r:id="rId42">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(125,135).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155.16(5)</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and public information. </w:t>
      </w:r>
      <w:r>
        <w:rPr>
          <w:rFonts w:ascii="Times New Roman" w:hAnsi="Times New Roman"/>
          <w:b w:val="false"/>
          <w:i w:val="false"/>
          <w:color w:val="000000"/>
          <w:sz w:val="22"/>
        </w:rPr>
        <w:t xml:space="preserve">Information contained in a complaint may be confidential pursuant to Iowa Code section </w:t>
      </w:r>
      <w:hyperlink r:id="rId4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or any other provision of state or federal law. Investigative reports, written corrective action plans, and all notices and orders issued pursuant to rule </w:t>
      </w:r>
      <w:hyperlink r:id="rId46">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refer to patients by number and shall not include patient identifying information. Investigative reports, written corrective action plans, and all notices and orders issued pursuant to rule </w:t>
      </w:r>
      <w:hyperlink r:id="rId47">
        <w:r>
          <w:rPr>
            <w:rStyle w:val="Hyperlink"/>
            <w:rFonts w:ascii="Times New Roman" w:hAnsi="Times New Roman"/>
            <w:b w:val="false"/>
            <w:i w:val="false"/>
            <w:color w:val="000000"/>
            <w:sz w:val="22"/>
          </w:rPr>
          <w:t>641—155.11</w:t>
        </w:r>
      </w:hyperlink>
      <w:r>
        <w:rPr>
          <w:rFonts w:ascii="Times New Roman" w:hAnsi="Times New Roman"/>
          <w:b w:val="false"/>
          <w:i w:val="false"/>
          <w:color w:val="000000"/>
          <w:sz w:val="22"/>
        </w:rPr>
        <w:t xml:space="preserve">(125,135) shall be available to the public as open records pursuant to Iowa Code chapter </w:t>
      </w:r>
      <w:hyperlink r:id="rId4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641—155.17</w:t>
      </w:r>
      <w:r>
        <w:rPr>
          <w:rFonts w:ascii="Times New Roman" w:hAnsi="Times New Roman"/>
          <w:b/>
          <w:i w:val="false"/>
          <w:color w:val="000000"/>
          <w:sz w:val="22"/>
        </w:rPr>
        <w:t xml:space="preserve">(125,135) </w:t>
      </w:r>
      <w:r>
        <w:rPr>
          <w:rFonts w:ascii="Times New Roman" w:hAnsi="Times New Roman"/>
          <w:b/>
          <w:i w:val="false"/>
          <w:color w:val="000000"/>
          <w:sz w:val="22"/>
        </w:rPr>
        <w:t xml:space="preserve">License revision. </w:t>
      </w:r>
      <w:r>
        <w:rPr>
          <w:rFonts w:ascii="Times New Roman" w:hAnsi="Times New Roman"/>
          <w:b w:val="false"/>
          <w:i w:val="false"/>
          <w:color w:val="000000"/>
          <w:sz w:val="22"/>
        </w:rPr>
        <w:t>A licensee shall submit a written request to the division to revise a license at least 30 days prior to any change of address, executive director, clinical oversight staff, facility, or licensed program service. The division will determine if the requested revision can be approved or if the change is significant enough to require the submission of an application for license renewal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641—155.18</w:t>
      </w:r>
      <w:r>
        <w:rPr>
          <w:rFonts w:ascii="Times New Roman" w:hAnsi="Times New Roman"/>
          <w:b/>
          <w:i w:val="false"/>
          <w:color w:val="000000"/>
          <w:sz w:val="22"/>
        </w:rPr>
        <w:t xml:space="preserve">(125,135) </w:t>
      </w:r>
      <w:r>
        <w:rPr>
          <w:rFonts w:ascii="Times New Roman" w:hAnsi="Times New Roman"/>
          <w:b/>
          <w:i w:val="false"/>
          <w:color w:val="000000"/>
          <w:sz w:val="22"/>
        </w:rPr>
        <w:t xml:space="preserve">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155.18(1)</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 xml:space="preserve">The committee shall approve a license under deemed status for an applicant accredited by a recognized national accreditation body when the committee determines that the accreditation is for the same licensed program services as those addressed by these rules and when such accreditation is consistent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submit a copy of the entire accreditation body survey or inspection report, certificate of accreditation, accreditation conditions, and corrective action requirements and plans with the applicant’s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may accept the division’s review of an accreditation body’s survey or inspection report, certificate of accreditation, and conditions or corrective action plans as meeting the requirements for inspection for those licensed program services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under deemed status shall be licensed only for licensed program services that are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be licensed for the same period of time as that for which the program is accredited,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155.18(2)</w:t>
      </w:r>
      <w:r>
        <w:rPr>
          <w:rFonts w:ascii="Times New Roman" w:hAnsi="Times New Roman"/>
          <w:b w:val="false"/>
          <w:i w:val="false"/>
          <w:color w:val="000000"/>
          <w:sz w:val="22"/>
        </w:rPr>
        <w:t> </w:t>
      </w:r>
      <w:r>
        <w:rPr>
          <w:rFonts w:ascii="Times New Roman" w:hAnsi="Times New Roman"/>
          <w:b w:val="false"/>
          <w:i/>
          <w:color w:val="000000"/>
          <w:sz w:val="22"/>
        </w:rPr>
        <w:t xml:space="preserve">National accreditation bodies. </w:t>
      </w:r>
      <w:r>
        <w:rPr>
          <w:rFonts w:ascii="Times New Roman" w:hAnsi="Times New Roman"/>
          <w:b w:val="false"/>
          <w:i w:val="false"/>
          <w:color w:val="000000"/>
          <w:sz w:val="22"/>
        </w:rPr>
        <w:t>The national accreditation bodies recognized for the purposes of licensure under deemed status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Children and Family Services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155.18(3)</w:t>
      </w:r>
      <w:r>
        <w:rPr>
          <w:rFonts w:ascii="Times New Roman" w:hAnsi="Times New Roman"/>
          <w:b w:val="false"/>
          <w:i w:val="false"/>
          <w:color w:val="000000"/>
          <w:sz w:val="22"/>
        </w:rPr>
        <w:t> </w:t>
      </w:r>
      <w:r>
        <w:rPr>
          <w:rFonts w:ascii="Times New Roman" w:hAnsi="Times New Roman"/>
          <w:b w:val="false"/>
          <w:i/>
          <w:color w:val="000000"/>
          <w:sz w:val="22"/>
        </w:rPr>
        <w:t xml:space="preserve">Credentials and expectations of accreditation bodies. </w:t>
      </w:r>
      <w:r>
        <w:rPr>
          <w:rFonts w:ascii="Times New Roman" w:hAnsi="Times New Roman"/>
          <w:b w:val="false"/>
          <w:i w:val="false"/>
          <w:color w:val="000000"/>
          <w:sz w:val="22"/>
        </w:rPr>
        <w:t>The accreditation credentials of an accreditation body shall specify the types of organizations, programs and services the body accredits.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programs licensed under deemed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shall meet all requirements of these rules and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licensed under deemed status may submit an application for licensure of licensed program services covered by these rules that are not covered by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155.18(5)</w:t>
      </w:r>
      <w:r>
        <w:rPr>
          <w:rFonts w:ascii="Times New Roman" w:hAnsi="Times New Roman"/>
          <w:b w:val="false"/>
          <w:i w:val="false"/>
          <w:color w:val="000000"/>
          <w:sz w:val="22"/>
        </w:rPr>
        <w:t> </w:t>
      </w:r>
      <w:r>
        <w:rPr>
          <w:rFonts w:ascii="Times New Roman" w:hAnsi="Times New Roman"/>
          <w:b w:val="false"/>
          <w:i/>
          <w:color w:val="000000"/>
          <w:sz w:val="22"/>
        </w:rPr>
        <w:t xml:space="preserve">Rights and responsibilities of committee and department. </w:t>
      </w:r>
      <w:r>
        <w:rPr>
          <w:rFonts w:ascii="Times New Roman" w:hAnsi="Times New Roman"/>
          <w:b w:val="false"/>
          <w:i w:val="false"/>
          <w:color w:val="000000"/>
          <w:sz w:val="22"/>
        </w:rPr>
        <w:t>The committee and the department shall retain the following responsibilities and rights for deemed status applicants and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investigate complaints in accordance with these rules and recommend and require corrective action or other sanctions. Complaints, findings, and required corrective action may be reported to the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review and act upon a license under deemed status when complaints have been founded, when the national accreditation body identifies noncompliance with accreditation, when accreditation expires without renewal, or when accreditation is sanctioned, modified, terminated, withdrawn,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641—155.19</w:t>
      </w:r>
      <w:r>
        <w:rPr>
          <w:rFonts w:ascii="Times New Roman" w:hAnsi="Times New Roman"/>
          <w:b/>
          <w:i w:val="false"/>
          <w:color w:val="000000"/>
          <w:sz w:val="22"/>
        </w:rPr>
        <w:t xml:space="preserve">(125,135) </w:t>
      </w:r>
      <w:r>
        <w:rPr>
          <w:rFonts w:ascii="Times New Roman" w:hAnsi="Times New Roman"/>
          <w:b/>
          <w:i w:val="false"/>
          <w:color w:val="000000"/>
          <w:sz w:val="22"/>
        </w:rPr>
        <w:t xml:space="preserve">Funding. </w:t>
      </w:r>
      <w:r>
        <w:rPr>
          <w:rFonts w:ascii="Times New Roman" w:hAnsi="Times New Roman"/>
          <w:b w:val="false"/>
          <w:i w:val="false"/>
          <w:color w:val="000000"/>
          <w:sz w:val="22"/>
        </w:rPr>
        <w:t>The issuance of a license shall not be construed as a commitment on the part of either the state or federal government to provide funds to such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641—155.20</w:t>
      </w:r>
      <w:r>
        <w:rPr>
          <w:rFonts w:ascii="Times New Roman" w:hAnsi="Times New Roman"/>
          <w:b/>
          <w:i w:val="false"/>
          <w:color w:val="000000"/>
          <w:sz w:val="22"/>
        </w:rPr>
        <w:t xml:space="preserve">(125,135) </w:t>
      </w:r>
      <w:r>
        <w:rPr>
          <w:rFonts w:ascii="Times New Roman" w:hAnsi="Times New Roman"/>
          <w:b/>
          <w:i w:val="false"/>
          <w:color w:val="000000"/>
          <w:sz w:val="22"/>
        </w:rPr>
        <w:t xml:space="preserve">Inspection. </w:t>
      </w:r>
      <w:r>
        <w:rPr>
          <w:rFonts w:ascii="Times New Roman" w:hAnsi="Times New Roman"/>
          <w:b w:val="false"/>
          <w:i w:val="false"/>
          <w:color w:val="000000"/>
          <w:sz w:val="22"/>
        </w:rPr>
        <w:t>An applicant or licensee agrees as a condition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155.20(1)</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enter into and inspect any and all programs and facilities for which a license has been applied or issued to verify information contained in the application or to ensure compliance with all laws, rules, and regulations relating thereto, during all hours of operation of said applicant or licensee and at any other reasonable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155.20(2)</w:t>
      </w:r>
      <w:r>
        <w:rPr>
          <w:rFonts w:ascii="Times New Roman" w:hAnsi="Times New Roman"/>
          <w:b w:val="false"/>
          <w:i w:val="false"/>
          <w:color w:val="000000"/>
          <w:sz w:val="22"/>
        </w:rPr>
        <w:t> </w:t>
      </w:r>
      <w:r>
        <w:rPr>
          <w:rFonts w:ascii="Times New Roman" w:hAnsi="Times New Roman"/>
          <w:b w:val="false"/>
          <w:i w:val="false"/>
          <w:color w:val="000000"/>
          <w:sz w:val="22"/>
        </w:rPr>
        <w:t>To permit properly designated representatives of the department to audit and collect statistical data from all records maintained by the applicant or licensee. An applicant or licensee that does not permit inspection by the department or examination of all records, including financial records, records pertaining to methods of administration, general and special dietary programs, and the disbursement of medications and methods of supply, and any other records the committee deems relevant, shall not be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641—155.21</w:t>
      </w:r>
      <w:r>
        <w:rPr>
          <w:rFonts w:ascii="Times New Roman" w:hAnsi="Times New Roman"/>
          <w:b/>
          <w:i w:val="false"/>
          <w:color w:val="000000"/>
          <w:sz w:val="22"/>
        </w:rPr>
        <w:t xml:space="preserve">(125,135) </w:t>
      </w:r>
      <w:r>
        <w:rPr>
          <w:rFonts w:ascii="Times New Roman" w:hAnsi="Times New Roman"/>
          <w:b/>
          <w:i w:val="false"/>
          <w:color w:val="000000"/>
          <w:sz w:val="22"/>
        </w:rPr>
        <w:t xml:space="preserve">General standards for all programs. </w:t>
      </w:r>
      <w:r>
        <w:rPr>
          <w:rFonts w:ascii="Times New Roman" w:hAnsi="Times New Roman"/>
          <w:b w:val="false"/>
          <w:i w:val="false"/>
          <w:color w:val="000000"/>
          <w:sz w:val="22"/>
        </w:rPr>
        <w:t>The following standards shall apply to all programs. For programs for which both the general standards and specific standards apply, both sets of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w:t>
      </w:r>
      <w:r>
        <w:rPr>
          <w:rFonts w:ascii="Times New Roman" w:hAnsi="Times New Roman"/>
          <w:b w:val="false"/>
          <w:i w:val="false"/>
          <w:color w:val="000000"/>
          <w:sz w:val="22"/>
        </w:rPr>
        <w:t> </w:t>
      </w:r>
      <w:r>
        <w:rPr>
          <w:rFonts w:ascii="Times New Roman" w:hAnsi="Times New Roman"/>
          <w:b w:val="false"/>
          <w:i/>
          <w:color w:val="000000"/>
          <w:sz w:val="22"/>
        </w:rPr>
        <w:t xml:space="preserve">Governing body. </w:t>
      </w:r>
      <w:r>
        <w:rPr>
          <w:rFonts w:ascii="Times New Roman" w:hAnsi="Times New Roman"/>
          <w:b w:val="false"/>
          <w:i w:val="false"/>
          <w:color w:val="000000"/>
          <w:sz w:val="22"/>
        </w:rPr>
        <w:t xml:space="preserve">The program shall have a formally designated governing body that complies with Iowa Code chapter </w:t>
      </w:r>
      <w:hyperlink r:id="rId49">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that is the ultimate authority for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develop and adopt written bylaws and policies that define the powers and duties of the governing body, its committees, its advisory groups, and the executive director. These bylaws and policies shall be reviewed and revised by the governing body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bylaws shall minimally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frequency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attendance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quorum necessary to transact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maintain minutes of all meetings, and the minutes shall be available for review by the department and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of members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Topics discussed;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Decisions reached and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duties of the governing body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Appointment of a qualified executive director, who shall have the responsibility and authority for the management of the program in accordance with the governing body’s established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Establishment of effective controls to ensure that quality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and approval of the program’s annual budget;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Approval of all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approve policies and procedures for the effective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be responsible for all funds, equipment, and supplies and the facility in which the program operates. The governing body shall be responsible for the appropriateness and adequacy of services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at least annually prepare a report, which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occupation, and place of employment of each governing body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any family relationship a member of the governing body has with a program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owners or controlling parties whether they are individuals, partnerships, a corporation body, or a subdivision of other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Disclosure of any potential conflict of interest a member of the governing body may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the program has malpractice, liability and workers’ compensation insurance for all staff and a fidelity bond that covers all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shall have primary responsibility for program operations. The duties of the executive director shall be clearly defined in accordance with the policies established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155.21(3)</w:t>
      </w:r>
      <w:r>
        <w:rPr>
          <w:rFonts w:ascii="Times New Roman" w:hAnsi="Times New Roman"/>
          <w:b w:val="false"/>
          <w:i w:val="false"/>
          <w:color w:val="000000"/>
          <w:sz w:val="22"/>
        </w:rPr>
        <w:t> </w:t>
      </w:r>
      <w:r>
        <w:rPr>
          <w:rFonts w:ascii="Times New Roman" w:hAnsi="Times New Roman"/>
          <w:b w:val="false"/>
          <w:i/>
          <w:color w:val="000000"/>
          <w:sz w:val="22"/>
        </w:rPr>
        <w:t xml:space="preserve">Clinical oversight. </w:t>
      </w:r>
      <w:r>
        <w:rPr>
          <w:rFonts w:ascii="Times New Roman" w:hAnsi="Times New Roman"/>
          <w:b w:val="false"/>
          <w:i w:val="false"/>
          <w:color w:val="000000"/>
          <w:sz w:val="22"/>
        </w:rPr>
        <w:t>The program shall designate a treatment supervisor to oversee provision of licensed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155.21(4)</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manual. </w:t>
      </w:r>
      <w:r>
        <w:rPr>
          <w:rFonts w:ascii="Times New Roman" w:hAnsi="Times New Roman"/>
          <w:b w:val="false"/>
          <w:i w:val="false"/>
          <w:color w:val="000000"/>
          <w:sz w:val="22"/>
        </w:rPr>
        <w:t>The program shall maintain and implement a written policies and procedures manual that documents the program’s compliance with these rules. The manual shall describe the program’s licensed program services and related activities, specify the policies and procedures to be followed, and govern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manual shall have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Revisions to the manual shall be entered with the date and with the name and title of the staff person making the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155.21(5)</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and training. </w:t>
      </w:r>
      <w:r>
        <w:rPr>
          <w:rFonts w:ascii="Times New Roman" w:hAnsi="Times New Roman"/>
          <w:b w:val="false"/>
          <w:i w:val="false"/>
          <w:color w:val="000000"/>
          <w:sz w:val="22"/>
        </w:rPr>
        <w:t>The program’s policies and procedures shall establish a staff development and training plan that encompasses all staff and all licensed program services, considers the professional continuing education requirements of certified and licensed staff, and is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staff development and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staff person responsible for the staff development and training plan shall conduct an annual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describe orientation for new staff which includes an overview of the program and licensed program services, confidentiality, tuberculosis and blood-borne pathogens, including HIV/AIDS, and culturally and environmentally specific information. Orientation shall also address the specific responsibilities of each staff person and community resources specific to the staff person’s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staff development and training plan shall address training when program operations or licensed program services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staff development and training plan may include on-site training activities. The program shall maintain minutes of on-site training that include the name and date of the training, the training topic, the name and title of the trainer, and the names of staff attending the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155.21(6)</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r>
        <w:rPr>
          <w:rFonts w:ascii="Times New Roman" w:hAnsi="Times New Roman"/>
          <w:b w:val="false"/>
          <w:i w:val="false"/>
          <w:color w:val="000000"/>
          <w:sz w:val="22"/>
        </w:rPr>
        <w:t>The program’s policies and procedures shall describe how the program reports required data to the division in accordance with department requirements and processes.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155.21(7)</w:t>
      </w:r>
      <w:r>
        <w:rPr>
          <w:rFonts w:ascii="Times New Roman" w:hAnsi="Times New Roman"/>
          <w:b w:val="false"/>
          <w:i w:val="false"/>
          <w:color w:val="000000"/>
          <w:sz w:val="22"/>
        </w:rPr>
        <w:t> </w:t>
      </w:r>
      <w:r>
        <w:rPr>
          <w:rFonts w:ascii="Times New Roman" w:hAnsi="Times New Roman"/>
          <w:b w:val="false"/>
          <w:i/>
          <w:color w:val="000000"/>
          <w:sz w:val="22"/>
        </w:rPr>
        <w:t xml:space="preserve">Fiscal management. </w:t>
      </w:r>
      <w:r>
        <w:rPr>
          <w:rFonts w:ascii="Times New Roman" w:hAnsi="Times New Roman"/>
          <w:b w:val="false"/>
          <w:i w:val="false"/>
          <w:color w:val="000000"/>
          <w:sz w:val="22"/>
        </w:rPr>
        <w:t>The program’s policies and procedures shall ensure proper fiscal management,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preparation and maintenance of an annual written budget, which shall be reviewed and approved by the governing body prior to the beginning of the budget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fiscal management system maintained in accordance with generally accepted accounting principles, including internal controls to reasonably protect program assets. This shall be verified by an annual independent fiscal audit of the program by the state auditor’s office or a certified public accountant based on an agreement entered into by the governing body. A program with an annual budget of $100,000 or less shall conduct a fiscal audit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insurance program that provides for the protection of the physical and financial resources of the program and provides coverage for all people, buildings, and equipment. The insurance program shall be reviewed annually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155.21(8)</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program shall have personnel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and selection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 and salary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Employee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Vacation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Disciplinary actions and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Methods for handling cases of inappropriate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Work performance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Staff accidents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grievances;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of the Drug-Free Workplace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Use of social media;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for each position and each staff person a written job description that describes the duties of each position and staff and the qualifications required for each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staff person providing screening, OWI evaluation, assessment or treatment services in accordance with these rules shall be qualified as an addictive disorder professional by meeting at least one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certified or licensed as a substance use disorder or problem gambling counselor by a national or state organization approved by the division.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Be licensed as a marital and family therapist or a mental health counselor under Iowa Code chapters </w:t>
      </w:r>
      <w:hyperlink r:id="rId50">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 independent social worker under Iowa Code chapters </w:t>
      </w:r>
      <w:hyperlink r:id="rId5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or another independent professional authorized by the Iowa Code to diagnose and treat mental disorders as specified in the most current Diagnostic and Statistical Manual of Mental Disorders published by the American Psychiatric Association.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 licensed as a master social worker under Iowa Code chapters </w:t>
      </w:r>
      <w:hyperlink r:id="rId54">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Be licensed as a bachelor social worker under Iowa Code chapters </w:t>
      </w:r>
      <w:hyperlink r:id="rId56">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Be temporarily or provisionally certified or licensed as allowed under a certification or license acceptable to the division. Such staff person must meet all requirements of the temporary or provisional certification or license, must be supervised by a staff person meeting one of the requirements of paragraphs “1” to “4” above, and must be fully certified or licensed within two years of the date on which the person began to provide licensed program services.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staff person employed on and after July 1, 2010, who is not qualified as described in any of the paragraphs “1” to “5” above shall be deemed qualified while the person is in the process of being certified or licensed under a certification or license acceptable to the division. Such staff must meet the requirements of the certification or licensure process, must be supervised by a staff person meeting one of the requirements of paragraphs “1” to “4” above, and must be fully certified or licensed within two years of the date on which the person began to provide licensed program services. The two-year time frame is continuous from the person’s date of first employment by the program, including if the person changes employment from one program to another.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person employed before July 1, 2010, and continuously since that date at a program licensed pursuant to this chapter, who is not qualified as described in any of the paragraphs “1” to “5” above, shall be deemed qualified as long as such person remains employed by that program and that program remains licensed. Such staff shall maintain a minimum of 30 hours of training every two years, including a minimum of 3 hours of ethics training, and shall be supervised by a staff person meeting at least one of the conditions of paragraphs “1” to “4”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shall review job descriptions annually and whenever there is a change in a position’s duties or required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include job descriptions in the personnel section of the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a written evaluation of job performance with each staff person at least annually. The evaluation shall include the opportunity for the staff person to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personnel record on each staff person. The record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training, experience, qualifications, and professional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performance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Disciplinary action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review of and agreement to adhere to confidentiality laws and regulations. This review and agreement shall occur prior to the staff person’s assumption of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ensure confidentiality of personnel records and shall specify staff authorized to have access to personnel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division in writing within ten days of being informed that a staff person has been sanctioned or disciplined by a certifying or licensing body. Such notice shall include the sanction or discipline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155.21(9)</w:t>
      </w:r>
      <w:r>
        <w:rPr>
          <w:rFonts w:ascii="Times New Roman" w:hAnsi="Times New Roman"/>
          <w:b w:val="false"/>
          <w:i w:val="false"/>
          <w:color w:val="000000"/>
          <w:sz w:val="22"/>
        </w:rPr>
        <w:t> </w:t>
      </w:r>
      <w:r>
        <w:rPr>
          <w:rFonts w:ascii="Times New Roman" w:hAnsi="Times New Roman"/>
          <w:b w:val="false"/>
          <w:i/>
          <w:color w:val="000000"/>
          <w:sz w:val="22"/>
        </w:rPr>
        <w:t xml:space="preserve">Child abuse, dependent adult abuse and criminal history background checks. </w:t>
      </w:r>
      <w:r>
        <w:rPr>
          <w:rFonts w:ascii="Times New Roman" w:hAnsi="Times New Roman"/>
          <w:b w:val="false"/>
          <w:i w:val="false"/>
          <w:color w:val="000000"/>
          <w:sz w:val="22"/>
        </w:rPr>
        <w:t>The program’s policies and procedures shall address child abuse, dependent adult abuse and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prohibit mistreatment, neglect, or abuse of children and dependent adults and shall specify reporting and enforcement procedures. Alleged violations shall be reported immediately to the program’s executive director and appropriate department of human services personnel. Policies and procedures on reporting alleged violations shall be in compliance with subrule </w:t>
      </w:r>
      <w:hyperlink r:id="rId58">
        <w:r>
          <w:rPr>
            <w:rStyle w:val="Hyperlink"/>
            <w:rFonts w:ascii="Times New Roman" w:hAnsi="Times New Roman"/>
            <w:b w:val="false"/>
            <w:i w:val="false"/>
            <w:color w:val="000000"/>
            <w:sz w:val="22"/>
          </w:rPr>
          <w:t>155.21(10)</w:t>
        </w:r>
      </w:hyperlink>
      <w:r>
        <w:rPr>
          <w:rFonts w:ascii="Times New Roman" w:hAnsi="Times New Roman"/>
          <w:b w:val="false"/>
          <w:i w:val="false"/>
          <w:color w:val="000000"/>
          <w:sz w:val="22"/>
        </w:rPr>
        <w:t xml:space="preserve">. A staff person found to be in violation of Iowa Code sections </w:t>
      </w:r>
      <w:hyperlink r:id="rId59">
        <w:r>
          <w:rPr>
            <w:rStyle w:val="Hyperlink"/>
            <w:rFonts w:ascii="Times New Roman" w:hAnsi="Times New Roman"/>
            <w:b w:val="false"/>
            <w:i w:val="false"/>
            <w:color w:val="000000"/>
            <w:sz w:val="22"/>
          </w:rPr>
          <w:t>232.67 through 232.70</w:t>
        </w:r>
      </w:hyperlink>
      <w:r>
        <w:rPr>
          <w:rFonts w:ascii="Times New Roman" w:hAnsi="Times New Roman"/>
          <w:b w:val="false"/>
          <w:i w:val="false"/>
          <w:color w:val="000000"/>
          <w:sz w:val="22"/>
        </w:rPr>
        <w:t>, as substantiated by a department of human services investigation, shall be subject to the program’s policies concerning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staff person working with juveniles as set forth in Iowa Code section </w:t>
      </w:r>
      <w:hyperlink r:id="rId60">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with dependent adults as set forth in Iowa Code chapter </w:t>
      </w:r>
      <w:hyperlink r:id="rId61">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the personnel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a criminal history background check with the Iowa division of criminal investigation on all new staff applicants. The background check shall include asking whether the applicant has been convicted of a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a new staff applicant which discloses any substantiated report of child abuse, neglect or sexual abuse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a check prior to permanent acceptance of a person as staff, with the Iowa central registry for any substantiated reports of child abuse, neglect or sexual abuse pursuant to Iowa Code section </w:t>
      </w:r>
      <w:hyperlink r:id="rId62">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 xml:space="preserve"> or substantiated reports of dependent adult abuse for all staff hired or accepted on or after July 1, 1994, pursuant to Iowa Code chapter </w:t>
      </w:r>
      <w:hyperlink r:id="rId63">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has a record of a criminal conviction or founded child abuse report or founded dependent adult abuse report shall not be hired or accepted as staff unless an evaluation of the crime or founded child abuse or founded dependent adult abuse has been made by the department of human services which concludes that the crime or founded child abuse or founded dependent adult abuse does not merit prohibition of employment. If a record of criminal conviction or founded child abuse or founded dependent adult abuse does exist, the person shall be offered the opportunity to complete and submit Form 470-2310, Record Check Evaluation. In its evaluation, the department of human services shall consider the nature and seriousness of the crime or founded abuse in relation to the position sought, the time elapsed since the commission of the crime or founded abuse, the circumstances under which the crime or founded abuse was committed, the degree of rehabilitation and 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staff person providing screening, OWI evaluation, assessment or treatment in accordance with this chapter shall complete two hours of child abuse identification and reporting training and two hours of dependent adult abuse identification and reporting training within six months of initial employment and at least two hours of additional child abuse identification and reporting training and two hours of additional dependent adult abuse identification and reporting training every three years thereafter. If the staff person completes at least one hour of additional child abuse identification and reporting training and one hour of additional dependent adult abuse identification and reporting training prior to the three-year expiration period, the staff person shall be deemed in compliance with the training requirements for an additional three years. An employer of a staff person subject to these requirements may provide supplemental training, specific to identification and reporting of child abuse or dependent adult abuse as it relates to the person’s professional practice, in addition to the core training provided. A training certificate relating to the identification and reporting of child abuse or dependent adult abuse issued prior to July 1, 2019, remains effective and continues in effect as issued for the five-year period following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155.21(10)</w:t>
      </w:r>
      <w:r>
        <w:rPr>
          <w:rFonts w:ascii="Times New Roman" w:hAnsi="Times New Roman"/>
          <w:b w:val="false"/>
          <w:i w:val="false"/>
          <w:color w:val="000000"/>
          <w:sz w:val="22"/>
        </w:rPr>
        <w:t> </w:t>
      </w:r>
      <w:r>
        <w:rPr>
          <w:rFonts w:ascii="Times New Roman" w:hAnsi="Times New Roman"/>
          <w:b w:val="false"/>
          <w:i/>
          <w:color w:val="000000"/>
          <w:sz w:val="22"/>
        </w:rPr>
        <w:t xml:space="preserve">Patient records. </w:t>
      </w:r>
      <w:r>
        <w:rPr>
          <w:rFonts w:ascii="Times New Roman" w:hAnsi="Times New Roman"/>
          <w:b w:val="false"/>
          <w:i w:val="false"/>
          <w:color w:val="000000"/>
          <w:sz w:val="22"/>
        </w:rPr>
        <w:t>The program’s policies and procedures shall describe compilation, storage and dissemination of patient records and release or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protects the patient record against loss, tampering or unauthorized disclosure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and format of patient records are uniform;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entries in the patient record are in chronological order, signed, dated and legible. When records are maintained electronically, a staff identification code number authorizing access shall be accepted in lieu of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entry in the patient record is made in permanent ink, by typewriter, or by computer;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Entries in the patient record use language consistent with generally accepted standards of practice and do not include abstract terms, technical jargon or slang.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adequate physical facilities for the secure storage, processing and handling of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patient records shall be readily accessible to staff as specifically authorized by program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appropriately maintain and dispose of patient records. Patient records shall be maintained for not less than seven years from the date they are officially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file cabinet or storage area containing patient records shall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release or disclose information on individuals seeking program services or on patients in strict accordance with the Health Insurance Portability and Accountability Act (HIPAA) and state and federal confidentiality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confidentiality of substance use disorder patient records and information is protected by HIPAA and the regulations on confidentiality of alcohol and drug abuse patient records, 42 CFR Part 2, which implement federal statutory provisions, 42 U.S.C. 290dd-3 applicable to alcohol abuse patient records, and 42 U.S.C. 290ee-3 applicable to drug abuse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problem gambling patient records and information is protected by HIPAA, Iowa Code chapter </w:t>
      </w:r>
      <w:hyperlink r:id="rId6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Iowa Code section </w:t>
      </w:r>
      <w:hyperlink r:id="rId65">
        <w:r>
          <w:rPr>
            <w:rStyle w:val="Hyperlink"/>
            <w:rFonts w:ascii="Times New Roman" w:hAnsi="Times New Roman"/>
            <w:b w:val="false"/>
            <w:i w:val="false"/>
            <w:color w:val="000000"/>
            <w:sz w:val="22"/>
          </w:rPr>
          <w:t>22.7(35)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program that provides licensed program services via electronic means shall inform the patient of the limitations and risks associated with such services and shall document in the patient record that such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properly executed written release of information or authorization to disclose signed by the patient, the program shall release patient records in a timely manner. A program shall not refuse to release patient records related to continuation of care solely because payment has not been received. A program may refuse to release patient records that are unrelated to continuation of care if payment has not been received. A program may refuse to file the reporting form required by </w:t>
      </w:r>
      <w:hyperlink r:id="rId66">
        <w:r>
          <w:rPr>
            <w:rStyle w:val="Hyperlink"/>
            <w:rFonts w:ascii="Times New Roman" w:hAnsi="Times New Roman"/>
            <w:b w:val="false"/>
            <w:i w:val="false"/>
            <w:color w:val="000000"/>
            <w:sz w:val="22"/>
          </w:rPr>
          <w:t>641—subrule 157.3(1)</w:t>
        </w:r>
      </w:hyperlink>
      <w:r>
        <w:rPr>
          <w:rFonts w:ascii="Times New Roman" w:hAnsi="Times New Roman"/>
          <w:b w:val="false"/>
          <w:i w:val="false"/>
          <w:color w:val="000000"/>
          <w:sz w:val="22"/>
        </w:rPr>
        <w:t xml:space="preserve">, “Notice Iowa Code </w:t>
      </w:r>
      <w:hyperlink r:id="rId6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—Confidential Medical Record,” reporting screening, evaluation, and treatment completion, if payment has not been received for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155.21(11)</w:t>
      </w:r>
      <w:r>
        <w:rPr>
          <w:rFonts w:ascii="Times New Roman" w:hAnsi="Times New Roman"/>
          <w:b w:val="false"/>
          <w:i w:val="false"/>
          <w:color w:val="000000"/>
          <w:sz w:val="22"/>
        </w:rPr>
        <w:t> </w:t>
      </w:r>
      <w:r>
        <w:rPr>
          <w:rFonts w:ascii="Times New Roman" w:hAnsi="Times New Roman"/>
          <w:b w:val="false"/>
          <w:i/>
          <w:color w:val="000000"/>
          <w:sz w:val="22"/>
        </w:rPr>
        <w:t xml:space="preserve">Assessment and admission. </w:t>
      </w:r>
      <w:r>
        <w:rPr>
          <w:rFonts w:ascii="Times New Roman" w:hAnsi="Times New Roman"/>
          <w:b w:val="false"/>
          <w:i w:val="false"/>
          <w:color w:val="000000"/>
          <w:sz w:val="22"/>
        </w:rPr>
        <w:t>The program’s policies and procedures shall address screening, assessment, referral and admission and documentation of such activities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an assessment with each patient prior to admission unless the patient’s current risk factors indicate a need for immediate 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program admits a patient based on a screening or initial assessment that indicates the patient requires immediate admission, that screening or initial assessment must be updated and expanded to a full assessment when the patient’s current risk factors are stabilized.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shall be documented in the patient record and shall be organized in a manner that supports development of a treatment plan by the program or by any program to which the patient is referred.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implement a uniform assessment process that describes: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to be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accepting a referral from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for referring a patient to another program, agency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substance use disorder treatment program, problem gambling treatment program, or substance use disorder and problem gambling treatment program shall update the assessment on an ongoing basis, when clinically indicated, and within the periods of time specified for each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each assessment shall be clearly explained to the patient, and to the patient’s family when appropriate, and such explanation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time of admission, a substance use disorder treatment program, problem gambling treatment program, or substance use disorder and problem gambling treatment program shall document that the patient has been informed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goals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Rules governing patient conduct and infractions that can lead to disciplinary action or discharge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hours during which services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to be borne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Confidentiality laws,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155.21(12)</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developing individualized treatment plans based on ongoing assessment and documentation of such plans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initiate development of the treatment plan as soon after the patient’s admission as is clinically feasible and within the period of time between admission and the review date specified for that level of care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minimally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assessment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short- and long-term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type and frequency of planned treatment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staff responsible for the patient’s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Culturally and environmentally specific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develop each treatment plan in partnership with the patient, with patient participation documented in the patient record. The treatment plan shall be written in a manner clearly understandable to the patient. Staff shall give the patient a copy of each treatment plan. The patient and staff shall review and revise the treatment plan when clinically indicated and in accordance with the time frames specified in the management-of-care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plan reviews shall be based on ongoing assessment and shall specify the indicated level of care and licensed program services and any revision of treatment plan goals. The date of the review and any revision of the treatment plan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155.21(13)</w:t>
      </w:r>
      <w:r>
        <w:rPr>
          <w:rFonts w:ascii="Times New Roman" w:hAnsi="Times New Roman"/>
          <w:b w:val="false"/>
          <w:i w:val="false"/>
          <w:color w:val="000000"/>
          <w:sz w:val="22"/>
        </w:rPr>
        <w:t> </w:t>
      </w:r>
      <w:r>
        <w:rPr>
          <w:rFonts w:ascii="Times New Roman" w:hAnsi="Times New Roman"/>
          <w:b w:val="false"/>
          <w:i/>
          <w:color w:val="000000"/>
          <w:sz w:val="22"/>
        </w:rPr>
        <w:t xml:space="preserve">Progress notes. </w:t>
      </w:r>
      <w:r>
        <w:rPr>
          <w:rFonts w:ascii="Times New Roman" w:hAnsi="Times New Roman"/>
          <w:b w:val="false"/>
          <w:i w:val="false"/>
          <w:color w:val="000000"/>
          <w:sz w:val="22"/>
        </w:rPr>
        <w:t>The policies and procedures for substance use disorder treatment programs, problem gambling treatment programs, and substance use disorder and problem gambling treatment programs shall describe the program’s uniform process for reviewing a patient’s current status and progress in meeting treatment plan goals and documenting such review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Progress notes shall include the date each service was provided or observation was made and the name and title of the staff person providing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shall enter a progress note following each individual counseling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enter a summary progress note at least weekly for group counseling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Progress notes that involve subjective interpretations of a patient’s status or progress should be supplemented with a description of the behavioral observations that were the basis for the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155.21(14)</w:t>
      </w:r>
      <w:r>
        <w:rPr>
          <w:rFonts w:ascii="Times New Roman" w:hAnsi="Times New Roman"/>
          <w:b w:val="false"/>
          <w:i w:val="false"/>
          <w:color w:val="000000"/>
          <w:sz w:val="22"/>
        </w:rPr>
        <w:t> </w:t>
      </w:r>
      <w:r>
        <w:rPr>
          <w:rFonts w:ascii="Times New Roman" w:hAnsi="Times New Roman"/>
          <w:b w:val="false"/>
          <w:i/>
          <w:color w:val="000000"/>
          <w:sz w:val="22"/>
        </w:rPr>
        <w:t xml:space="preserve">Patient record contents. </w:t>
      </w:r>
      <w:r>
        <w:rPr>
          <w:rFonts w:ascii="Times New Roman" w:hAnsi="Times New Roman"/>
          <w:b w:val="false"/>
          <w:i w:val="false"/>
          <w:color w:val="000000"/>
          <w:sz w:val="22"/>
        </w:rPr>
        <w:t>The program’s policies and procedures shall require that a record be maintained for each patient and shall specify the contents of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any physical examination or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report from a referring source or outside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Notes from any case conference, consultation, care coordination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correspondence related to the patient, including letters, electronic communications and telephone conversations;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treatment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release of information or authorization to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Notes on any service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substance use disorder treatment programs, problem gambling treatment programs, and substance use disorder and problem gambling treatment programs, the patient record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Management-of-care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records, which shall allow for the monitoring of all medications administered and self-administered and detection of adverse drug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Discharge summaries completed within 30 days of discharge, which shall be sufficiently detailed to identify the types of services the patient received, action taken to address specific problems identified, and plans for services and referrals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problem gambling treatment programs and substance use disorder and problem gambling treatment programs, the patient record shall also include documentation of financial counseling services that assist problem gambling patients in preparing a budget and addressing financial debt options, including restitution and bankruptcy.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155.21(15)</w:t>
      </w:r>
      <w:r>
        <w:rPr>
          <w:rFonts w:ascii="Times New Roman" w:hAnsi="Times New Roman"/>
          <w:b w:val="false"/>
          <w:i w:val="false"/>
          <w:color w:val="000000"/>
          <w:sz w:val="22"/>
        </w:rPr>
        <w:t> </w:t>
      </w:r>
      <w:r>
        <w:rPr>
          <w:rFonts w:ascii="Times New Roman" w:hAnsi="Times New Roman"/>
          <w:b w:val="false"/>
          <w:i/>
          <w:color w:val="000000"/>
          <w:sz w:val="22"/>
        </w:rPr>
        <w:t xml:space="preserve">Drug screening. </w:t>
      </w:r>
      <w:r>
        <w:rPr>
          <w:rFonts w:ascii="Times New Roman" w:hAnsi="Times New Roman"/>
          <w:b w:val="false"/>
          <w:i w:val="false"/>
          <w:color w:val="000000"/>
          <w:sz w:val="22"/>
        </w:rPr>
        <w:t>The program’s policies and procedures shall address collection of drug-screening specimens and utilization of drug-screening results. Such policies may state that the program does not conduct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specimen obtained from a patient shall be collected under direct supervision and analyzed in accordance with program policies, or the program shall have a policy in place to reduce the patient’s ability to alter the drug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laboratory used by the program for drug screening and analysis shall comply with federal and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program conducting on-site drug screening shall comply with the Clinical Laboratory Improvement Act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manner in which drug-screening results are utilized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155.21(16)</w:t>
      </w:r>
      <w:r>
        <w:rPr>
          <w:rFonts w:ascii="Times New Roman" w:hAnsi="Times New Roman"/>
          <w:b w:val="false"/>
          <w:i w:val="false"/>
          <w:color w:val="000000"/>
          <w:sz w:val="22"/>
        </w:rPr>
        <w:t> </w:t>
      </w:r>
      <w:r>
        <w:rPr>
          <w:rFonts w:ascii="Times New Roman" w:hAnsi="Times New Roman"/>
          <w:b w:val="false"/>
          <w:i/>
          <w:color w:val="000000"/>
          <w:sz w:val="22"/>
        </w:rPr>
        <w:t xml:space="preserve">Medical and mental health services. </w:t>
      </w:r>
      <w:r>
        <w:rPr>
          <w:rFonts w:ascii="Times New Roman" w:hAnsi="Times New Roman"/>
          <w:b w:val="false"/>
          <w:i w:val="false"/>
          <w:color w:val="000000"/>
          <w:sz w:val="22"/>
        </w:rPr>
        <w:t>The program’s policies and procedures shall address patient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biomedical conditions and complications as described in the ASAM criteria, the program shall take a medical history and perform a physical examination and necessary laboratory tests as follows for patients admitted to the level of care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and clinically managed medium-intensity residential treatment: within 7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within 21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Crisis stabilization services and opioid treatment program services: within 24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may accept a medical history or physical examination from a qualified source if the history or examination was completed no more than 90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assessment of emotional, behavioral, and cognitive conditions and complications as described in the ASAM criteria, a program may accept a mental health history from a qualified source if the history was completed no more than three days prior to the patient’s current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155.21(17)</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The program’s policies and procedures shall address the availability of emergency services for substance use disorders and medical and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services may be provided by the program or by any other qualified individual, institution, facility,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the availability of emergency services by posting notice at facilities, having a recorded message on the program’s telephone system, posting notice on the program’s website and through program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155.21(18)</w:t>
      </w:r>
      <w:r>
        <w:rPr>
          <w:rFonts w:ascii="Times New Roman" w:hAnsi="Times New Roman"/>
          <w:b w:val="false"/>
          <w:i w:val="false"/>
          <w:color w:val="000000"/>
          <w:sz w:val="22"/>
        </w:rPr>
        <w:t> </w:t>
      </w:r>
      <w:r>
        <w:rPr>
          <w:rFonts w:ascii="Times New Roman" w:hAnsi="Times New Roman"/>
          <w:b w:val="false"/>
          <w:i/>
          <w:color w:val="000000"/>
          <w:sz w:val="22"/>
        </w:rPr>
        <w:t xml:space="preserve">Medication control. </w:t>
      </w:r>
      <w:r>
        <w:rPr>
          <w:rFonts w:ascii="Times New Roman" w:hAnsi="Times New Roman"/>
          <w:b w:val="false"/>
          <w:i w:val="false"/>
          <w:color w:val="000000"/>
          <w:sz w:val="22"/>
        </w:rPr>
        <w:t xml:space="preserve">The program’s policies and procedures shall describe how medications are administered or self-administered in accordance with federal, state and local laws, rules and regulations. Such policies may state that the program does not conduct medication administration or self-administration.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authorized to administer medications shall be qualified, and a current list of such staff shall be maintained. The following health professionals are designated by rule </w:t>
      </w:r>
      <w:hyperlink r:id="rId68">
        <w:r>
          <w:rPr>
            <w:rStyle w:val="Hyperlink"/>
            <w:rFonts w:ascii="Times New Roman" w:hAnsi="Times New Roman"/>
            <w:b w:val="false"/>
            <w:i w:val="false"/>
            <w:color w:val="000000"/>
            <w:sz w:val="22"/>
          </w:rPr>
          <w:t>657—8.32</w:t>
        </w:r>
      </w:hyperlink>
      <w:r>
        <w:rPr>
          <w:rFonts w:ascii="Times New Roman" w:hAnsi="Times New Roman"/>
          <w:b w:val="false"/>
          <w:i w:val="false"/>
          <w:color w:val="000000"/>
          <w:sz w:val="22"/>
        </w:rPr>
        <w:t>(124,155A) as qualified individuals to whom a prescriber can delegate the administration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who have successfully completed a medication administration course reviewed by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Advanced emergency medical technicians and paramedics.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Licensed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Licensed 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Nurses, interns or other qualified individuals delegated the responsibility to administer medications by a prescriber licensed by the appropriate state board to administer medications to patients, in accordance with Iowa Code section </w:t>
      </w:r>
      <w:hyperlink r:id="rId69">
        <w:r>
          <w:rPr>
            <w:rStyle w:val="Hyperlink"/>
            <w:rFonts w:ascii="Times New Roman" w:hAnsi="Times New Roman"/>
            <w:b w:val="false"/>
            <w:i w:val="false"/>
            <w:color w:val="000000"/>
            <w:sz w:val="22"/>
          </w:rPr>
          <w:t>155A.4(2)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only in accordance with the instructions of the attending prescriber. The type and amount of the medication, the time and date, and the staff person administering the medication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Self-administration of medication shall be observed by a staff person who has been oriented to the program’s policies and procedures on self-administration. Self-administration of medication shall be permitted only when the patient’s medication is clearly labeled. The policies and procedures on self-administration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are ordered or prescribed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prescriber agrees that the patient can self-administer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medication taken and how and when the medication is taken are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shall not be administered to or self-administered by a patient without a written order signed by a prescriber. All prescribed medications shall be clearly labeled indicating the patient’s full name, the prescriber’s name, the prescription number, and the name and strength of the medication, the dosage, the directions for use, and the date of issue; and the name, address and telephone number of the pharmacy or prescriber issuing the medication. Medications shall be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medication the patient brings to the program is not used, it shall be packaged, sealed and stored. The sealed package of medication shall be returned to the patient, family or designee at the time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Accountability and control of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 specific routine for medication administration, indicating dose schedules and standardization of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specific methods for control and accountability of medication products throughout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staff person in charge of medications shall provide for monthly inspection of all storage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containers having soiled, damaged, illegible, or makeshift labels shall be returned to the issuing pharmacist, pharmacy, or prescriber for relabeling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Unused prescription medication prescribed for a patient who leaves a program without the patient’s medication shall be destroyed by a staff person with a staff witness, and a notation shall be made in the patient record. When a patient is discharged or leaves the program, medication currently being administered shall be sent, in the original container, with the patient or with a responsible agent, as approved by a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storage shall be maintained in accordance with the security requirements of federal, state and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medication shall be maintained in locked storage. Controlled substances shall be maintained in a locked box within the locked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in a refrigerator and separated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Disinfectants and medication for external use shall be stored separately from internal and injectable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patient shall be stored in the original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poisonous or caustic medication shall be plainly labeled, stored separately from other medication in a specific well-illuminated cabinet, closet, or storeroom and made accessible only to authorized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provided to a patient shall be dispensed only from a licensed pharmacy in the state of Iowa in accordance with the pharmacy laws in the Iowa Code, or from a licensed pharmacy in another state according to the laws of that state, or by a licensed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prescribed for one patient shall not be administered to or allowed to be in the possession of another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unusual patient reaction to a medication shall be documented in the patient record and reported to the prescriber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Dilution or reconstitution and labeling of medication shall be done only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155.21(19)</w:t>
      </w:r>
      <w:r>
        <w:rPr>
          <w:rFonts w:ascii="Times New Roman" w:hAnsi="Times New Roman"/>
          <w:b w:val="false"/>
          <w:i w:val="false"/>
          <w:color w:val="000000"/>
          <w:sz w:val="22"/>
        </w:rPr>
        <w:t> </w:t>
      </w:r>
      <w:r>
        <w:rPr>
          <w:rFonts w:ascii="Times New Roman" w:hAnsi="Times New Roman"/>
          <w:b w:val="false"/>
          <w:i/>
          <w:color w:val="000000"/>
          <w:sz w:val="22"/>
        </w:rPr>
        <w:t xml:space="preserve">Management of care and discharge planning. </w:t>
      </w:r>
      <w:r>
        <w:rPr>
          <w:rFonts w:ascii="Times New Roman" w:hAnsi="Times New Roman"/>
          <w:b w:val="false"/>
          <w:i w:val="false"/>
          <w:color w:val="000000"/>
          <w:sz w:val="22"/>
        </w:rPr>
        <w:t>The program’s policies and procedures shall use the ASAM criteria for assessment, admission, continued service and discharge decisions and shall describe management-of-care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conduct care coordination to meet each patient’s needs and promote effective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conduct management-of-care activities at least minimally within the time frames specified for each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managed intensive inpatient treatment and medically monitored intensive inpatient treatment: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Clinically managed high-intensity residential treatment, clinically managed medium-intensity residential treatment, partial/day treatment, and intensive outpatient treatment: within seven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Clinically managed low-intensity residential treatment and outpatient treatment: within 30 days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coordinate patient care with other programs for any licensed program service for which the program is not licensed and with qualified individuals and organizations for any related services the program does not provide, such as crisis stabilization, medical services, mental health services, and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time of the patient’s admission, the program shall initiate discharge planning that includes a determination of the patient’s continued need for licensed program services and development of a plan to address ongoing patient needs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155.21(20)</w:t>
      </w: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w:t>
      </w:r>
      <w:r>
        <w:rPr>
          <w:rFonts w:ascii="Times New Roman" w:hAnsi="Times New Roman"/>
          <w:b w:val="false"/>
          <w:i w:val="false"/>
          <w:color w:val="000000"/>
          <w:sz w:val="22"/>
        </w:rPr>
        <w:t>The program’s policies and procedures shall describe a written quality improvement plan that encompasses all licensed program services and related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designate a staff person responsible for the quality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describe and document monitoring, problem-solving and evaluation activities designed to systematically identify and resolve problems and make continued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specific goals, objectives,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shall include objective criteria to measure its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document whether the quality of patient care and program operations are improved and identified problems are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communicate quality improvement plan activities and findings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Quality improvement plan findings are used to detect trends, patterns of performance, and potential problems that affect patient care and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program shall evaluate the effectiveness of the quality improvement plan at least annually and revise the plan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155.21(21)</w:t>
      </w:r>
      <w:r>
        <w:rPr>
          <w:rFonts w:ascii="Times New Roman" w:hAnsi="Times New Roman"/>
          <w:b w:val="false"/>
          <w:i w:val="false"/>
          <w:color w:val="000000"/>
          <w:sz w:val="22"/>
        </w:rPr>
        <w:t> </w:t>
      </w:r>
      <w:r>
        <w:rPr>
          <w:rFonts w:ascii="Times New Roman" w:hAnsi="Times New Roman"/>
          <w:b w:val="false"/>
          <w:i/>
          <w:color w:val="000000"/>
          <w:sz w:val="22"/>
        </w:rPr>
        <w:t xml:space="preserve">Facility safety and cleanliness. </w:t>
      </w:r>
      <w:r>
        <w:rPr>
          <w:rFonts w:ascii="Times New Roman" w:hAnsi="Times New Roman"/>
          <w:b w:val="false"/>
          <w:i w:val="false"/>
          <w:color w:val="000000"/>
          <w:sz w:val="22"/>
        </w:rPr>
        <w:t>The program’s policies and procedures shall ensure that program physical facilities are clean, well-ventilated, heated, free from vermin, and appropriately furnished and are designed, constructed, equipped, and maintained in a manner that provides for the physical safety of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required by local jurisdiction, the program shall maintain a certification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all phases of construction or alterations of buildings, the level of life safety shall not be diminished in any occupied area. The construction shall be in compliance with all applicable federal, state, and local codes. New construction shall comply with Iowa Code chapter </w:t>
      </w:r>
      <w:hyperlink r:id="rId70">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all applicable federal and local codes and provide for safe and convenient use by disabled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specific policies and procedures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development, implementation, maintenance and review of safety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 and maintenance of an ongoing, facilitywide hazard surveillance program to detect and report all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 and proper disposal of biohazardous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Stairways, halls, and aisles shall be of substantial, nonslippery material, maintained in a good state of repair, adequately lighted and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each of which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programs serving juveniles, fuse boxes that shall be under lock and key or six feet above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 and proper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Prohibition against weapon possession; safe and proper removal of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Swimming pools. Swimming pools shall conform to state and local health and safety rules and regulations. Adult supervision shall be provided at all times when juveniles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Ponds, lakes, or any bodies of water located on or near the program and accessible to patients, concerned persons, visitors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The plan shall be conspicuously displayed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155.21(22)</w:t>
      </w:r>
      <w:r>
        <w:rPr>
          <w:rFonts w:ascii="Times New Roman" w:hAnsi="Times New Roman"/>
          <w:b w:val="false"/>
          <w:i w:val="false"/>
          <w:color w:val="000000"/>
          <w:sz w:val="22"/>
        </w:rPr>
        <w:t> </w:t>
      </w:r>
      <w:r>
        <w:rPr>
          <w:rFonts w:ascii="Times New Roman" w:hAnsi="Times New Roman"/>
          <w:b w:val="false"/>
          <w:i/>
          <w:color w:val="000000"/>
          <w:sz w:val="22"/>
        </w:rPr>
        <w:t xml:space="preserve">Therapeutic environment. </w:t>
      </w:r>
      <w:r>
        <w:rPr>
          <w:rFonts w:ascii="Times New Roman" w:hAnsi="Times New Roman"/>
          <w:b w:val="false"/>
          <w:i w:val="false"/>
          <w:color w:val="000000"/>
          <w:sz w:val="22"/>
        </w:rPr>
        <w:t xml:space="preserve">The program’s policies and procedures shall provide for the establishment of an environment that preserves human dignity. Program facilities shall have adequate space for the program to provide licensed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a description of how all licensed program services are accessible to people with disabilities or how the program provides accommodations for people with disabilities. All programs shall comply with the Americans with Disabilities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waiting or reception areas shall be of adequate size and be located so as to ensure patient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be available in waiting or reception areas to address the needs of the patients, potential patients, concerned persons, and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Possession and use of chemical substances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Prohibition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Prohibition of the sale or other provision of any tobacco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Informing patients of their legal and human rights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communication, opinions, or grievances, with a mechanism for redress.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Prohibition of sexual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Patient right to privacy.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4706C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641—155.22</w:t>
      </w:r>
      <w:r>
        <w:rPr>
          <w:rFonts w:ascii="Times New Roman" w:hAnsi="Times New Roman"/>
          <w:b/>
          <w:i w:val="false"/>
          <w:color w:val="000000"/>
          <w:sz w:val="22"/>
        </w:rPr>
        <w:t xml:space="preserve">(125,135) </w:t>
      </w:r>
      <w:r>
        <w:rPr>
          <w:rFonts w:ascii="Times New Roman" w:hAnsi="Times New Roman"/>
          <w:b/>
          <w:i w:val="false"/>
          <w:color w:val="000000"/>
          <w:sz w:val="22"/>
        </w:rPr>
        <w:t xml:space="preserve">Inpatient and residential program facilities. </w:t>
      </w:r>
      <w:r>
        <w:rPr>
          <w:rFonts w:ascii="Times New Roman" w:hAnsi="Times New Roman"/>
          <w:b w:val="false"/>
          <w:i w:val="false"/>
          <w:color w:val="000000"/>
          <w:sz w:val="22"/>
        </w:rPr>
        <w:t>Specific standards apply for programs providing clinically managed low-intensity residential treatment, clinically managed medium-intensity residential treatment, clinically managed high-intensity residential treatment, medically monitored intensive inpatient treatment, and medically managed intensive inpatient treatment.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155.22(1)</w:t>
      </w:r>
      <w:r>
        <w:rPr>
          <w:rFonts w:ascii="Times New Roman" w:hAnsi="Times New Roman"/>
          <w:b w:val="false"/>
          <w:i w:val="false"/>
          <w:color w:val="000000"/>
          <w:sz w:val="22"/>
        </w:rPr>
        <w:t> </w:t>
      </w:r>
      <w:r>
        <w:rPr>
          <w:rFonts w:ascii="Times New Roman" w:hAnsi="Times New Roman"/>
          <w:b w:val="false"/>
          <w:i/>
          <w:color w:val="000000"/>
          <w:sz w:val="22"/>
        </w:rPr>
        <w:t xml:space="preserve">Health and fire safety inspections. </w:t>
      </w:r>
      <w:r>
        <w:rPr>
          <w:rFonts w:ascii="Times New Roman" w:hAnsi="Times New Roman"/>
          <w:b w:val="false"/>
          <w:i w:val="false"/>
          <w:color w:val="000000"/>
          <w:sz w:val="22"/>
        </w:rPr>
        <w:t>Inpatient and residential programs shall comply with applicable department of inspections and appeals rules; state fire marshal’s rules and fire ordinances; and applicable local health, fire, occupancy, and safety regulations. The program shall maintain documentation of such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Inpatient and residential programs shall comply with standards for food service sanitation in accordance with rules promulgated by the department of inspections and appeals pursuant to </w:t>
      </w:r>
      <w:hyperlink r:id="rId71">
        <w:r>
          <w:rPr>
            <w:rStyle w:val="Hyperlink"/>
            <w:rFonts w:ascii="Times New Roman" w:hAnsi="Times New Roman"/>
            <w:b w:val="false"/>
            <w:i w:val="false"/>
            <w:color w:val="000000"/>
            <w:sz w:val="22"/>
          </w:rPr>
          <w:t>481—Chapter 32</w:t>
        </w:r>
      </w:hyperlink>
      <w:r>
        <w:rPr>
          <w:rFonts w:ascii="Times New Roman" w:hAnsi="Times New Roman"/>
          <w:b w:val="false"/>
          <w:i w:val="false"/>
          <w:color w:val="000000"/>
          <w:sz w:val="22"/>
        </w:rPr>
        <w:t xml:space="preserve"> and Iowa Code chapter </w:t>
      </w:r>
      <w:hyperlink r:id="rId72">
        <w:r>
          <w:rPr>
            <w:rStyle w:val="Hyperlink"/>
            <w:rFonts w:ascii="Times New Roman" w:hAnsi="Times New Roman"/>
            <w:b w:val="false"/>
            <w:i w:val="false"/>
            <w:color w:val="000000"/>
            <w:sz w:val="22"/>
          </w:rPr>
          <w:t>137B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door locks or closed sections shall be documented in written policies and procedures approved by the fire marshal and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155.22(2)</w:t>
      </w:r>
      <w:r>
        <w:rPr>
          <w:rFonts w:ascii="Times New Roman" w:hAnsi="Times New Roman"/>
          <w:b w:val="false"/>
          <w:i w:val="false"/>
          <w:color w:val="000000"/>
          <w:sz w:val="22"/>
        </w:rPr>
        <w:t> </w:t>
      </w:r>
      <w:r>
        <w:rPr>
          <w:rFonts w:ascii="Times New Roman" w:hAnsi="Times New Roman"/>
          <w:b w:val="false"/>
          <w:i/>
          <w:color w:val="000000"/>
          <w:sz w:val="22"/>
        </w:rPr>
        <w:t xml:space="preserve">Emergency preparedness. </w:t>
      </w:r>
      <w:r>
        <w:rPr>
          <w:rFonts w:ascii="Times New Roman" w:hAnsi="Times New Roman"/>
          <w:b w:val="false"/>
          <w:i w:val="false"/>
          <w:color w:val="000000"/>
          <w:sz w:val="22"/>
        </w:rPr>
        <w:t>Inpatient and residential programs shall have a written emergency preparedness plan for continuation of licensed program services during an emergency or disaster.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641—155.23</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w:t>
      </w:r>
      <w:r>
        <w:rPr>
          <w:rFonts w:ascii="Times New Roman" w:hAnsi="Times New Roman"/>
          <w:b w:val="false"/>
          <w:i w:val="false"/>
          <w:color w:val="000000"/>
          <w:sz w:val="22"/>
        </w:rPr>
        <w:t>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155.23(1)</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Inpatient and residential programs shall operate seven days per week, 24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155.23(2)</w:t>
      </w:r>
      <w:r>
        <w:rPr>
          <w:rFonts w:ascii="Times New Roman" w:hAnsi="Times New Roman"/>
          <w:b w:val="false"/>
          <w:i w:val="false"/>
          <w:color w:val="000000"/>
          <w:sz w:val="22"/>
        </w:rPr>
        <w:t> </w:t>
      </w:r>
      <w:r>
        <w:rPr>
          <w:rFonts w:ascii="Times New Roman" w:hAnsi="Times New Roman"/>
          <w:b w:val="false"/>
          <w:i/>
          <w:color w:val="000000"/>
          <w:sz w:val="22"/>
        </w:rPr>
        <w:t xml:space="preserve">Meals. </w:t>
      </w:r>
      <w:r>
        <w:rPr>
          <w:rFonts w:ascii="Times New Roman" w:hAnsi="Times New Roman"/>
          <w:b w:val="false"/>
          <w:i w:val="false"/>
          <w:color w:val="000000"/>
          <w:sz w:val="22"/>
        </w:rPr>
        <w:t>Inpatient and residential programs shall provide a minimum of three meals per day to each patient. A program where patients are not present during mealtime shall make provisions to make available the necessary meals. Menus shall be prepared in consultation with a dietitian. If patients are allowed to prepare meals, the program shall document conformity with all commonly accepted policies and procedures of state health rules and regulations and food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155.23(3)</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counsel. </w:t>
      </w:r>
      <w:r>
        <w:rPr>
          <w:rFonts w:ascii="Times New Roman" w:hAnsi="Times New Roman"/>
          <w:b w:val="false"/>
          <w:i w:val="false"/>
          <w:color w:val="000000"/>
          <w:sz w:val="22"/>
        </w:rPr>
        <w:t>Patients shall have opportunity for and access to consultation with legal counsel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155.23(4)</w:t>
      </w:r>
      <w:r>
        <w:rPr>
          <w:rFonts w:ascii="Times New Roman" w:hAnsi="Times New Roman"/>
          <w:b w:val="false"/>
          <w:i w:val="false"/>
          <w:color w:val="000000"/>
          <w:sz w:val="22"/>
        </w:rPr>
        <w:t> </w:t>
      </w:r>
      <w:r>
        <w:rPr>
          <w:rFonts w:ascii="Times New Roman" w:hAnsi="Times New Roman"/>
          <w:b w:val="false"/>
          <w:i/>
          <w:color w:val="000000"/>
          <w:sz w:val="22"/>
        </w:rPr>
        <w:t xml:space="preserve">Visitation with family and friends.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for continuing contact with family and friends. If such contact is clinically contraindicated, it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visiting hours, which shall be conspicuously displayed at the facility and in such a manner to be visible to those entering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155.23(5)</w:t>
      </w:r>
      <w:r>
        <w:rPr>
          <w:rFonts w:ascii="Times New Roman" w:hAnsi="Times New Roman"/>
          <w:b w:val="false"/>
          <w:i w:val="false"/>
          <w:color w:val="000000"/>
          <w:sz w:val="22"/>
        </w:rPr>
        <w:t> </w:t>
      </w:r>
      <w:r>
        <w:rPr>
          <w:rFonts w:ascii="Times New Roman" w:hAnsi="Times New Roman"/>
          <w:b w:val="false"/>
          <w:i/>
          <w:color w:val="000000"/>
          <w:sz w:val="22"/>
        </w:rPr>
        <w:t xml:space="preserve">Telephone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telephone conversations. If such conversations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telephone hours. Emergency telephone conversations may be received at the time of the call or made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155.23(6)</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opportunities to conduct private written communications. If such communications are clinically contraindicated, they may be restricted. Any restriction shall be approved by the treatment supervisor and the executive director. Justification for the restriction shall be documented in the patient record. Any restriction shall be reviewed within three calendar days by the treatment supervisor, who may continue or end the restriction. Continuation of a restriction shall be documented in the patient record and shall be reviewed by the treatment supervisor every three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access to written communications. The program shall not intercept, read, or censor the U.S.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155.23(7)</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Inpatient and residential program facilities shall be appropriate for 24-hour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bedrooms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sturdily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clean mattress protected with a clean mattress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designated space for personal possessions and for hanging clothing in proximity to the sleeping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Curtains or window blinds on any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doors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Sleeping areas shall include partitioning or placement of furniture to provide privacy for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patients in a room shall be appropriate to the goals of the facility and to the ages, developmental levels, and clinical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will be allowed to keep and display personal belongings and add personal touches to the decoration of their rooms in accordance with program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shall respect the patient’s right to privacy by knocking on the door of the patient’s room before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linen, towels and washcloths shall be available minimally on a weekly basis and more often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Bathrooms.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 shall provide the facilities necessary for patients’ personal hygiene and personal privacy,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safe supply of hot and cold running potable water;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Clean towels, electric hand dryers or paper towel dispensers, toilet paper and soap;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Natural or mechanical ventilation capable of removing odors;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Tubs or showers that have slip-proof surfaces;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Partitions with doors which provide privacy if a bathroom has multiple toilet stools;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Toilets, wash basins, and other plumbing or sanitary facilities that shall at all times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bathroom facilities to inpatient and residential patients shall be one tub or shower head per 12 patients, one wash basin per 12 patients and one toilet per 8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facility is coeducational, the program shall designate and so identify separate bathrooms for male and female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written plan to be followed in the event of fire or tornado shall be conspicuously displayed on each floor or in each area that patients, concerned persons, staff or visitors occupy at the facility and shall be explained to all inpatient and residential patients as a part of their orientation to the program. Fire drills shall be conducted at least monthly, and tornado drills shall be conducted monthly from April through October.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reports of annual inspections by state or local fire safety officials or private fire protection companies approved by the department shall be maintained with records of corrective action taken by the program based on recommendations articulated in such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an adequate water supply from an approved source. A municipal water system shall meet this requirement. Private water sources shall be tested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facility shall allow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Areas in which a patient may be alone when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Areas for private conversations with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Articles of grooming and personal hygiene that are appropriate to the patient’s age, developmental level, and clinical state shall be readily available in a space reserved near the patient’s sleeping area. If access to such articles is clinically contraindicated as approved by the treatment supervisor, a patient’s personal articles may be kept under lock and key by staff. Staff shall explain to the patient the conditions under which the articles may be used. Justification for this restriction shall be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patients maintain their own living quarters or perform day-to-day housekeeping activities, these responsibilities shall be clearly defined in writing and be a part of the patient orientation program. Staff assistance and equipment shall be provided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Patients shall be allowed to wear their own clothing in accordance with program rules. If clothing is provided by programs, it shall be suited to the climate and appropriate. A laundry room shall be accessible so patients may wash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the use and location of noise-producing equipment and appliances, such as television sets, radios, computers, and CD players, do not interfere with clinical and therapeutic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recreation and outdoor activities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155.23(8)</w:t>
      </w:r>
      <w:r>
        <w:rPr>
          <w:rFonts w:ascii="Times New Roman" w:hAnsi="Times New Roman"/>
          <w:b w:val="false"/>
          <w:i w:val="false"/>
          <w:color w:val="000000"/>
          <w:sz w:val="22"/>
        </w:rPr>
        <w:t> </w:t>
      </w:r>
      <w:r>
        <w:rPr>
          <w:rFonts w:ascii="Times New Roman" w:hAnsi="Times New Roman"/>
          <w:b w:val="false"/>
          <w:i/>
          <w:color w:val="000000"/>
          <w:sz w:val="22"/>
        </w:rPr>
        <w:t xml:space="preserve">Religion-culture. </w:t>
      </w:r>
      <w:r>
        <w:rPr>
          <w:rFonts w:ascii="Times New Roman" w:hAnsi="Times New Roman"/>
          <w:b w:val="false"/>
          <w:i w:val="false"/>
          <w:color w:val="000000"/>
          <w:sz w:val="22"/>
        </w:rPr>
        <w:t>Program policies and procedures shall include a written description of any religious orientation, religious practice, or religious restrictions. For juvenile patients, this description shall be provided to the patient, parent(s) or guardian, and placing agency at the time of admission in compliance with HIPAA and DHHS, 42 CFR Part 2, regulations on the confidentiality of alcohol and drug abuse patient records. For adult patients, this information shall be available during orientation. The patient shall have the opportunity to participate in religious activities and services in accordance with the patient’s faith or that of a patient’s parent(s) or guardian if the patient is a minor. The program shall, when necessary and reasonable, arrange transportation to religious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inpatient and residential programs licensed to provide services to juveniles. </w:t>
      </w:r>
      <w:r>
        <w:rPr>
          <w:rFonts w:ascii="Times New Roman" w:hAnsi="Times New Roman"/>
          <w:b w:val="false"/>
          <w:i w:val="false"/>
          <w:color w:val="000000"/>
          <w:sz w:val="22"/>
        </w:rPr>
        <w:t>Inpatient and residential programs that provide services to juveniles under the age of 18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155.24(1)</w:t>
      </w:r>
      <w:r>
        <w:rPr>
          <w:rFonts w:ascii="Times New Roman" w:hAnsi="Times New Roman"/>
          <w:b w:val="false"/>
          <w:i w:val="false"/>
          <w:color w:val="000000"/>
          <w:sz w:val="22"/>
        </w:rPr>
        <w:t> </w:t>
      </w:r>
      <w:r>
        <w:rPr>
          <w:rFonts w:ascii="Times New Roman" w:hAnsi="Times New Roman"/>
          <w:b w:val="false"/>
          <w:i/>
          <w:color w:val="000000"/>
          <w:sz w:val="22"/>
        </w:rPr>
        <w:t xml:space="preserve">Personal possessions. </w:t>
      </w:r>
      <w:r>
        <w:rPr>
          <w:rFonts w:ascii="Times New Roman" w:hAnsi="Times New Roman"/>
          <w:b w:val="false"/>
          <w:i w:val="false"/>
          <w:color w:val="000000"/>
          <w:sz w:val="22"/>
        </w:rPr>
        <w:t>A program shall allow a patient to bring personal belongings. The program may limit or supervise the use of these items. The program shall ensure that each patient has adequate, clean, well-fitting, attractive, and seasonable clothing as required for health, comfort, and physical well-being. The clothes should be appropriate to the patient’s individual needs, age, and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155.24(2)</w:t>
      </w:r>
      <w:r>
        <w:rPr>
          <w:rFonts w:ascii="Times New Roman" w:hAnsi="Times New Roman"/>
          <w:b w:val="false"/>
          <w:i w:val="false"/>
          <w:color w:val="000000"/>
          <w:sz w:val="22"/>
        </w:rPr>
        <w:t> </w:t>
      </w:r>
      <w:r>
        <w:rPr>
          <w:rFonts w:ascii="Times New Roman" w:hAnsi="Times New Roman"/>
          <w:b w:val="false"/>
          <w:i/>
          <w:color w:val="000000"/>
          <w:sz w:val="22"/>
        </w:rPr>
        <w:t xml:space="preserve">Family involvement. </w:t>
      </w:r>
      <w:r>
        <w:rPr>
          <w:rFonts w:ascii="Times New Roman" w:hAnsi="Times New Roman"/>
          <w:b w:val="false"/>
          <w:i w:val="false"/>
          <w:color w:val="000000"/>
          <w:sz w:val="22"/>
        </w:rPr>
        <w:t>The program shall encourage family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155.24(3)</w:t>
      </w:r>
      <w:r>
        <w:rPr>
          <w:rFonts w:ascii="Times New Roman" w:hAnsi="Times New Roman"/>
          <w:b w:val="false"/>
          <w:i w:val="false"/>
          <w:color w:val="000000"/>
          <w:sz w:val="22"/>
        </w:rPr>
        <w:t> </w:t>
      </w:r>
      <w:r>
        <w:rPr>
          <w:rFonts w:ascii="Times New Roman" w:hAnsi="Times New Roman"/>
          <w:b w:val="false"/>
          <w:i/>
          <w:color w:val="000000"/>
          <w:sz w:val="22"/>
        </w:rPr>
        <w:t xml:space="preserve">Money. </w:t>
      </w:r>
      <w:r>
        <w:rPr>
          <w:rFonts w:ascii="Times New Roman" w:hAnsi="Times New Roman"/>
          <w:b w:val="false"/>
          <w:i w:val="false"/>
          <w:color w:val="000000"/>
          <w:sz w:val="22"/>
        </w:rPr>
        <w:t>Money earned or received as a gift or as an allowance by a patient shall be that patient’s personal property. The program shall maintain a separate accounting system for patient money and shall address the patient’s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155.24(4)</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The program’s methods for control and discipline of juveniles shall be available to all staff and to the juvenile’s family. Staff shall be in control of and responsible for discipline at all times. Discipline shall not include withholding basic necessities such as food, clothing, or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prohibit staff or patients from utilizing corporal punishment as a method of disciplining or correcting patients. This policy shall be communicated in writing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written policies on behavior expectations shall be made available to the patient and the patient’s parent(s) or guardian,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expectations of behavior, including the program’s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155.24(5)</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The program shall have staff coverage seven days per week, 24 hours per day. The number and qualifications of the staff will vary depending on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a 24-hour supervisory consultation on-call system. During prime programming time, there shall be at least a one-to-eight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Comprehensive residential facilities, as defined in </w:t>
      </w:r>
      <w:hyperlink r:id="rId73">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shall have at least a one-to-five staff-to-patient ratio during prime programming time. A staff person shall be in each living unit at all times when juveniles are in residence, and there shall be a minimum of three nighttime checks between the hours of 12 midnight and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checks shall be logged. The program’s policies and procedures shall address nighttime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define its prime programming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155.24(6)</w:t>
      </w:r>
      <w:r>
        <w:rPr>
          <w:rFonts w:ascii="Times New Roman" w:hAnsi="Times New Roman"/>
          <w:b w:val="false"/>
          <w:i w:val="false"/>
          <w:color w:val="000000"/>
          <w:sz w:val="22"/>
        </w:rPr>
        <w:t> </w:t>
      </w:r>
      <w:r>
        <w:rPr>
          <w:rFonts w:ascii="Times New Roman" w:hAnsi="Times New Roman"/>
          <w:b w:val="false"/>
          <w:i/>
          <w:color w:val="000000"/>
          <w:sz w:val="22"/>
        </w:rPr>
        <w:t xml:space="preserve">Illness, accident, death, or absence from the inpatient or residential program. </w:t>
      </w:r>
      <w:r>
        <w:rPr>
          <w:rFonts w:ascii="Times New Roman" w:hAnsi="Times New Roman"/>
          <w:b w:val="false"/>
          <w:i w:val="false"/>
          <w:color w:val="000000"/>
          <w:sz w:val="22"/>
        </w:rPr>
        <w:t>The program shall notify the patient’s parent(s), guardian, and responsible agency of any serious illness, incident involving serious bodily injury, absence, or removal of the juvenile from the facility, in compliance with HIPAA and DHHS, 42 CFR Part 2, regulations on the confidentiality of alcohol and drug abuse patient records. In the event of the death of a patient, the program shall immediately notify the prescriber, the patient’s parent(s) or guardian, the placing agency, and the appropriate state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155.24(7)</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The program’s educational program shall meet the requirements of the department of education and shall be available for each patient in accordance with abilities and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substance use assessment and OWI evaluation-only programs. </w:t>
      </w:r>
      <w:r>
        <w:rPr>
          <w:rFonts w:ascii="Times New Roman" w:hAnsi="Times New Roman"/>
          <w:b w:val="false"/>
          <w:i w:val="false"/>
          <w:color w:val="000000"/>
          <w:sz w:val="22"/>
        </w:rPr>
        <w:t>Programs that provide substance use assessment and OWI evaluation-only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conducting OWI evaluations on persons convicted of operating a motor vehicle while intoxicated (OWI) pursuant to Iowa Code section </w:t>
      </w:r>
      <w:hyperlink r:id="rId74">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and on persons whose driver’s license or nonresident operating privileges are revoked under Iowa Code chapter </w:t>
      </w:r>
      <w:hyperlink r:id="rId75">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shall do so in accordance with </w:t>
      </w:r>
      <w:hyperlink r:id="rId76">
        <w:r>
          <w:rPr>
            <w:rStyle w:val="Hyperlink"/>
            <w:rFonts w:ascii="Times New Roman" w:hAnsi="Times New Roman"/>
            <w:b w:val="false"/>
            <w:i w:val="false"/>
            <w:color w:val="000000"/>
            <w:sz w:val="22"/>
          </w:rPr>
          <w:t>641—Chapter 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155.25(2)</w:t>
      </w:r>
      <w:r>
        <w:rPr>
          <w:rFonts w:ascii="Times New Roman" w:hAnsi="Times New Roman"/>
          <w:b w:val="false"/>
          <w:i w:val="false"/>
          <w:color w:val="000000"/>
          <w:sz w:val="22"/>
        </w:rPr>
        <w:t> </w:t>
      </w:r>
      <w:r>
        <w:rPr>
          <w:rFonts w:ascii="Times New Roman" w:hAnsi="Times New Roman"/>
          <w:b w:val="false"/>
          <w:i w:val="false"/>
          <w:color w:val="000000"/>
          <w:sz w:val="22"/>
        </w:rPr>
        <w:t>The program shall make its fees public and shall inform potential patients of the fee at the time the assessment or evaluation is scheduled.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641—155.26</w:t>
      </w:r>
      <w:r>
        <w:rPr>
          <w:rFonts w:ascii="Times New Roman" w:hAnsi="Times New Roman"/>
          <w:b w:val="false"/>
          <w:i w:val="false"/>
          <w:color w:val="000000"/>
          <w:sz w:val="22"/>
        </w:rPr>
        <w:t xml:space="preserve"> to </w:t>
      </w:r>
      <w:r>
        <w:rPr>
          <w:rFonts w:ascii="Times New Roman" w:hAnsi="Times New Roman"/>
          <w:b/>
          <w:i w:val="false"/>
          <w:color w:val="000000"/>
          <w:sz w:val="22"/>
        </w:rPr>
        <w:t>155.33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641—155.34</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enhanced treatment services. </w:t>
      </w:r>
      <w:r>
        <w:rPr>
          <w:rFonts w:ascii="Times New Roman" w:hAnsi="Times New Roman"/>
          <w:b w:val="false"/>
          <w:i w:val="false"/>
          <w:color w:val="000000"/>
          <w:sz w:val="22"/>
        </w:rPr>
        <w:t>Substance use disorder and problem gambling treatment programs licensed to provide enhanced treatment services shall also comply with the following standards. The program’s policies and procedures shall address each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The program shall meet the requirements in subrule </w:t>
      </w:r>
      <w:hyperlink r:id="rId77">
        <w:r>
          <w:rPr>
            <w:rStyle w:val="Hyperlink"/>
            <w:rFonts w:ascii="Times New Roman" w:hAnsi="Times New Roman"/>
            <w:b w:val="false"/>
            <w:i w:val="false"/>
            <w:color w:val="000000"/>
            <w:sz w:val="22"/>
          </w:rPr>
          <w:t>155.21(8)</w:t>
        </w:r>
      </w:hyperlink>
      <w:r>
        <w:rPr>
          <w:rFonts w:ascii="Times New Roman" w:hAnsi="Times New Roman"/>
          <w:b w:val="false"/>
          <w:i w:val="false"/>
          <w:color w:val="000000"/>
          <w:sz w:val="22"/>
        </w:rPr>
        <w:t>.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policies and procedures shall include job descriptions for positions that provide prevention services for substance use disorders and problem gambling, treatment for substance use disorders and problem gambling, services for medical conditions, and services for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staff on site who are qualified to provide prevention and early intervention services for substance use disorders and problem gambling, treatment for substance use disorders and problem gambling, services for medical conditions, and services for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641—155.35</w:t>
      </w:r>
      <w:r>
        <w:rPr>
          <w:rFonts w:ascii="Times New Roman" w:hAnsi="Times New Roman"/>
          <w:b/>
          <w:i w:val="false"/>
          <w:color w:val="000000"/>
          <w:sz w:val="22"/>
        </w:rPr>
        <w:t xml:space="preserve">(125,135) </w:t>
      </w:r>
      <w:r>
        <w:rPr>
          <w:rFonts w:ascii="Times New Roman" w:hAnsi="Times New Roman"/>
          <w:b/>
          <w:i w:val="false"/>
          <w:color w:val="000000"/>
          <w:sz w:val="22"/>
        </w:rPr>
        <w:t xml:space="preserve">Specific standards for opioid treatment programs. </w:t>
      </w:r>
      <w:r>
        <w:rPr>
          <w:rFonts w:ascii="Times New Roman" w:hAnsi="Times New Roman"/>
          <w:b w:val="false"/>
          <w:i w:val="false"/>
          <w:color w:val="000000"/>
          <w:sz w:val="22"/>
        </w:rPr>
        <w:t>All programs that use methadone or other medications approved by the Food and Drug Administration under Section 505 of the Federal Food, Drug, and Cosmetic Act (21 U.S.C. 355) and by the state of Iowa for use in the treatment of opioid addiction shall comply with this rule, HIPAA, and Part II, Department of Health and Human Services, Substance Abuse and Mental Health Services Administration, 42 CFR Part 8, Opioid Drugs in Maintenance and Detoxification Treatment of Opiate Addiction, effective May 18,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opioid treatment program” </w:t>
      </w:r>
      <w:r>
        <w:rPr>
          <w:rFonts w:ascii="Times New Roman" w:hAnsi="Times New Roman"/>
          <w:b w:val="false"/>
          <w:i w:val="false"/>
          <w:color w:val="000000"/>
          <w:sz w:val="22"/>
        </w:rPr>
        <w:t>means an opioid treatment program that is the subject of a current, valid accreditation from an accreditation body approved by the Substance Abuse and Mental Health Services Administration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process by which SAMHSA determines that an opioid treatment program is qualified to provide opioid treatment under the federal opioid treatment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application” </w:t>
      </w:r>
      <w:r>
        <w:rPr>
          <w:rFonts w:ascii="Times New Roman" w:hAnsi="Times New Roman"/>
          <w:b w:val="false"/>
          <w:i w:val="false"/>
          <w:color w:val="000000"/>
          <w:sz w:val="22"/>
        </w:rPr>
        <w:t>means the application filed by an opioid treatment program for purposes of obtaining certification from SAMHSA.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opioid treatment program” </w:t>
      </w:r>
      <w:r>
        <w:rPr>
          <w:rFonts w:ascii="Times New Roman" w:hAnsi="Times New Roman"/>
          <w:b w:val="false"/>
          <w:i w:val="false"/>
          <w:color w:val="000000"/>
          <w:sz w:val="22"/>
        </w:rPr>
        <w:t>means an opioid treatment program that is the subject of a current, valid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maintenance treatment” </w:t>
      </w:r>
      <w:r>
        <w:rPr>
          <w:rFonts w:ascii="Times New Roman" w:hAnsi="Times New Roman"/>
          <w:b w:val="false"/>
          <w:i w:val="false"/>
          <w:color w:val="000000"/>
          <w:sz w:val="22"/>
        </w:rPr>
        <w:t>means maintenance treatment provided in conjunction with a comprehensive range of appropriate medical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“Detoxification treatment” </w:t>
      </w:r>
      <w:r>
        <w:rPr>
          <w:rFonts w:ascii="Times New Roman" w:hAnsi="Times New Roman"/>
          <w:b w:val="false"/>
          <w:i w:val="false"/>
          <w:color w:val="000000"/>
          <w:sz w:val="22"/>
        </w:rPr>
        <w:t>means the dispensing of an opioid agonist treatment medication in decreasing doses to an individual to alleviate adverse physical or psychological effects incident to withdrawal from the continuous or sustained use of an opioid drug and as a method of bringing the individual to a drug-free state within such a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maintenance treatment” </w:t>
      </w:r>
      <w:r>
        <w:rPr>
          <w:rFonts w:ascii="Times New Roman" w:hAnsi="Times New Roman"/>
          <w:b w:val="false"/>
          <w:i w:val="false"/>
          <w:color w:val="000000"/>
          <w:sz w:val="22"/>
        </w:rPr>
        <w:t>means detoxification treatment for a period of more than 30 days but not in excess of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treatment” </w:t>
      </w:r>
      <w:r>
        <w:rPr>
          <w:rFonts w:ascii="Times New Roman" w:hAnsi="Times New Roman"/>
          <w:b w:val="false"/>
          <w:i w:val="false"/>
          <w:color w:val="000000"/>
          <w:sz w:val="22"/>
        </w:rPr>
        <w:t>means the dispensing of an opioid agonist treatment medication at stable dosage levels for a period in excess of 21 days in the treatment of an individual for opioid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and rehabilitative services” </w:t>
      </w:r>
      <w:r>
        <w:rPr>
          <w:rFonts w:ascii="Times New Roman" w:hAnsi="Times New Roman"/>
          <w:b w:val="false"/>
          <w:i w:val="false"/>
          <w:color w:val="000000"/>
          <w:sz w:val="22"/>
        </w:rPr>
        <w:t>means services such as medical evaluations, counseling, and rehabilitative and other social programs (e.g., vocational and educational guidance, employment placement) that are intended to help patients in opioid treatment programs become or remain productive members of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 physician who is licensed to practice medicine in accordance with Iowa Code chapter </w:t>
      </w:r>
      <w:hyperlink r:id="rId7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 xml:space="preserve"> and who assumes responsibility for administering all medical services performed by the program, either by performing them directly or by delegating specific responsibility to authorized program physicians and health care professionals functioning under the medical director’s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“Medication unit” </w:t>
      </w:r>
      <w:r>
        <w:rPr>
          <w:rFonts w:ascii="Times New Roman" w:hAnsi="Times New Roman"/>
          <w:b w:val="false"/>
          <w:i w:val="false"/>
          <w:color w:val="000000"/>
          <w:sz w:val="22"/>
        </w:rPr>
        <w:t>means a facility established as part of, but geographically separate from, an opioid treatment program from which licensed private practitioners or community pharmacists dispense or administer opioid agonist treatment medications or collect samples for drug testing 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“Opiate addiction” </w:t>
      </w:r>
      <w:r>
        <w:rPr>
          <w:rFonts w:ascii="Times New Roman" w:hAnsi="Times New Roman"/>
          <w:b w:val="false"/>
          <w:i w:val="false"/>
          <w:color w:val="000000"/>
          <w:sz w:val="22"/>
        </w:rPr>
        <w:t>means a cluster of cognitive, behavioral, and physiological symptoms in which the individual continues use of opiates despite significant opiate-induced problems. Opiate dependence is characterized by an individual’s repeated self-administration of opiates that usually results in opiate tolerance, withdrawal symptoms, and compulsive drug-taking. Dependency may occur with or without the physiological symptoms of tolerance and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agonist treatment medication” </w:t>
      </w:r>
      <w:r>
        <w:rPr>
          <w:rFonts w:ascii="Times New Roman" w:hAnsi="Times New Roman"/>
          <w:b w:val="false"/>
          <w:i w:val="false"/>
          <w:color w:val="000000"/>
          <w:sz w:val="22"/>
        </w:rPr>
        <w:t>means any opioid agonist drug that is approved by the Food and Drug Administration under Section 505 of the Federal Food, Drug, and Cosmetic Act (21 U.S.C. 355) for use in the treatment of opiate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drug” </w:t>
      </w:r>
      <w:r>
        <w:rPr>
          <w:rFonts w:ascii="Times New Roman" w:hAnsi="Times New Roman"/>
          <w:b w:val="false"/>
          <w:i w:val="false"/>
          <w:color w:val="000000"/>
          <w:sz w:val="22"/>
        </w:rPr>
        <w:t>means any drug having an addiction-forming or addiction-sustaining liability similar to morphine or being capable of conversion into a drug having such addiction-forming or addiction-sustaining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w:t>
      </w:r>
      <w:r>
        <w:rPr>
          <w:rFonts w:ascii="Times New Roman" w:hAnsi="Times New Roman"/>
          <w:b w:val="false"/>
          <w:i w:val="false"/>
          <w:color w:val="000000"/>
          <w:sz w:val="22"/>
        </w:rPr>
        <w:t>means the dispensing of an opioid agonist treatment medication, along with providing a comprehensive range of medical and rehabilitative services, when clinically necessary, to an individual to alleviate the adverse medical, psychological, or physical effects incident to opiate addiction. This term encompasses detoxification treatment, short-term detoxification treatment, long-term detoxification treatment, maintenance treatment, comprehensive maintenance treatment, and interim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“OTP” </w:t>
      </w:r>
      <w:r>
        <w:rPr>
          <w:rFonts w:ascii="Times New Roman" w:hAnsi="Times New Roman"/>
          <w:b w:val="false"/>
          <w:i w:val="false"/>
          <w:color w:val="000000"/>
          <w:sz w:val="22"/>
        </w:rPr>
        <w:t>means a program or practitioner engaged in opioid treatment or interim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means any individual who undergoes treatment in an opioid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sponsor” </w:t>
      </w:r>
      <w:r>
        <w:rPr>
          <w:rFonts w:ascii="Times New Roman" w:hAnsi="Times New Roman"/>
          <w:b w:val="false"/>
          <w:i w:val="false"/>
          <w:color w:val="000000"/>
          <w:sz w:val="22"/>
        </w:rPr>
        <w:t>means the person responsible for the operation of the opioid treatment program and who assumes responsibility for all its employees, including any practitioners, agents, or other persons providing medical, rehabilitative, or counseling services at the program or any of its medication units. The program sponsor need not be a licensed physician but shall employ a licensed physician for the position of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detoxification treatment” </w:t>
      </w:r>
      <w:r>
        <w:rPr>
          <w:rFonts w:ascii="Times New Roman" w:hAnsi="Times New Roman"/>
          <w:b w:val="false"/>
          <w:i w:val="false"/>
          <w:color w:val="000000"/>
          <w:sz w:val="22"/>
        </w:rPr>
        <w:t>means detoxification treatment for a period not in excess of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authority” </w:t>
      </w:r>
      <w:r>
        <w:rPr>
          <w:rFonts w:ascii="Times New Roman" w:hAnsi="Times New Roman"/>
          <w:b w:val="false"/>
          <w:i w:val="false"/>
          <w:color w:val="000000"/>
          <w:sz w:val="22"/>
        </w:rPr>
        <w:t>means the Iowa department of public health, division of behavioral health, which regulates the treatment of opiate addiction with opioid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means a plan which outlines for each patient attainable short-term treatment goals that are mutually acceptable to the patient and the opioid treatment program and which specifies the services to be provided and the frequency and schedule for their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155.35(2)</w:t>
      </w:r>
      <w:r>
        <w:rPr>
          <w:rFonts w:ascii="Times New Roman" w:hAnsi="Times New Roman"/>
          <w:b w:val="false"/>
          <w:i w:val="false"/>
          <w:color w:val="000000"/>
          <w:sz w:val="22"/>
        </w:rPr>
        <w:t> </w:t>
      </w:r>
      <w:r>
        <w:rPr>
          <w:rFonts w:ascii="Times New Roman" w:hAnsi="Times New Roman"/>
          <w:b w:val="false"/>
          <w:i/>
          <w:color w:val="000000"/>
          <w:sz w:val="22"/>
        </w:rPr>
        <w:t xml:space="preserve">Required approvals. </w:t>
      </w:r>
      <w:r>
        <w:rPr>
          <w:rFonts w:ascii="Times New Roman" w:hAnsi="Times New Roman"/>
          <w:b w:val="false"/>
          <w:i w:val="false"/>
          <w:color w:val="000000"/>
          <w:sz w:val="22"/>
        </w:rPr>
        <w:t>All opioid treatment programs shall be licensed or approved by the committee and shall maintain all other approvals required by the Drug Enforcement Administration, Substance Abuse and Mental Health Services Administration and the Iowa board of pharmacy in order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155.35(3)</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system. </w:t>
      </w:r>
      <w:r>
        <w:rPr>
          <w:rFonts w:ascii="Times New Roman" w:hAnsi="Times New Roman"/>
          <w:b w:val="false"/>
          <w:i w:val="false"/>
          <w:color w:val="000000"/>
          <w:sz w:val="22"/>
        </w:rPr>
        <w:t>To prevent simultaneous enrollment of a patient in more than one program, all opioid treatment programs shall participate in a central registry as established by the division.</w:t>
      </w:r>
    </w:p>
    <w:p>
      <w:pPr>
        <w:spacing w:before="0" w:after="0"/>
        <w:ind w:left="120"/>
        <w:jc w:val="both"/>
      </w:pPr>
      <w:r>
        <w:rPr>
          <w:rFonts w:ascii="Times New Roman" w:hAnsi="Times New Roman"/>
          <w:b w:val="false"/>
          <w:i w:val="false"/>
          <w:color w:val="000000"/>
          <w:sz w:val="22"/>
        </w:rPr>
        <w:t>Prior to admission of an applicant to an opioid treatment program, the program shall submit to the registry the applicant’s name, birth date, and date of intended admission, and any other information required for the clearance procedure. No person shall be admitted to a program who is found by the registry to be participating in another such program. All opioid treatment programs shall report all admissions, discharges, and transfers to the registry immediately. All information reported to the registry from the programs and all information reported to the programs from the registry shall be treated as confidential in accordance with HIPAA and DHHS regulations on the confidentiality of alcohol and drug abuse patient records, 42 CFR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registry” </w:t>
      </w:r>
      <w:r>
        <w:rPr>
          <w:rFonts w:ascii="Times New Roman" w:hAnsi="Times New Roman"/>
          <w:b w:val="false"/>
          <w:i w:val="false"/>
          <w:color w:val="000000"/>
          <w:sz w:val="22"/>
        </w:rPr>
        <w:t>means the system through which the Iowa department of public health, division of behavioral health, obtains patient identifying information about individuals applying for maintenance or detoxification treatment for the purpose of preventing an individual’s concurrent enrollment in more than one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treatment program” </w:t>
      </w:r>
      <w:r>
        <w:rPr>
          <w:rFonts w:ascii="Times New Roman" w:hAnsi="Times New Roman"/>
          <w:b w:val="false"/>
          <w:i w:val="false"/>
          <w:color w:val="000000"/>
          <w:sz w:val="22"/>
        </w:rPr>
        <w:t>means a detoxification or maintenance treatment program which is required to report patient identifying information to the central registry and which is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disclosure. </w:t>
      </w:r>
      <w:r>
        <w:rPr>
          <w:rFonts w:ascii="Times New Roman" w:hAnsi="Times New Roman"/>
          <w:b w:val="false"/>
          <w:i w:val="false"/>
          <w:color w:val="000000"/>
          <w:sz w:val="22"/>
        </w:rPr>
        <w:t>A program may disclose patient identifying information to a central registry for the purpose of preventing the multiple enrollment of a patient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disclosure is made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 is admitted for treatment;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treatment is interrupted, resumed or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disclosure is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Patient identifying information;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Relevant dates of admission.</w:t>
      </w:r>
    </w:p>
    <w:p>
      <w:pPr>
        <w:spacing w:before="0" w:after="0"/>
        <w:ind w:left="120"/>
        <w:jc w:val="both"/>
      </w:pPr>
      <w:r>
        <w:rPr>
          <w:rFonts w:ascii="Times New Roman" w:hAnsi="Times New Roman"/>
          <w:b w:val="false"/>
          <w:i w:val="false"/>
          <w:color w:val="000000"/>
          <w:sz w:val="22"/>
        </w:rPr>
        <w:t>The program shall inform the patient of the required disclosure prior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information limited to prevention of multiple enrollments. </w:t>
      </w:r>
      <w:r>
        <w:rPr>
          <w:rFonts w:ascii="Times New Roman" w:hAnsi="Times New Roman"/>
          <w:b w:val="false"/>
          <w:i w:val="false"/>
          <w:color w:val="000000"/>
          <w:sz w:val="22"/>
        </w:rPr>
        <w:t>Any information disclosed to the central registry to prevent multiple enrollments shall not be redisclosed by the registry nor shall such information be used for any other purpose than the prevention of multiple enrollments unless so authorized by court order in accordance with HIPAA and 42 CFR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Permitted disclosure by the central registry to prevent a multiple enrollment. </w:t>
      </w:r>
      <w:r>
        <w:rPr>
          <w:rFonts w:ascii="Times New Roman" w:hAnsi="Times New Roman"/>
          <w:b w:val="false"/>
          <w:i w:val="false"/>
          <w:color w:val="000000"/>
          <w:sz w:val="22"/>
        </w:rPr>
        <w:t>If a program petitions the central registry and an identified patient is enrolled in another program, the registry may disclose: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program in which the patient is currently enrolled to the inquiring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inquiring program to the program in which the patient is currently enrolled. The programs may communicate as necessary to verify that no error has been made and to prevent or eliminate any multiple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155.35(4)</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or at the time of a patient’s admission to an opioid treatment program, the program shall conduct a comprehensive assessment so as to determine appropriateness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verify, to the extent possible, the patient’s name, address,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determine and document in the patient’s record that the patient is physiologically dependent on narcotic substances and has been physiologically dependent for at least one year prior to the patient’s admission. A one-year history of addiction means that the patient was physiologically dependent on a narcotic at a time one year before the patient’s admission to a program and was addicted for most of the year preceding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physiological addiction cannot be clearly documented, the program physician or an appropriately trained staff member designated and supervised by the physician shall record in the patient’s record the criteria used to determine the patient’s current physiologic dependence and history of addiction. In the latter circumstance, the program physician shall review, date, and countersign the supervised staff member’s evaluation to demonstrate the physician’s agreement with the evaluation. The program physician shall make the final determination concerning a patient’s physiologic dependence and history of addiction. The program physician shall also sign, date, and record a statement that the physician has reviewed all the documented evidence to support a one-year history of addiction and current physiologic dependence by the patient and that in the physician’s reasonable clinical judgment the patient fulfills the requirements for admission to maintenance treatment. Before the program administers any medication to the patient, the program physician shall complete and record the statement documenting the patient’s addiction and current physiologic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patient has voluntarily left an opioid treatment program in good standing and seeks readmission within two years of discharge, the program shall document the following information about the patient: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opioid treatment of six months or more;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in the physician’s medical judgment, treatment of the patient is warranted. Such documentation shall be entered in the patient’s record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program shall collect a drug screening sample for analysis. Where dependence is substantially verified through other indicators, a negative drug screen will not necessarily preclude admission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a patient’s admission, the program shall confirm with the central registry that the patient is not currently enrolled in another opioid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potential patient has previously been enrolled in another program, the admitting program shall request from the previous program a copy of the patient’s assessment data, treatment plan, and discharge summary including the type of or reason for discharge. All programs subject to these rules shall promptly respond to such a request upon receipt of a valid release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under the age of 18 is required to have had two documented attempts at short-term detoxification or drug-free treatment to be eligible for maintenance treatment. A one-week waiting period is required after such a detoxification attempt, however, before an attempt is repeated. The program physician shall document in the patient’s record that the patient continues to be, or is again, physiologically dependent on narcotic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Program staff shall ensure that a patient is voluntarily participating in the program, and the patient shall sign a Consent to Treatment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Pregnant patients may be admitted to opioid treatment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of current physiological dependency is not needed if the program physician certifies the pregnancy and, in the physician’s reasonable judgment, finds treatment to be justified. Documentation of all findings and justifications for admission shall be documented in the patient’s record by the program physician prior to the administration of the initial dose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patients shall be offered comprehensive prenatal care. If the program cannot provide prenatal services, the program shall assist the patient in obtaining such services and shall coordinate ongoing care with the collateral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document that the patient has been informed of the possible risks to the unborn child from the use of medication and the risks of continued use of illicit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Should a program have a waiting list for admission to the program, pregnant patients shall be given priority.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155.35(5)</w:t>
      </w:r>
      <w:r>
        <w:rPr>
          <w:rFonts w:ascii="Times New Roman" w:hAnsi="Times New Roman"/>
          <w:b w:val="false"/>
          <w:i w:val="false"/>
          <w:color w:val="000000"/>
          <w:sz w:val="22"/>
        </w:rPr>
        <w:t> </w:t>
      </w:r>
      <w:r>
        <w:rPr>
          <w:rFonts w:ascii="Times New Roman" w:hAnsi="Times New Roman"/>
          <w:b w:val="false"/>
          <w:i/>
          <w:color w:val="000000"/>
          <w:sz w:val="22"/>
        </w:rPr>
        <w:t xml:space="preserve">Placement, admission and assessment. </w:t>
      </w:r>
      <w:r>
        <w:rPr>
          <w:rFonts w:ascii="Times New Roman" w:hAnsi="Times New Roman"/>
          <w:b w:val="false"/>
          <w:i w:val="false"/>
          <w:color w:val="000000"/>
          <w:sz w:val="22"/>
        </w:rPr>
        <w:t>The program shall have written criteria for considering an individual for placement and admission. In addition, the program shall maintain current procedures to ensure that patients are admitted to maintenance treatment by qualified staff who have determined by using accepted medical criteria, such as those outlined in the Diagnostic and Statistical Manual for Mental Disorders, that the person is currently addicted to an opioid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physician or a designee who is a qualified medical professional shall complete a medical evaluation and a current psychological/mental status evaluation of the patient prior to the administration of the initial dose of medication. If the history and current psychological/mental status evaluation is completed by an individual other than the program physician, the program shall document in the patient’s case record that this information was reviewed by the program physician prior to administration of the initial dose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evaluation of the patient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assessment of the patient’s current psychological and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physical examination, including examination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Pulmonary, liver, or cardiac abnormalities;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Infectious disease;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Dermatologic sequela of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Laboratory tests,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Serological test for syphilis;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Urine screening for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intradermal PPD (tuberculosis skin test) and review of tetanus immunization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indicated, an EKG, chest X-ray, pap smear, pregnancy test, sickle cell screening, complete blood count and white cell differential, multiphasic chemistry profile, routine and microscopic urinalysis, or other tests indicated by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155.35(6)</w:t>
      </w:r>
      <w:r>
        <w:rPr>
          <w:rFonts w:ascii="Times New Roman" w:hAnsi="Times New Roman"/>
          <w:b w:val="false"/>
          <w:i w:val="false"/>
          <w:color w:val="000000"/>
          <w:sz w:val="22"/>
        </w:rPr>
        <w:t> </w:t>
      </w:r>
      <w:r>
        <w:rPr>
          <w:rFonts w:ascii="Times New Roman" w:hAnsi="Times New Roman"/>
          <w:b w:val="false"/>
          <w:i/>
          <w:color w:val="000000"/>
          <w:sz w:val="22"/>
        </w:rPr>
        <w:t xml:space="preserve">Treatment plans. </w:t>
      </w:r>
      <w:r>
        <w:rPr>
          <w:rFonts w:ascii="Times New Roman" w:hAnsi="Times New Roman"/>
          <w:b w:val="false"/>
          <w:i w:val="false"/>
          <w:color w:val="000000"/>
          <w:sz w:val="22"/>
        </w:rPr>
        <w:t>Based upon the initial assessment, an individualized written treatment plan shall be developed and recorded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treatment plan shall be developed and shall delineate the patient’s immediate needs and the actions required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plan shall be developed as soon after the patient’s admission as is clinically feasible, but no later than 30 days following the patient’s admission to an outpatient opioid maintenance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plans shall be developed in partnership with the patient. Comprehensive treatment plans shall be reviewed by the primary counselor and the patient as often as necessary, but no less than every 90 days during the first year and semiannually each subsequent year for opioid treatment modalities. Treatment plans shall be reviewed by the program physician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155.35(7)</w:t>
      </w:r>
      <w:r>
        <w:rPr>
          <w:rFonts w:ascii="Times New Roman" w:hAnsi="Times New Roman"/>
          <w:b w:val="false"/>
          <w:i w:val="false"/>
          <w:color w:val="000000"/>
          <w:sz w:val="22"/>
        </w:rPr>
        <w:t> </w:t>
      </w:r>
      <w:r>
        <w:rPr>
          <w:rFonts w:ascii="Times New Roman" w:hAnsi="Times New Roman"/>
          <w:b w:val="false"/>
          <w:i/>
          <w:color w:val="000000"/>
          <w:sz w:val="22"/>
        </w:rPr>
        <w:t xml:space="preserve">Rehabilitative services. </w:t>
      </w:r>
      <w:r>
        <w:rPr>
          <w:rFonts w:ascii="Times New Roman" w:hAnsi="Times New Roman"/>
          <w:b w:val="false"/>
          <w:i w:val="false"/>
          <w:color w:val="000000"/>
          <w:sz w:val="22"/>
        </w:rPr>
        <w:t>The program shall have policies and procedures on the minimum attendance for rehabilitative services relative to the patient’s progress and length of involvement in treatment. The minimum frequency of rehabilitative services shall occur at the same frequency as that of on-site dosing for patients receiving more than two take-home dosages a week in the first year. The minimum frequency for rehabilitative services for patients receiving two or fewer take-home dosages shall be weekly. The program shall provide rehabilitative services that are appropriate for the patient based on needs identified during the assessment process. A patient who does not comply with the program’s rehabilitative service requirements shall be placed on a period of probation as defined by the program or shall be required to immediately increase the frequency of clinic attendance for medication and rehabilitative services. If, during a period of probation, the patient continues to be in noncompliance with rehabilitation services, the program shall continue to increase the attendance requirement until daily attendance is obtained or until the patient complies with rehabilitative services. This requirement shall not preclude the program’s ability to determine that discharge of a patient is warranted for therapeutic reasons or program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155.35(8)</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determine the patient’s initial and subsequent dose of medication and on-site dosing schedule and shall assume responsibility for the amount of the narcotic drug administered or dispensed and shall record, date, and sign in each patient’s case record each change in the dosage schedule. The physician shall directly communicate orders to the pharmacy or registered or licensed personnel supervising medication administration. The program physician may communicate such orders verbally; however, orders shall be reduced to writing and countersigned within 72 hours by the program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dose of medication shall not exceed 30 milligrams, and the total dose for the first day shall not exceed 40 milligrams, unless the program physician documents in the patient’s case record that 40 milligrams did not suppress opiate abstinence symptoms. A patient transferring into the program or on a guest-dosing status may receive an initial dosage of no more than the last daily dosage authorized by the former or primary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shall be administered by a professional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medication shall be administered until the patient has completed admission procedures unless the patient enters the program on a weekend and the central registry cannot be contacted. If, in the clinical judgment of the program physician, a patient is experiencing an emergency situation, the admission procedures may be completed on the following workday.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Take-home medication shall be labeled in accordance with state and federal law and have childproof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medication administration log shall be kept in the dosing area and in the patient’s case record. The amount of medication administered and the signature of the staff member authorized to administer the medication shall also be included in the patient’s case record. No dose shall be administered until the patient has been positively identified and the dosage amount has been compared with the currently ordered and documented dosage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Ingestion shall be observed and verified by the staff person authorized to administer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record, date, and sign in each patient’s case record each change in the dosage schedule. Daily dosages of medications in excess of 100 milligrams shall be dispensed only with the approval of the program physician and shall be documented and justified in the patient’s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155.35(9)</w:t>
      </w:r>
      <w:r>
        <w:rPr>
          <w:rFonts w:ascii="Times New Roman" w:hAnsi="Times New Roman"/>
          <w:b w:val="false"/>
          <w:i w:val="false"/>
          <w:color w:val="000000"/>
          <w:sz w:val="22"/>
        </w:rPr>
        <w:t> </w:t>
      </w:r>
      <w:r>
        <w:rPr>
          <w:rFonts w:ascii="Times New Roman" w:hAnsi="Times New Roman"/>
          <w:b w:val="false"/>
          <w:i/>
          <w:color w:val="000000"/>
          <w:sz w:val="22"/>
        </w:rPr>
        <w:t xml:space="preserve">Take-home or unsupervised medication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Take-home medication may be given to patients who demonstrate a need for a more flexible schedule in order to enhance and continue rehabilitative progress. For patients receiving take-home medication, the program shall document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Absence of recent abuse of drugs (narcotic or nonnarcotic), including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Regular attendance at the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a licensed or approved treatment program for rehabilitative services (e.g., programs are considered approved when licensed or approved in accordance with Iowa Code chapter </w:t>
      </w:r>
      <w:hyperlink r:id="rId8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Absence of recent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Stable home environment and social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 employment or participation in school or similar responsible activities related to employment, education or vocation;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Assurance that medication can be safely transported and stored by the patient for the patient’s own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granting take-home privileges, the program physician shall document in the patient’s case record that all the above criteria have been considered and that, in the physician’s professional judgment, the risk of diversion or abuse is outweighed by the rehabilitative benefits to be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patient meets the above criteria, the patient may receive take-home medication according to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first 90 days of treatment, the take-home supply is limited to a single dose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second 90 days of treatment, the take-home supply is limited to two doses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During the third 90 days of treatment, the take-home supply is limited to three doses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remaining months of the first year, a patient may be given a maximum six-day supply of take-home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After one year of continuous treatment, a patient may be given a maximum two-week supply of take-home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After two years of continuous treatment, a patient may be given a maximum one-month supply of take-home medication;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Take-home medication shall not be dispensed to patients in interim maintenance treatment or detoxification.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patient is unable to conform to the applicable mandatory schedule, a revised schedule may be permitted provided that the program receives an exception to these rules from the division and SAMHSA, when applicable. A copy of the written exception shall be placed in the patient’s case record. The division will consider exceptions only in unusual circumstances. When a program is applying for less frequent pickups for patients, approval will be based on considerations in addition to distance if another program exists within 25 miles of the patient’s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Should a patient receiving take-home medication provide a drug screen that is confirmed either positive for substances or negative for the prescribed medication, the program shall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physician shall place the patient on three months’ probation, as defined by the program, or increase the patient’s frequency of clinic dosing after considering the patient’s overall progress and length of involvement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Should the patient provide a drug screen that is positive for substances or negative for medication during a period of probation, the program physician shall increase the patient’s frequency of clinic attendance for dosage pickup for at least three months. If after the three-month period the patient meets the eligibility criteria, the patient may return to the previous take-home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Take-home or unsupervised dosages of medication in excess of 100 milligrams may be dispensed by the program physician when the need for those dosages is carefully reviewed and considered and justified in the patient’s case record based on the physician’s clinical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155.35(10)</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Each program shall establish policies and procedures for the collection of drug-screening specimens and utilization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an initial drug-screening test or analysis is completed for each prospective patient and that at least eight additional random tests or analyses are performed on each patient during the patient’s first year in maintenance treatment and that at least quarterly random tests or analyses are performed on each patient in maintenance treatment for each subsequent year. When a sample is collected from each patient for such a test or analysis, it shall be done in a manner that minimizes opportunity for falsification. Each test or analysis shall be analyzed for opiates, methadone, amphetamines, cocaine, and barbiturates. In addition, if any other drug or drugs have been determined by a program to be abused in that program’s locality, or as otherwise indicated, each test or analysis must be analyzed for any of those drugs as well. Any laboratory that performs the testing required under this rule shall be in compliance with all applicable federal proficiency testing and licensing standards and all applicable state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ensure that test results are not used as the sole criterion to force a patient out of treatment but are used as a guide to change treatment approaches. The program shall also ensure that when test results are used, presumptive laboratory results are distinguished from results that are definitive.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155.35(11)</w:t>
      </w:r>
      <w:r>
        <w:rPr>
          <w:rFonts w:ascii="Times New Roman" w:hAnsi="Times New Roman"/>
          <w:b w:val="false"/>
          <w:i w:val="false"/>
          <w:color w:val="000000"/>
          <w:sz w:val="22"/>
        </w:rPr>
        <w:t> </w:t>
      </w:r>
      <w:r>
        <w:rPr>
          <w:rFonts w:ascii="Times New Roman" w:hAnsi="Times New Roman"/>
          <w:b w:val="false"/>
          <w:i/>
          <w:color w:val="000000"/>
          <w:sz w:val="22"/>
        </w:rPr>
        <w:t xml:space="preserve">Diversion prevention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develop a diversion identification and prevention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Outlines the methods by which the program shall detect possible diversion of take-home medication;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actions to be taken when diversion is identified or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establish and implement proactive procedures to reduce the likelihood or possibility of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155.35(12)</w:t>
      </w:r>
      <w:r>
        <w:rPr>
          <w:rFonts w:ascii="Times New Roman" w:hAnsi="Times New Roman"/>
          <w:b w:val="false"/>
          <w:i w:val="false"/>
          <w:color w:val="000000"/>
          <w:sz w:val="22"/>
        </w:rPr>
        <w:t> </w:t>
      </w:r>
      <w:r>
        <w:rPr>
          <w:rFonts w:ascii="Times New Roman" w:hAnsi="Times New Roman"/>
          <w:b w:val="false"/>
          <w:i/>
          <w:color w:val="000000"/>
          <w:sz w:val="22"/>
        </w:rPr>
        <w:t xml:space="preserve">Interim maintenance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offer interim maintenance treatment when, due to capacity, the program cannot place the patient in a program offering comprehensive services within 14 days of the patient’s application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approved program may provide interim maintenance treatment only if the program also provides comprehensive maintenance treatment to which interim maintenance treatment patients may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a public or nonprofit private narcotic treatment program may provide interim maintenance 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must receive approval of both the U.S. Food and Drug Administration and the division of behavioral health;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director must certify that the program seeking such authorization is unable to place patients in a public or private nonprofit program within a reasonable geographic area within 14 days of the patient’s application for admission and that interim maintenance treatment will not reduce the capacity of the program’s comprehensive maintenance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Patients admitted to interim maintenance treatment shall be transferred to comprehensive maintenance treatment within 120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Minimum standards for interim maintenance treatment. The program may admit a patient who is eligible for comprehensive maintenance treatment to interim maintenance treatment if the patient cannot be placed in a public or private nonprofit comprehensive program within a reasonable geographic area and within 14 days of application for services. An initial drug screen and at least two other drug screens shall be taken from the patient during the maximum admission period of 120 days. A program shall establish and follow reasonable criteria for determining the transfer of patients to comprehensive maintenance treatment. These transfer criteria shall be in writing and available for inspection and shall include at a minimum a preference for the transfer of pregnant patients. Interim maintenance shall be conducted in accordance with all applicable federal regulations and state rules. The program shall notify the division when a patient begins interim treatment, when a patient leaves interim treatment, and when a patient transfers to comprehensive maintenance treatment. Such notifications shall be documented by the program in the patient’s case record. All requirements for comprehensive maintenance treatment apply to interim maintenance treatment,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medication is required to be administered daily under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Take-home medication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and comprehensive treatment plans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primary counselor is not required to be assigned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Interim maintenance treatment cannot be provided for longer than 120 days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155.35(13)</w:t>
      </w: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All opioid treatment programs shall obtain and retain accreditation by a recognized national accreditation organization. The national accreditation bodies currently recognized as meeting committee criteria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Council on Accreditation of Children and Family Services (COA).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American Osteopathic Association (AOA).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TUBERCULOSIS (TB) SCREENING: HEALTH CARE WORKERS AND RESIDENTS</w:t>
      </w:r>
    </w:p>
    <w:p>
      <w:pPr>
        <w:spacing w:before="0" w:after="0"/>
        <w:ind w:left="120"/>
        <w:jc w:val="both"/>
      </w:pPr>
      <w:r>
        <w:rPr>
          <w:rFonts w:ascii="Times New Roman" w:hAnsi="Times New Roman"/>
          <w:b/>
          <w:i w:val="false"/>
          <w:color w:val="000000"/>
          <w:sz w:val="22"/>
        </w:rPr>
        <w:t>641—155.36</w:t>
      </w:r>
      <w:r>
        <w:rPr>
          <w:rFonts w:ascii="Times New Roman" w:hAnsi="Times New Roman"/>
          <w:b/>
          <w:i w:val="false"/>
          <w:color w:val="000000"/>
          <w:sz w:val="22"/>
        </w:rPr>
        <w:t xml:space="preserve">(125,135)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outline procedures for conducting tuberculosis (TB) screening for health care workers and residents at substance use disorder and problem gambling treatment program facilities. Facilities will need to conduct a risk assessment to determine the risk classification of the facility and to identify appropriate screening criteria. The screening criteria are consistent with those of the U.S. Centers for Disease Control and Prevention (CDC), TB Elimination Division, as outlined in the MMWR December 30, 2005/Vol. 54/No.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RR-17, “Guidelines for Preventing the Transmission of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 Health-Care Settings, 2005.”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641—155.37</w:t>
      </w:r>
      <w:r>
        <w:rPr>
          <w:rFonts w:ascii="Times New Roman" w:hAnsi="Times New Roman"/>
          <w:b/>
          <w:i w:val="false"/>
          <w:color w:val="000000"/>
          <w:sz w:val="22"/>
        </w:rPr>
        <w:t xml:space="preserve">(125,135)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“Bacille Calmette-Guerin (BCG) vaccination” </w:t>
      </w:r>
      <w:r>
        <w:rPr>
          <w:rFonts w:ascii="Times New Roman" w:hAnsi="Times New Roman"/>
          <w:b w:val="false"/>
          <w:i w:val="false"/>
          <w:color w:val="000000"/>
          <w:sz w:val="22"/>
        </w:rPr>
        <w:t xml:space="preserve">means a vaccine for TB. BCG is used in many countries with a high prevalence of TB to prevent childhood tuberculosis meningitis and military disease. BCG is not generally recommended for use in the United States because of the low risk of infection with </w:t>
      </w:r>
      <w:r>
        <w:rPr>
          <w:rFonts w:ascii="Times New Roman" w:hAnsi="Times New Roman"/>
          <w:b w:val="false"/>
          <w:i/>
          <w:color w:val="000000"/>
          <w:sz w:val="22"/>
        </w:rPr>
        <w:t>Mycobacterium tuberculosis</w:t>
      </w:r>
      <w:r>
        <w:rPr>
          <w:rFonts w:ascii="Times New Roman" w:hAnsi="Times New Roman"/>
          <w:b w:val="false"/>
          <w:i w:val="false"/>
          <w:color w:val="000000"/>
          <w:sz w:val="22"/>
        </w:rPr>
        <w:t>, the variable effectiveness of the vaccine against adult pulmonary TB, and the vaccine’s potential interference with tuberculin skin test reactivity.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w:t>
      </w:r>
      <w:r>
        <w:rPr>
          <w:rFonts w:ascii="Times New Roman" w:hAnsi="Times New Roman"/>
          <w:b w:val="false"/>
          <w:i w:val="false"/>
          <w:color w:val="000000"/>
          <w:sz w:val="22"/>
        </w:rPr>
        <w:t xml:space="preserve">means the screening of staff and residents for latent tuberculosis infection (LTBI) and TB disease at the beginning of employment or upon admission to a facility. Baseline TB screening includes a symptom screen for all staff and residents and tuberculin skin tests (TSTs) or interferon-gamma release assay (IGRA) for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for those staff and residents with previous negative test results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TST”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“baseline IGRA” </w:t>
      </w:r>
      <w:r>
        <w:rPr>
          <w:rFonts w:ascii="Times New Roman" w:hAnsi="Times New Roman"/>
          <w:b w:val="false"/>
          <w:i w:val="false"/>
          <w:color w:val="000000"/>
          <w:sz w:val="22"/>
        </w:rPr>
        <w:t>means the TST or IGRA, respectively, that is administered at the beginning of employment to newly hired staff or upon admission to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“Boosting” </w:t>
      </w:r>
      <w:r>
        <w:rPr>
          <w:rFonts w:ascii="Times New Roman" w:hAnsi="Times New Roman"/>
          <w:b w:val="false"/>
          <w:i w:val="false"/>
          <w:color w:val="000000"/>
          <w:sz w:val="22"/>
        </w:rPr>
        <w:t xml:space="preserve">means a phenomenon in which a person has a negative TST (i.e., false-negative) result years after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and then a positive subsequent TST result. The positive TST result is caused by a boosted immune response of previous sensitivity rather than by a new infection (false-positive TST conversion). Two-step testing reduces the likelihood of mistaking a boosted reaction for a new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“Extrapulmonary TB” </w:t>
      </w:r>
      <w:r>
        <w:rPr>
          <w:rFonts w:ascii="Times New Roman" w:hAnsi="Times New Roman"/>
          <w:b w:val="false"/>
          <w:i w:val="false"/>
          <w:color w:val="000000"/>
          <w:sz w:val="22"/>
        </w:rPr>
        <w:t>means TB disease in any part of the body other than the lungs (e.g., kidney, spine, or lymph nodes).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“Interferon-gamma release assay”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“IGRA” </w:t>
      </w:r>
      <w:r>
        <w:rPr>
          <w:rFonts w:ascii="Times New Roman" w:hAnsi="Times New Roman"/>
          <w:b w:val="false"/>
          <w:i w:val="false"/>
          <w:color w:val="000000"/>
          <w:sz w:val="22"/>
        </w:rPr>
        <w:t xml:space="preserve">means a whole-blood test that can aid in diagnosing </w:t>
      </w:r>
      <w:r>
        <w:rPr>
          <w:rFonts w:ascii="Times New Roman" w:hAnsi="Times New Roman"/>
          <w:b w:val="false"/>
          <w:i/>
          <w:color w:val="000000"/>
          <w:sz w:val="22"/>
        </w:rPr>
        <w:t>Mycobacterium tuberculosis</w:t>
      </w:r>
      <w:r>
        <w:rPr>
          <w:rFonts w:ascii="Times New Roman" w:hAnsi="Times New Roman"/>
          <w:b w:val="false"/>
          <w:i w:val="false"/>
          <w:color w:val="000000"/>
          <w:sz w:val="22"/>
        </w:rPr>
        <w:t xml:space="preserve">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“Laryngeal TB” </w:t>
      </w:r>
      <w:r>
        <w:rPr>
          <w:rFonts w:ascii="Times New Roman" w:hAnsi="Times New Roman"/>
          <w:b w:val="false"/>
          <w:i w:val="false"/>
          <w:color w:val="000000"/>
          <w:sz w:val="22"/>
        </w:rPr>
        <w:t>means a form of TB disease that involves the larynx and may be highly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“Latent TB infection”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“LTBI” </w:t>
      </w:r>
      <w:r>
        <w:rPr>
          <w:rFonts w:ascii="Times New Roman" w:hAnsi="Times New Roman"/>
          <w:b w:val="false"/>
          <w:i w:val="false"/>
          <w:color w:val="000000"/>
          <w:sz w:val="22"/>
        </w:rPr>
        <w:t xml:space="preserve">means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without symptoms or signs of disease having manifested.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“Mantoux method” </w:t>
      </w:r>
      <w:r>
        <w:rPr>
          <w:rFonts w:ascii="Times New Roman" w:hAnsi="Times New Roman"/>
          <w:b w:val="false"/>
          <w:i w:val="false"/>
          <w:color w:val="000000"/>
          <w:sz w:val="22"/>
        </w:rPr>
        <w:t>means a skin test performed by intradermally injecting 0.1 mL of purified protein derivative (PPD) tuberculin solution into the volar or dorsal surface of the forearm.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“Pulmonary TB” </w:t>
      </w:r>
      <w:r>
        <w:rPr>
          <w:rFonts w:ascii="Times New Roman" w:hAnsi="Times New Roman"/>
          <w:b w:val="false"/>
          <w:i w:val="false"/>
          <w:color w:val="000000"/>
          <w:sz w:val="22"/>
        </w:rPr>
        <w:t>means TB disease that occurs in the lung parenchyma, usually producing a cough that lasts three weeks or longer. Pulmonary TB is usually infectious.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“Purified protein derivative (PPD) tuberculin” </w:t>
      </w:r>
      <w:r>
        <w:rPr>
          <w:rFonts w:ascii="Times New Roman" w:hAnsi="Times New Roman"/>
          <w:b w:val="false"/>
          <w:i w:val="false"/>
          <w:color w:val="000000"/>
          <w:sz w:val="22"/>
        </w:rPr>
        <w:t xml:space="preserve">means a material used in diagnostic tests for detecting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classification” </w:t>
      </w:r>
      <w:r>
        <w:rPr>
          <w:rFonts w:ascii="Times New Roman" w:hAnsi="Times New Roman"/>
          <w:b w:val="false"/>
          <w:i w:val="false"/>
          <w:color w:val="000000"/>
          <w:sz w:val="22"/>
        </w:rPr>
        <w:t>means the category on which the infection control team, or designated other, determines the setting’s TB risk classification is based, as a result of the TB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“Serial screening” </w:t>
      </w:r>
      <w:r>
        <w:rPr>
          <w:rFonts w:ascii="Times New Roman" w:hAnsi="Times New Roman"/>
          <w:b w:val="false"/>
          <w:i w:val="false"/>
          <w:color w:val="000000"/>
          <w:sz w:val="22"/>
        </w:rPr>
        <w:t xml:space="preserve">refers to TB screening performed at regular intervals following baseline TB screening. Serial TB screening, also called annual or ongoing TB testing, consists of two components: (1) assessing for current symptoms of active TB disease, and (2) testing for the presence of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by administering either a TST or single IGRA.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“Symptom screen” </w:t>
      </w:r>
      <w:r>
        <w:rPr>
          <w:rFonts w:ascii="Times New Roman" w:hAnsi="Times New Roman"/>
          <w:b w:val="false"/>
          <w:i w:val="false"/>
          <w:color w:val="000000"/>
          <w:sz w:val="22"/>
        </w:rPr>
        <w:t>means a procedure used during a clinical evaluation in which patients are asked if they have experienced any departure from normal in function, appearance, or sensation related to TB disease (e.g., cough).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patient” </w:t>
      </w:r>
      <w:r>
        <w:rPr>
          <w:rFonts w:ascii="Times New Roman" w:hAnsi="Times New Roman"/>
          <w:b w:val="false"/>
          <w:i w:val="false"/>
          <w:color w:val="000000"/>
          <w:sz w:val="22"/>
        </w:rPr>
        <w:t>means a person who had undiagnosed infectious pulmonary or laryngeal TB while in the facility during the preceding year. “TB patient” does not include persons with LTBI (treated or untreated), extrapulmonary TB disease,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means an initial and ongoing evaluation of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a particular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screening” </w:t>
      </w:r>
      <w:r>
        <w:rPr>
          <w:rFonts w:ascii="Times New Roman" w:hAnsi="Times New Roman"/>
          <w:b w:val="false"/>
          <w:i w:val="false"/>
          <w:color w:val="000000"/>
          <w:sz w:val="22"/>
        </w:rPr>
        <w:t>means an administrative control measure in which evaluation for LTBI and TB disease is performed through baseline and serial screening of staff and residents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“TB screening plan” </w:t>
      </w:r>
      <w:r>
        <w:rPr>
          <w:rFonts w:ascii="Times New Roman" w:hAnsi="Times New Roman"/>
          <w:b w:val="false"/>
          <w:i w:val="false"/>
          <w:color w:val="000000"/>
          <w:sz w:val="22"/>
        </w:rPr>
        <w:t xml:space="preserve">means a plan that facilities develop and implement that comprises four major components: (1)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(2)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(3) serial screening for signs or symptoms of TB disease, and (4) TB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for LTBI” </w:t>
      </w:r>
      <w:r>
        <w:rPr>
          <w:rFonts w:ascii="Times New Roman" w:hAnsi="Times New Roman"/>
          <w:b w:val="false"/>
          <w:i w:val="false"/>
          <w:color w:val="000000"/>
          <w:sz w:val="22"/>
        </w:rPr>
        <w:t xml:space="preserve">means treatment that prevents the progression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into TB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“TST” </w:t>
      </w:r>
      <w:r>
        <w:rPr>
          <w:rFonts w:ascii="Times New Roman" w:hAnsi="Times New Roman"/>
          <w:b w:val="false"/>
          <w:i w:val="false"/>
          <w:color w:val="000000"/>
          <w:sz w:val="22"/>
        </w:rPr>
        <w:t xml:space="preserve">means a diagnostic aid for finding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The Mantoux method is the recommended method to be used for the TST.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w:t>
      </w:r>
      <w:r>
        <w:rPr>
          <w:rFonts w:ascii="Times New Roman" w:hAnsi="Times New Roman"/>
          <w:b w:val="false"/>
          <w:i w:val="false"/>
          <w:color w:val="000000"/>
          <w:sz w:val="22"/>
        </w:rPr>
        <w:t xml:space="preserve">means the namesake member organism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and the most common causative infectious agent of TB disease in humans. In certain instances, the species name refers to the entire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which includes </w:t>
      </w:r>
      <w:r>
        <w:rPr>
          <w:rFonts w:ascii="Times New Roman" w:hAnsi="Times New Roman"/>
          <w:b w:val="false"/>
          <w:i/>
          <w:color w:val="000000"/>
          <w:sz w:val="22"/>
        </w:rPr>
        <w:t>M. bovis</w:t>
      </w:r>
      <w:r>
        <w:rPr>
          <w:rFonts w:ascii="Times New Roman" w:hAnsi="Times New Roman"/>
          <w:b w:val="false"/>
          <w:i w:val="false"/>
          <w:color w:val="000000"/>
          <w:sz w:val="22"/>
        </w:rPr>
        <w:t xml:space="preserve"> and </w:t>
      </w:r>
      <w:r>
        <w:rPr>
          <w:rFonts w:ascii="Times New Roman" w:hAnsi="Times New Roman"/>
          <w:b w:val="false"/>
          <w:i/>
          <w:color w:val="000000"/>
          <w:sz w:val="22"/>
        </w:rPr>
        <w:t>M. african</w:t>
      </w:r>
      <w:r>
        <w:rPr>
          <w:rFonts w:ascii="Times New Roman" w:hAnsi="Times New Roman"/>
          <w:b w:val="false"/>
          <w:i w:val="false"/>
          <w:color w:val="000000"/>
          <w:sz w:val="22"/>
        </w:rPr>
        <w:t xml:space="preserve">, </w:t>
      </w:r>
      <w:r>
        <w:rPr>
          <w:rFonts w:ascii="Times New Roman" w:hAnsi="Times New Roman"/>
          <w:b w:val="false"/>
          <w:i/>
          <w:color w:val="000000"/>
          <w:sz w:val="22"/>
        </w:rPr>
        <w:t>M. microti</w:t>
      </w:r>
      <w:r>
        <w:rPr>
          <w:rFonts w:ascii="Times New Roman" w:hAnsi="Times New Roman"/>
          <w:b w:val="false"/>
          <w:i w:val="false"/>
          <w:color w:val="000000"/>
          <w:sz w:val="22"/>
        </w:rPr>
        <w:t xml:space="preserve">, </w:t>
      </w:r>
      <w:r>
        <w:rPr>
          <w:rFonts w:ascii="Times New Roman" w:hAnsi="Times New Roman"/>
          <w:b w:val="false"/>
          <w:i/>
          <w:color w:val="000000"/>
          <w:sz w:val="22"/>
        </w:rPr>
        <w:t>M. canetti</w:t>
      </w:r>
      <w:r>
        <w:rPr>
          <w:rFonts w:ascii="Times New Roman" w:hAnsi="Times New Roman"/>
          <w:b w:val="false"/>
          <w:i w:val="false"/>
          <w:color w:val="000000"/>
          <w:sz w:val="22"/>
        </w:rPr>
        <w:t xml:space="preserve">, </w:t>
      </w:r>
      <w:r>
        <w:rPr>
          <w:rFonts w:ascii="Times New Roman" w:hAnsi="Times New Roman"/>
          <w:b w:val="false"/>
          <w:i/>
          <w:color w:val="000000"/>
          <w:sz w:val="22"/>
        </w:rPr>
        <w:t>M. caprae</w:t>
      </w:r>
      <w:r>
        <w:rPr>
          <w:rFonts w:ascii="Times New Roman" w:hAnsi="Times New Roman"/>
          <w:b w:val="false"/>
          <w:i w:val="false"/>
          <w:color w:val="000000"/>
          <w:sz w:val="22"/>
        </w:rPr>
        <w:t xml:space="preserve">, and </w:t>
      </w:r>
      <w:r>
        <w:rPr>
          <w:rFonts w:ascii="Times New Roman" w:hAnsi="Times New Roman"/>
          <w:b w:val="false"/>
          <w:i/>
          <w:color w:val="000000"/>
          <w:sz w:val="22"/>
        </w:rPr>
        <w:t>M. pinnipedii</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“Tuberculosis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“TB disease” </w:t>
      </w:r>
      <w:r>
        <w:rPr>
          <w:rFonts w:ascii="Times New Roman" w:hAnsi="Times New Roman"/>
          <w:b w:val="false"/>
          <w:i w:val="false"/>
          <w:color w:val="000000"/>
          <w:sz w:val="22"/>
        </w:rPr>
        <w:t xml:space="preserve">means a condition caused by infection with a member of the </w:t>
      </w:r>
      <w:r>
        <w:rPr>
          <w:rFonts w:ascii="Times New Roman" w:hAnsi="Times New Roman"/>
          <w:b w:val="false"/>
          <w:i/>
          <w:color w:val="000000"/>
          <w:sz w:val="22"/>
        </w:rPr>
        <w:t>M. tuberculosis</w:t>
      </w:r>
      <w:r>
        <w:rPr>
          <w:rFonts w:ascii="Times New Roman" w:hAnsi="Times New Roman"/>
          <w:b w:val="false"/>
          <w:i w:val="false"/>
          <w:color w:val="000000"/>
          <w:sz w:val="22"/>
        </w:rPr>
        <w:t xml:space="preserve"> complex that has progressed to causing clinical (manifesting symptoms or signs) or subclinical (early stage of disease in which signs or symptoms are not present, but other indications of disease activity are present)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“Two-step tuberculin skin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“two-step TST” </w:t>
      </w:r>
      <w:r>
        <w:rPr>
          <w:rFonts w:ascii="Times New Roman" w:hAnsi="Times New Roman"/>
          <w:b w:val="false"/>
          <w:i w:val="false"/>
          <w:color w:val="000000"/>
          <w:sz w:val="22"/>
        </w:rPr>
        <w:t>means the procedure used for the baseline skin testing of persons who will receive serial TSTs to reduce the likelihood of mistaking a boosted reaction for a new infection.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641—155.38</w:t>
      </w:r>
      <w:r>
        <w:rPr>
          <w:rFonts w:ascii="Times New Roman" w:hAnsi="Times New Roman"/>
          <w:b/>
          <w:i w:val="false"/>
          <w:color w:val="000000"/>
          <w:sz w:val="22"/>
        </w:rPr>
        <w:t xml:space="preserve">(125,135) </w:t>
      </w:r>
      <w:r>
        <w:rPr>
          <w:rFonts w:ascii="Times New Roman" w:hAnsi="Times New Roman"/>
          <w:b/>
          <w:i w:val="false"/>
          <w:color w:val="000000"/>
          <w:sz w:val="22"/>
        </w:rPr>
        <w:t xml:space="preserve">Tuberculosis screening of staff and residents.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155.38(1)</w:t>
      </w:r>
      <w:r>
        <w:rPr>
          <w:rFonts w:ascii="Times New Roman" w:hAnsi="Times New Roman"/>
          <w:b w:val="false"/>
          <w:i w:val="false"/>
          <w:color w:val="000000"/>
          <w:sz w:val="22"/>
        </w:rPr>
        <w:t> </w:t>
      </w:r>
      <w:r>
        <w:rPr>
          <w:rFonts w:ascii="Times New Roman" w:hAnsi="Times New Roman"/>
          <w:b w:val="false"/>
          <w:i/>
          <w:color w:val="000000"/>
          <w:sz w:val="22"/>
        </w:rPr>
        <w:t xml:space="preserve">TB risk assessment. </w:t>
      </w:r>
      <w:r>
        <w:rPr>
          <w:rFonts w:ascii="Times New Roman" w:hAnsi="Times New Roman"/>
          <w:b w:val="false"/>
          <w:i w:val="false"/>
          <w:color w:val="000000"/>
          <w:sz w:val="22"/>
        </w:rPr>
        <w:t xml:space="preserve">Annually, each facility shall conduct a TB risk assessment to evaluate the risk for transmission of </w:t>
      </w:r>
      <w:r>
        <w:rPr>
          <w:rFonts w:ascii="Times New Roman" w:hAnsi="Times New Roman"/>
          <w:b w:val="false"/>
          <w:i/>
          <w:color w:val="000000"/>
          <w:sz w:val="22"/>
        </w:rPr>
        <w:t>M. tuberculosis</w:t>
      </w:r>
      <w:r>
        <w:rPr>
          <w:rFonts w:ascii="Times New Roman" w:hAnsi="Times New Roman"/>
          <w:b w:val="false"/>
          <w:i w:val="false"/>
          <w:color w:val="000000"/>
          <w:sz w:val="22"/>
        </w:rPr>
        <w:t>, regardless of whether a person with suspected or confirmed TB disease is expected to be encountered in the facility. The TB risk assessment shall be utilized to determine the types of administrative, environmental, and respiratory protection controls needed and serves as an ongoing evaluation tool of the quality of TB infection control and for the identification of needed improvements in infection control measures. The risk assessment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 rate of 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persons with infectious TB encountered in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speed with which persons with infectious TB are suspected, isolated, and evaluated to determine if persons with infectious TB exposed staff or others in the facility. TB cases include persons who had undiagnosed infectious pulmonary or laryngeal TB while in the facility during the preceding year. This does not include persons with LTBI (treated or untreated), persons with extrapulmonary TB disease, or persons with pulmonary or laryngeal TB who have met criteria for noninfectiousness.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155.38(2)</w:t>
      </w:r>
      <w:r>
        <w:rPr>
          <w:rFonts w:ascii="Times New Roman" w:hAnsi="Times New Roman"/>
          <w:b w:val="false"/>
          <w:i w:val="false"/>
          <w:color w:val="000000"/>
          <w:sz w:val="22"/>
        </w:rPr>
        <w:t> </w:t>
      </w:r>
      <w:r>
        <w:rPr>
          <w:rFonts w:ascii="Times New Roman" w:hAnsi="Times New Roman"/>
          <w:b w:val="false"/>
          <w:i/>
          <w:color w:val="000000"/>
          <w:sz w:val="22"/>
        </w:rPr>
        <w:t xml:space="preserve">Facility risk classification. </w:t>
      </w:r>
      <w:r>
        <w:rPr>
          <w:rFonts w:ascii="Times New Roman" w:hAnsi="Times New Roman"/>
          <w:b w:val="false"/>
          <w:i w:val="false"/>
          <w:color w:val="000000"/>
          <w:sz w:val="22"/>
        </w:rPr>
        <w:t>The infection control team or designated staff in a facility is responsible for determining the type of risk classification of the facility. The facility risk classification is used to determine the frequency of TB screening. The facility risk classification may change due to an increase or decrease in the number of TB cases during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risk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 risk” means that a facility is one in which persons with active TB disease are not expected to be encountered and in which exposure to TB is unlikely.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“Medium risk” means that a facility is one in which health care workers will or might be exposed to persons with active TB disease or to clinical specimens that might contain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ongoing transmission” means that a facility is one in which there is evidence of person-to-person transmission of </w:t>
      </w:r>
      <w:r>
        <w:rPr>
          <w:rFonts w:ascii="Times New Roman" w:hAnsi="Times New Roman"/>
          <w:b w:val="false"/>
          <w:i/>
          <w:color w:val="000000"/>
          <w:sz w:val="22"/>
        </w:rPr>
        <w:t>M. tuberculosis</w:t>
      </w:r>
      <w:r>
        <w:rPr>
          <w:rFonts w:ascii="Times New Roman" w:hAnsi="Times New Roman"/>
          <w:b w:val="false"/>
          <w:i w:val="false"/>
          <w:color w:val="000000"/>
          <w:sz w:val="22"/>
        </w:rPr>
        <w:t>. This classification is a temporary classification. If it is determined that this classification applies to a facility, the facility shall consult with the department’s TB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criteria—low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fewer than six TB patients for the preceding year, the facility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fewer than three TB patients for the preceding year, the facility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fewer than three TB patients for the preceding year, the facility shall be classified as low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200 or more beds: If a facility has six or more TB patients for the preceding year, the facility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Inpatient settings with fewer than 200 beds: If a facility has three or more TB patients for the preceding year, the facility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Outpatient, outreach, and home-based health care settings: If a facility has three or more TB patients for the preceding year, the facility shall be classified as medium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Classification criteria—potential ongoing transmission. </w:t>
      </w:r>
      <w:r>
        <w:rPr>
          <w:rFonts w:ascii="Times New Roman" w:hAnsi="Times New Roman"/>
          <w:b w:val="false"/>
          <w:i w:val="false"/>
          <w:color w:val="000000"/>
          <w:sz w:val="22"/>
        </w:rPr>
        <w:t xml:space="preserve">If evidence of ongoing </w:t>
      </w:r>
      <w:r>
        <w:rPr>
          <w:rFonts w:ascii="Times New Roman" w:hAnsi="Times New Roman"/>
          <w:b w:val="false"/>
          <w:i/>
          <w:color w:val="000000"/>
          <w:sz w:val="22"/>
        </w:rPr>
        <w:t>M. tuberculosis</w:t>
      </w:r>
      <w:r>
        <w:rPr>
          <w:rFonts w:ascii="Times New Roman" w:hAnsi="Times New Roman"/>
          <w:b w:val="false"/>
          <w:i w:val="false"/>
          <w:color w:val="000000"/>
          <w:sz w:val="22"/>
        </w:rPr>
        <w:t xml:space="preserve"> transmission exists at a facility, the facility shall be classified as potential ongoing transmission, regardless of the facility’s previous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155.38(3)</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facility staff members shall receive baseline TB screening upon hire.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may begin working with patients after a negative TB symptom screen (i.e., no symptoms of active TB disease) and a negative TST (i.e., first step) or a negative IGRA. The second TST may be performed after the staff member starts working with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staff member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staff member with documentation of past positive test results (i.e., TST or IGRA) and documentation of the results of a chest radiograph indicating no active disease, dated after the date of the positive TST or IGRA test result, does not need another chest radiograph at the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staff with a documented history of TB disease,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interferon-gamma (IFN-g)). All other staff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staff member has a documented TST result from any time during the previous 12 months. If a newly employed staff member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Previous BCG vaccination is not a contraindication to having an IGRA, a TST or two-step skin testing administered. Health care workers with previous BCG vaccination should receive baseline and serial testing in the same manner as those without BCG vaccination. Evaluation of TST reactions in persons vaccinated with BCG should be interpreted using the same criteria for those not BCG-vaccinated. A health care worker’s history of BCG vaccination should be disregarded when administering and interpreting TST results. Previous BCG vaccination does not cause a false-positive IGRA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155.38(4)</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low risk. </w:t>
      </w:r>
      <w:r>
        <w:rPr>
          <w:rFonts w:ascii="Times New Roman" w:hAnsi="Times New Roman"/>
          <w:b w:val="false"/>
          <w:i w:val="false"/>
          <w:color w:val="000000"/>
          <w:sz w:val="22"/>
        </w:rPr>
        <w:t xml:space="preserve">After baseline testing of staff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additional TB screening of staff is not necessary unless an exposure to </w:t>
      </w:r>
      <w:r>
        <w:rPr>
          <w:rFonts w:ascii="Times New Roman" w:hAnsi="Times New Roman"/>
          <w:b w:val="false"/>
          <w:i/>
          <w:color w:val="000000"/>
          <w:sz w:val="22"/>
        </w:rPr>
        <w:t>M. tuberculosis</w:t>
      </w:r>
      <w:r>
        <w:rPr>
          <w:rFonts w:ascii="Times New Roman" w:hAnsi="Times New Roman"/>
          <w:b w:val="false"/>
          <w:i w:val="false"/>
          <w:color w:val="000000"/>
          <w:sz w:val="22"/>
        </w:rPr>
        <w:t xml:space="preserv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medium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undergoing baseline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staff should receive TB screening annually (i.e., symptom screen for all staff members and 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for staff members with baseline negative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members with a baseline positive or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documentation of previous treatment for LTBI or TB disease shall receive one chest radiograph result to exclude TB disease. Instead of participating in serial testing, staff should receive a symptom screen annually. This screen should be accomplished by educating the staff about symptoms of TB disease and instructing the staff members to report any such symptoms immediately to the occupational health unit. Treatment for LTBI should be considered in accordance with CDC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Facilities classified as potential ongoing transmission. </w:t>
      </w:r>
      <w:r>
        <w:rPr>
          <w:rFonts w:ascii="Times New Roman" w:hAnsi="Times New Roman"/>
          <w:b w:val="false"/>
          <w:i w:val="false"/>
          <w:color w:val="000000"/>
          <w:sz w:val="22"/>
        </w:rPr>
        <w:t xml:space="preserve">Testing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may need to be performed every eight to ten weeks until lapses in infection control have been corrected and no additional evidence of ongoing transmission is apparent. The potential ongoing transmission classification should be used only as a temporary classification. This classification warrants immediate investigation and corrective steps. After a determination that ongoing transmission has ceased, the setting shall be reclassified as medium risk for a minimum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155.38(5)</w:t>
      </w:r>
      <w:r>
        <w:rPr>
          <w:rFonts w:ascii="Times New Roman" w:hAnsi="Times New Roman"/>
          <w:b w:val="false"/>
          <w:i w:val="false"/>
          <w:color w:val="000000"/>
          <w:sz w:val="22"/>
        </w:rPr>
        <w:t> </w:t>
      </w:r>
      <w:r>
        <w:rPr>
          <w:rFonts w:ascii="Times New Roman" w:hAnsi="Times New Roman"/>
          <w:b w:val="false"/>
          <w:i/>
          <w:color w:val="000000"/>
          <w:sz w:val="22"/>
        </w:rPr>
        <w:t xml:space="preserve">Screening of staff who transfer to other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another low-risk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serial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is not necessary for staff transferring from a low-risk facility to another low-risk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 transferring from a low-risk facility to a medium-risk facility. </w:t>
      </w:r>
      <w:r>
        <w:rPr>
          <w:rFonts w:ascii="Times New Roman" w:hAnsi="Times New Roman"/>
          <w:b w:val="false"/>
          <w:i w:val="false"/>
          <w:color w:val="000000"/>
          <w:sz w:val="22"/>
        </w:rPr>
        <w:t xml:space="preserve">After a baseline result for infection with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is established and documented, annual TB screening, including a symptom screen and TST or IGRA for persons with previously negative test results, should be performed for staff transferring from a low-risk facility to a medium-risk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155.38(6)</w:t>
      </w:r>
      <w:r>
        <w:rPr>
          <w:rFonts w:ascii="Times New Roman" w:hAnsi="Times New Roman"/>
          <w:b w:val="false"/>
          <w:i w:val="false"/>
          <w:color w:val="000000"/>
          <w:sz w:val="22"/>
        </w:rPr>
        <w:t> </w:t>
      </w:r>
      <w:r>
        <w:rPr>
          <w:rFonts w:ascii="Times New Roman" w:hAnsi="Times New Roman"/>
          <w:b w:val="false"/>
          <w:i/>
          <w:color w:val="000000"/>
          <w:sz w:val="22"/>
        </w:rPr>
        <w:t xml:space="preserve">Baseline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TB screening is a formal procedure to evaluate residents for LTBI and TB disease. Baseline TB screening consists of two components: (1) assessing for current symptoms of active TB disease and (2) using a two-step TST or a single IGRA to test for infection with </w:t>
      </w:r>
      <w:r>
        <w:rPr>
          <w:rFonts w:ascii="Times New Roman" w:hAnsi="Times New Roman"/>
          <w:b w:val="false"/>
          <w:i/>
          <w:color w:val="000000"/>
          <w:sz w:val="22"/>
        </w:rPr>
        <w:t>M. tuberculosis.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assessed for current symptoms of active TB disease upon admission. Within 72 hours of a resident’s admission, baseline TB testing for infection shall be initiated unless baseline TB testing occurred within three months prior to the resident’s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with a new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(i.e., TST or IGRA) shall receive one chest radiograph result to exclude TB disease. Repeat radiographs are not needed unless symptoms or signs of TB disease develop or unless recommended by a clinician.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with documentation of past positive test results (i.e., TST or IGRA) and documentation of the results of a chest radiograph indicating no active disease, dated after the date of the positive TST or IGRA test result, do not need another chest radiograph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TB, TST or IGRA tests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do not need to be performed for residents with a documented history of TB disease, a documented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or documented completion of treatment for LTBI or TB disease. Documentation of a previously positive test result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can be substituted for a baseline test result if the documentation includes a recorded TST result in millimeters or IGRA result, including the concentration of cytokine measured (e.g., IFN-g). All other residents should undergo baseline testing for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infection to ensure that the test result on record in the setting has been performed and measured using the recommended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second TST is not needed if the resident has a documented TST result from any time during the previous 12 months. If a new resident has had a documented negative TST result within the previous 12 months, a single TST can be administered in the new setting. This additional TST represents the second stage of two-step testing. The second test decreases the possibility that boosting on later testing will lead to incorrect suspicion of transmission of </w:t>
      </w:r>
      <w:r>
        <w:rPr>
          <w:rFonts w:ascii="Times New Roman" w:hAnsi="Times New Roman"/>
          <w:b w:val="false"/>
          <w:i/>
          <w:color w:val="000000"/>
          <w:sz w:val="22"/>
        </w:rPr>
        <w:t>M. tuberculosis</w:t>
      </w:r>
      <w:r>
        <w:rPr>
          <w:rFonts w:ascii="Times New Roman" w:hAnsi="Times New Roman"/>
          <w:b w:val="false"/>
          <w:i w:val="false"/>
          <w:color w:val="000000"/>
          <w:sz w:val="22"/>
        </w:rPr>
        <w:t xml:space="preserve"> in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After baseline TB screening is accomplished, serial TB screening of the residents is not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155.38(7)</w:t>
      </w:r>
      <w:r>
        <w:rPr>
          <w:rFonts w:ascii="Times New Roman" w:hAnsi="Times New Roman"/>
          <w:b w:val="false"/>
          <w:i w:val="false"/>
          <w:color w:val="000000"/>
          <w:sz w:val="22"/>
        </w:rPr>
        <w:t> </w:t>
      </w:r>
      <w:r>
        <w:rPr>
          <w:rFonts w:ascii="Times New Roman" w:hAnsi="Times New Roman"/>
          <w:b w:val="false"/>
          <w:i/>
          <w:color w:val="000000"/>
          <w:sz w:val="22"/>
        </w:rPr>
        <w:t xml:space="preserve">Serial TB screening procedures for residents of residential, inpatient, and halfway house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is discharged and readmitted to a facility and less than 12 months have passed since the last TB screening, residents should receive a symptom screen upon readmittance. This screen should be accomplished by educating the resident about symptoms of TB disease and instructing the resident to report any such symptoms immediately to the infection control team or designated other staff. If symptoms or signs of TB disease are documented, then a medical evaluation to include a chest X-ray to rule out TB disease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discharged and readmitted to a facility and more than 12 months have passed since the last TB screening, baseline TB screening should be repeated as outlined in subrule </w:t>
      </w:r>
      <w:hyperlink r:id="rId82">
        <w:r>
          <w:rPr>
            <w:rStyle w:val="Hyperlink"/>
            <w:rFonts w:ascii="Times New Roman" w:hAnsi="Times New Roman"/>
            <w:b w:val="false"/>
            <w:i w:val="false"/>
            <w:color w:val="000000"/>
            <w:sz w:val="22"/>
          </w:rPr>
          <w:t>155.38(6).</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1926C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3">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125.21</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135.150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3/20/78—published 4/5/78, effective 3/20/78]</w:t>
      </w:r>
    </w:p>
    <w:p>
      <w:pPr>
        <w:spacing w:before="0" w:after="0"/>
        <w:ind w:left="120"/>
        <w:jc w:val="center"/>
      </w:pPr>
      <w:r>
        <w:rPr>
          <w:rFonts w:ascii="Times New Roman" w:hAnsi="Times New Roman"/>
          <w:b w:val="false"/>
          <w:i w:val="false"/>
          <w:color w:val="000000"/>
          <w:sz w:val="21"/>
        </w:rPr>
        <w:t>[Filed 6/9/78, Notice 5/3/78—published 6/28/78, effective 8/2/78]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12/14/78, Notice 11/1/78—published 12/27/78, effective 1/31/79]</w:t>
      </w:r>
    </w:p>
    <w:p>
      <w:pPr>
        <w:spacing w:before="0" w:after="0"/>
        <w:ind w:left="120"/>
        <w:jc w:val="center"/>
      </w:pPr>
      <w:r>
        <w:rPr>
          <w:rFonts w:ascii="Times New Roman" w:hAnsi="Times New Roman"/>
          <w:b w:val="false"/>
          <w:i w:val="false"/>
          <w:color w:val="000000"/>
          <w:sz w:val="21"/>
        </w:rPr>
        <w:t>[Filed 9/26/80, Notice 7/9/80—published 10/15/80, effective 11/19/80]</w:t>
      </w:r>
    </w:p>
    <w:p>
      <w:pPr>
        <w:spacing w:before="0" w:after="0"/>
        <w:ind w:left="120"/>
        <w:jc w:val="center"/>
      </w:pPr>
      <w:r>
        <w:rPr>
          <w:rFonts w:ascii="Times New Roman" w:hAnsi="Times New Roman"/>
          <w:b w:val="false"/>
          <w:i w:val="false"/>
          <w:color w:val="000000"/>
          <w:sz w:val="21"/>
        </w:rPr>
        <w:t>[Filed 1/30/81, Notice 12/10/80—published 2/18/81, effective 3/25/81]</w:t>
      </w:r>
    </w:p>
    <w:p>
      <w:pPr>
        <w:spacing w:before="0" w:after="0"/>
        <w:ind w:left="120"/>
        <w:jc w:val="center"/>
      </w:pPr>
      <w:r>
        <w:rPr>
          <w:rFonts w:ascii="Times New Roman" w:hAnsi="Times New Roman"/>
          <w:b w:val="false"/>
          <w:i w:val="false"/>
          <w:color w:val="000000"/>
          <w:sz w:val="21"/>
        </w:rPr>
        <w:t>[Filed 5/22/81, Notice 3/18/81—published 6/10/81, effective 7/15/81]</w:t>
      </w:r>
    </w:p>
    <w:p>
      <w:pPr>
        <w:spacing w:before="0" w:after="0"/>
        <w:ind w:left="120"/>
        <w:jc w:val="center"/>
      </w:pPr>
      <w:r>
        <w:rPr>
          <w:rFonts w:ascii="Times New Roman" w:hAnsi="Times New Roman"/>
          <w:b w:val="false"/>
          <w:i w:val="false"/>
          <w:color w:val="000000"/>
          <w:sz w:val="21"/>
        </w:rPr>
        <w:t>[Filed 9/18/81, Notice 7/22/81—published 10/14/81, effective 11/18/81]</w:t>
      </w:r>
    </w:p>
    <w:p>
      <w:pPr>
        <w:spacing w:before="0" w:after="0"/>
        <w:ind w:left="120"/>
        <w:jc w:val="center"/>
      </w:pPr>
      <w:r>
        <w:rPr>
          <w:rFonts w:ascii="Times New Roman" w:hAnsi="Times New Roman"/>
          <w:b w:val="false"/>
          <w:i w:val="false"/>
          <w:color w:val="000000"/>
          <w:sz w:val="21"/>
        </w:rPr>
        <w:t>[Filed 11/20/81, Notice 8/19/81—published 12/9/81, effective 1/13/82]</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emergency 3/26/82—published 4/14/82, effective 3/26/82]</w:t>
      </w:r>
    </w:p>
    <w:p>
      <w:pPr>
        <w:spacing w:before="0" w:after="0"/>
        <w:ind w:left="120"/>
        <w:jc w:val="center"/>
      </w:pPr>
      <w:r>
        <w:rPr>
          <w:rFonts w:ascii="Times New Roman" w:hAnsi="Times New Roman"/>
          <w:b w:val="false"/>
          <w:i w:val="false"/>
          <w:color w:val="000000"/>
          <w:sz w:val="21"/>
        </w:rPr>
        <w:t>[Filed 3/26/82, Notice 1/6/82—published 4/14/82, effective 5/19/82]</w:t>
      </w:r>
    </w:p>
    <w:p>
      <w:pPr>
        <w:spacing w:before="0" w:after="0"/>
        <w:ind w:left="120"/>
        <w:jc w:val="center"/>
      </w:pPr>
      <w:r>
        <w:rPr>
          <w:rFonts w:ascii="Times New Roman" w:hAnsi="Times New Roman"/>
          <w:b w:val="false"/>
          <w:i w:val="false"/>
          <w:color w:val="000000"/>
          <w:sz w:val="21"/>
        </w:rPr>
        <w:t>[Filed 9/24/82, Notice 6/23/82—published 10/13/82, effective 11/17/82]</w:t>
      </w:r>
    </w:p>
    <w:p>
      <w:pPr>
        <w:spacing w:before="0" w:after="0"/>
        <w:ind w:left="120"/>
        <w:jc w:val="center"/>
      </w:pPr>
      <w:r>
        <w:rPr>
          <w:rFonts w:ascii="Times New Roman" w:hAnsi="Times New Roman"/>
          <w:b w:val="false"/>
          <w:i w:val="false"/>
          <w:color w:val="000000"/>
          <w:sz w:val="21"/>
        </w:rPr>
        <w:t>[Filed 11/18/82, Notice 10/13/82—published 12/8/82, effective 1/12/83]</w:t>
      </w:r>
    </w:p>
    <w:p>
      <w:pPr>
        <w:spacing w:before="0" w:after="0"/>
        <w:ind w:left="120"/>
        <w:jc w:val="center"/>
      </w:pPr>
      <w:r>
        <w:rPr>
          <w:rFonts w:ascii="Times New Roman" w:hAnsi="Times New Roman"/>
          <w:b w:val="false"/>
          <w:i w:val="false"/>
          <w:color w:val="000000"/>
          <w:sz w:val="21"/>
        </w:rPr>
        <w:t>[Filed 6/2/83, Notice 4/13/83—published 6/22/83, effective 7/27/83]</w:t>
      </w:r>
    </w:p>
    <w:p>
      <w:pPr>
        <w:spacing w:before="0" w:after="0"/>
        <w:ind w:left="120"/>
        <w:jc w:val="center"/>
      </w:pPr>
      <w:r>
        <w:rPr>
          <w:rFonts w:ascii="Times New Roman" w:hAnsi="Times New Roman"/>
          <w:b w:val="false"/>
          <w:i w:val="false"/>
          <w:color w:val="000000"/>
          <w:sz w:val="21"/>
        </w:rPr>
        <w:t>[Filed emergency 7/27/84—published 8/15/84, effective 7/27/84]</w:t>
      </w:r>
    </w:p>
    <w:p>
      <w:pPr>
        <w:spacing w:before="0" w:after="0"/>
        <w:ind w:left="120"/>
        <w:jc w:val="center"/>
      </w:pPr>
      <w:r>
        <w:rPr>
          <w:rFonts w:ascii="Times New Roman" w:hAnsi="Times New Roman"/>
          <w:b w:val="false"/>
          <w:i w:val="false"/>
          <w:color w:val="000000"/>
          <w:sz w:val="21"/>
        </w:rPr>
        <w:t>[Filed 10/19/84, Notice 8/15/84—published 11/7/84, effective 12/12/84]</w:t>
      </w:r>
    </w:p>
    <w:p>
      <w:pPr>
        <w:spacing w:before="0" w:after="0"/>
        <w:ind w:left="120"/>
        <w:jc w:val="center"/>
      </w:pPr>
      <w:r>
        <w:rPr>
          <w:rFonts w:ascii="Times New Roman" w:hAnsi="Times New Roman"/>
          <w:b w:val="false"/>
          <w:i w:val="false"/>
          <w:color w:val="000000"/>
          <w:sz w:val="21"/>
        </w:rPr>
        <w:t>[Filed 9/20/85, Notice 6/19/85—published 10/9/85, effective 11/13/85]</w:t>
      </w:r>
    </w:p>
    <w:p>
      <w:pPr>
        <w:spacing w:before="0" w:after="0"/>
        <w:ind w:left="120"/>
        <w:jc w:val="center"/>
      </w:pPr>
      <w:r>
        <w:rPr>
          <w:rFonts w:ascii="Times New Roman" w:hAnsi="Times New Roman"/>
          <w:b w:val="false"/>
          <w:i w:val="false"/>
          <w:color w:val="000000"/>
          <w:sz w:val="21"/>
        </w:rPr>
        <w:t>[Filed emergency 2/21/86—published 3/12/86, effective 2/21/86]</w:t>
      </w:r>
    </w:p>
    <w:p>
      <w:pPr>
        <w:spacing w:before="0" w:after="0"/>
        <w:ind w:left="120"/>
        <w:jc w:val="center"/>
      </w:pPr>
      <w:r>
        <w:rPr>
          <w:rFonts w:ascii="Times New Roman" w:hAnsi="Times New Roman"/>
          <w:b w:val="false"/>
          <w:i w:val="false"/>
          <w:color w:val="000000"/>
          <w:sz w:val="21"/>
        </w:rPr>
        <w:t>[Filed 5/30/86, Notice 3/12/86—published 6/18/86, effective 7/23/86]</w:t>
      </w:r>
    </w:p>
    <w:p>
      <w:pPr>
        <w:spacing w:before="0" w:after="0"/>
        <w:ind w:left="120"/>
        <w:jc w:val="center"/>
      </w:pPr>
      <w:r>
        <w:rPr>
          <w:rFonts w:ascii="Times New Roman" w:hAnsi="Times New Roman"/>
          <w:b w:val="false"/>
          <w:i w:val="false"/>
          <w:color w:val="000000"/>
          <w:sz w:val="21"/>
        </w:rPr>
        <w:t>[Filed emergency 6/26/87—published 7/15/87, effective 6/26/87]</w:t>
      </w:r>
    </w:p>
    <w:p>
      <w:pPr>
        <w:spacing w:before="0" w:after="0"/>
        <w:ind w:left="120"/>
        <w:jc w:val="center"/>
      </w:pPr>
      <w:r>
        <w:rPr>
          <w:rFonts w:ascii="Times New Roman" w:hAnsi="Times New Roman"/>
          <w:b w:val="false"/>
          <w:i w:val="false"/>
          <w:color w:val="000000"/>
          <w:sz w:val="21"/>
        </w:rPr>
        <w:t>[Filed 7/8/88, Notice 3/23/88—published 7/27/88, effective 8/31/88]</w:t>
      </w:r>
    </w:p>
    <w:p>
      <w:pPr>
        <w:spacing w:before="0" w:after="0"/>
        <w:ind w:left="120"/>
        <w:jc w:val="center"/>
      </w:pPr>
      <w:r>
        <w:rPr>
          <w:rFonts w:ascii="Times New Roman" w:hAnsi="Times New Roman"/>
          <w:b w:val="false"/>
          <w:i w:val="false"/>
          <w:color w:val="000000"/>
          <w:sz w:val="21"/>
        </w:rPr>
        <w:t>[Filed 10/28/88, Notice 8/10/88—published 11/16/88, effective 12/21/88]</w:t>
      </w:r>
    </w:p>
    <w:p>
      <w:pPr>
        <w:spacing w:before="0" w:after="0"/>
        <w:ind w:left="120"/>
        <w:jc w:val="center"/>
      </w:pPr>
      <w:r>
        <w:rPr>
          <w:rFonts w:ascii="Times New Roman" w:hAnsi="Times New Roman"/>
          <w:b w:val="false"/>
          <w:i w:val="false"/>
          <w:color w:val="000000"/>
          <w:sz w:val="21"/>
        </w:rPr>
        <w:t>[Filed 7/2/93, Notice 4/14/93—published 7/21/93, effective 8/25/93]</w:t>
      </w:r>
    </w:p>
    <w:p>
      <w:pPr>
        <w:spacing w:before="0" w:after="0"/>
        <w:ind w:left="120"/>
        <w:jc w:val="center"/>
      </w:pPr>
      <w:r>
        <w:rPr>
          <w:rFonts w:ascii="Times New Roman" w:hAnsi="Times New Roman"/>
          <w:b w:val="false"/>
          <w:i w:val="false"/>
          <w:color w:val="000000"/>
          <w:sz w:val="21"/>
        </w:rPr>
        <w:t>[Filed 2/25/94, Notice 9/29/93—published 3/16/94, effective 4/20/94]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6/24/94—published 7/20/94, effective 6/24/94]</w:t>
      </w:r>
    </w:p>
    <w:p>
      <w:pPr>
        <w:spacing w:before="0" w:after="0"/>
        <w:ind w:left="120"/>
        <w:jc w:val="center"/>
      </w:pPr>
      <w:r>
        <w:rPr>
          <w:rFonts w:ascii="Times New Roman" w:hAnsi="Times New Roman"/>
          <w:b w:val="false"/>
          <w:i w:val="false"/>
          <w:color w:val="000000"/>
          <w:sz w:val="21"/>
        </w:rPr>
        <w:t>[Filed 8/25/95, Notice 6/7/95—published 9/13/95, effective 10/18/95]</w:t>
      </w:r>
    </w:p>
    <w:p>
      <w:pPr>
        <w:spacing w:before="0" w:after="0"/>
        <w:ind w:left="120"/>
        <w:jc w:val="center"/>
      </w:pPr>
      <w:r>
        <w:rPr>
          <w:rFonts w:ascii="Times New Roman" w:hAnsi="Times New Roman"/>
          <w:b w:val="false"/>
          <w:i w:val="false"/>
          <w:color w:val="000000"/>
          <w:sz w:val="21"/>
        </w:rPr>
        <w:t>[Filed 9/8/95, Notice 5/24/95—published 9/27/95, effective 11/1/95]</w:t>
      </w:r>
    </w:p>
    <w:p>
      <w:pPr>
        <w:spacing w:before="0" w:after="0"/>
        <w:ind w:left="120"/>
        <w:jc w:val="center"/>
      </w:pPr>
      <w:r>
        <w:rPr>
          <w:rFonts w:ascii="Times New Roman" w:hAnsi="Times New Roman"/>
          <w:b w:val="false"/>
          <w:i w:val="false"/>
          <w:color w:val="000000"/>
          <w:sz w:val="21"/>
        </w:rPr>
        <w:t>[Filed 3/6/98, Notice 11/19/97—published 3/25/98, effective 4/29/98]</w:t>
      </w:r>
    </w:p>
    <w:p>
      <w:pPr>
        <w:spacing w:before="0" w:after="0"/>
        <w:ind w:left="120"/>
        <w:jc w:val="center"/>
      </w:pPr>
      <w:r>
        <w:rPr>
          <w:rFonts w:ascii="Times New Roman" w:hAnsi="Times New Roman"/>
          <w:b w:val="false"/>
          <w:i w:val="false"/>
          <w:color w:val="000000"/>
          <w:sz w:val="21"/>
        </w:rPr>
        <w:t>[Filed 12/20/00, Notice 8/9/00—published 1/10/01, effective 2/14/01]</w:t>
      </w:r>
    </w:p>
    <w:p>
      <w:pPr>
        <w:spacing w:before="0" w:after="0"/>
        <w:ind w:left="120"/>
        <w:jc w:val="center"/>
      </w:pPr>
      <w:r>
        <w:rPr>
          <w:rFonts w:ascii="Times New Roman" w:hAnsi="Times New Roman"/>
          <w:b w:val="false"/>
          <w:i w:val="false"/>
          <w:color w:val="000000"/>
          <w:sz w:val="21"/>
        </w:rPr>
        <w:t>[Filed 6/22/01, Notice 3/21/01—published 7/11/01, effective 8/15/01]</w:t>
      </w:r>
    </w:p>
    <w:p>
      <w:pPr>
        <w:spacing w:before="0" w:after="0"/>
        <w:ind w:left="120"/>
        <w:jc w:val="center"/>
      </w:pPr>
      <w:r>
        <w:rPr>
          <w:rFonts w:ascii="Times New Roman" w:hAnsi="Times New Roman"/>
          <w:b w:val="false"/>
          <w:i w:val="false"/>
          <w:color w:val="000000"/>
          <w:sz w:val="21"/>
        </w:rPr>
        <w:t>[Filed 8/29/02, Notice 6/26/02—published 9/18/02, effective 10/23/02]</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Emergency After Notice ARC 8792B</w:t>
      </w:r>
      <w:r>
        <w:rPr>
          <w:rFonts w:ascii="Times New Roman" w:hAnsi="Times New Roman"/>
          <w:b w:val="false"/>
          <w:i w:val="false"/>
          <w:color w:val="000000"/>
          <w:sz w:val="21"/>
        </w:rPr>
        <w:t xml:space="preserve"> (Notice ARC 8628B, IAB 3/24/10)</w:t>
      </w:r>
      <w:r>
        <w:rPr>
          <w:rFonts w:ascii="Times New Roman" w:hAnsi="Times New Roman"/>
          <w:b w:val="false"/>
          <w:i w:val="false"/>
          <w:color w:val="000000"/>
          <w:sz w:val="21"/>
        </w:rPr>
        <w:t>, IAB 6/2/10, effective 7/1/10]</w:t>
      </w:r>
    </w:p>
    <w:p>
      <w:pPr>
        <w:spacing w:before="0" w:after="0"/>
        <w:ind w:left="120"/>
        <w:jc w:val="center"/>
      </w:pPr>
      <w:r>
        <w:rPr>
          <w:rFonts w:ascii="Times New Roman" w:hAnsi="Times New Roman"/>
          <w:b w:val="false"/>
          <w:i w:val="false"/>
          <w:color w:val="000000"/>
          <w:sz w:val="21"/>
        </w:rPr>
        <w:t>[Filed ARC 9534B</w:t>
      </w:r>
      <w:r>
        <w:rPr>
          <w:rFonts w:ascii="Times New Roman" w:hAnsi="Times New Roman"/>
          <w:b w:val="false"/>
          <w:i w:val="false"/>
          <w:color w:val="000000"/>
          <w:sz w:val="21"/>
        </w:rPr>
        <w:t xml:space="preserve"> (Notice ARC 9436B, IAB 3/23/11)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9774B</w:t>
      </w:r>
      <w:r>
        <w:rPr>
          <w:rFonts w:ascii="Times New Roman" w:hAnsi="Times New Roman"/>
          <w:b w:val="false"/>
          <w:i w:val="false"/>
          <w:color w:val="000000"/>
          <w:sz w:val="21"/>
        </w:rPr>
        <w:t xml:space="preserve"> (Notice ARC 9638B,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0365C</w:t>
      </w:r>
      <w:r>
        <w:rPr>
          <w:rFonts w:ascii="Times New Roman" w:hAnsi="Times New Roman"/>
          <w:b w:val="false"/>
          <w:i w:val="false"/>
          <w:color w:val="000000"/>
          <w:sz w:val="21"/>
        </w:rPr>
        <w:t xml:space="preserve"> (Notice ARC 0227C, IAB 7/25/12)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1926C</w:t>
      </w:r>
      <w:r>
        <w:rPr>
          <w:rFonts w:ascii="Times New Roman" w:hAnsi="Times New Roman"/>
          <w:b w:val="false"/>
          <w:i w:val="false"/>
          <w:color w:val="000000"/>
          <w:sz w:val="21"/>
        </w:rPr>
        <w:t xml:space="preserve"> (Notice ARC 1745C, IAB 12/10/14; </w:t>
      </w:r>
      <w:r>
        <w:rPr>
          <w:rFonts w:ascii="Times New Roman" w:hAnsi="Times New Roman"/>
          <w:b w:val="false"/>
          <w:i w:val="false"/>
          <w:color w:val="000000"/>
          <w:sz w:val="21"/>
        </w:rPr>
        <w:t>Amended Notice ARC 1814C, IAB 1/7/15)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4706C</w:t>
      </w:r>
      <w:r>
        <w:rPr>
          <w:rFonts w:ascii="Times New Roman" w:hAnsi="Times New Roman"/>
          <w:b w:val="false"/>
          <w:i w:val="false"/>
          <w:color w:val="000000"/>
          <w:sz w:val="21"/>
        </w:rPr>
        <w:t xml:space="preserve"> (Notice ARC 4541C,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pBdr>
          <w:bottom w:space="2"/>
        </w:pBdr>
        <w:spacing w:before="0" w:after="0"/>
        <w:ind w:left="120"/>
        <w:jc w:val="both"/>
      </w:pPr>
      <w:r>
        <w:rPr>
          <w:rFonts w:ascii="Times New Roman" w:hAnsi="Times New Roman"/>
          <w:b w:val="false"/>
          <w:i w:val="false"/>
          <w:color w:val="000000"/>
          <w:sz w:val="22"/>
        </w:rPr>
        <w:t>Effective date of Ch 3 delayed by the Administrative Rules Review Committee 70 days from 8/2/78.</w:t>
      </w:r>
      <w:r>
        <w:br/>
      </w:r>
      <w:r>
        <w:rPr>
          <w:rFonts w:ascii="Times New Roman" w:hAnsi="Times New Roman"/>
          <w:b w:val="false"/>
          <w:i w:val="false"/>
          <w:color w:val="000000"/>
          <w:sz w:val="22"/>
        </w:rPr>
        <w:t>Delay suspended by the Administrative Rules Review Committee at their meeting held on 9/11/78.</w:t>
      </w:r>
    </w:p>
    <w:p>
      <w:pPr>
        <w:pBdr>
          <w:bottom w:space="2"/>
        </w:pBdr>
        <w:spacing w:before="0" w:after="0"/>
        <w:ind w:left="120"/>
        <w:jc w:val="both"/>
      </w:pPr>
      <w:r>
        <w:rPr>
          <w:rFonts w:ascii="Times New Roman" w:hAnsi="Times New Roman"/>
          <w:b w:val="false"/>
          <w:i w:val="false"/>
          <w:color w:val="000000"/>
          <w:sz w:val="22"/>
        </w:rPr>
        <w:t>Effective date of 643—3.35(125) delayed 70 days by the Administrative Rules Review Committee at its meeting held April 11, 1994; on June 15, 1994, the Committee voted to delay the rule until adjournment of the 1995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124.101.pdf" Type="http://schemas.openxmlformats.org/officeDocument/2006/relationships/hyperlink" Id="rId7"/>
    <Relationship TargetMode="External" Target="https://www.legis.iowa.gov/docs/ico/chapter/125.21.pdf" Type="http://schemas.openxmlformats.org/officeDocument/2006/relationships/hyperlink" Id="rId8"/>
    <Relationship TargetMode="External" Target="https://www.legis.iowa.gov/docs/iac/rule/641.155.35.pdf" Type="http://schemas.openxmlformats.org/officeDocument/2006/relationships/hyperlink" Id="rId9"/>
    <Relationship TargetMode="External" Target="https://www.legis.iowa.gov/docs/iac/rule/641.155.21.pdf" Type="http://schemas.openxmlformats.org/officeDocument/2006/relationships/hyperlink" Id="rId10"/>
    <Relationship TargetMode="External" Target="https://www.legis.iowa.gov/docs/ico/chapter/136.3.pdf" Type="http://schemas.openxmlformats.org/officeDocument/2006/relationships/hyperlink" Id="rId11"/>
    <Relationship TargetMode="External" Target="https://www.legis.iowa.gov/docs/iac/rule/641.155.2.pdf" Type="http://schemas.openxmlformats.org/officeDocument/2006/relationships/hyperlink" Id="rId12"/>
    <Relationship TargetMode="External" Target="https://www.legis.iowa.gov/docs/iac/rule/641.155.34.pdf" Type="http://schemas.openxmlformats.org/officeDocument/2006/relationships/hyperlink" Id="rId13"/>
    <Relationship TargetMode="External" Target="https://www.legis.iowa.gov/docs/iac/rule/641.155.2.pdf" Type="http://schemas.openxmlformats.org/officeDocument/2006/relationships/hyperlink" Id="rId14"/>
    <Relationship TargetMode="External" Target="https://www.legis.iowa.gov/docs/iac/rule/641.155.34.pdf" Type="http://schemas.openxmlformats.org/officeDocument/2006/relationships/hyperlink" Id="rId15"/>
    <Relationship TargetMode="External" Target="https://www.legis.iowa.gov/docs/ico/chapter/125.13.pdf" Type="http://schemas.openxmlformats.org/officeDocument/2006/relationships/hyperlink" Id="rId16"/>
    <Relationship TargetMode="External" Target="https://www.legis.iowa.gov/docs/ico/chapter/135B.pdf" Type="http://schemas.openxmlformats.org/officeDocument/2006/relationships/hyperlink" Id="rId17"/>
    <Relationship TargetMode="External" Target="https://www.legis.iowa.gov/docs/ico/chapter/226.pdf" Type="http://schemas.openxmlformats.org/officeDocument/2006/relationships/hyperlink" Id="rId18"/>
    <Relationship TargetMode="External" Target="https://www.legis.iowa.gov/docs/ico/chapter/125.21.pdf" Type="http://schemas.openxmlformats.org/officeDocument/2006/relationships/hyperlink" Id="rId19"/>
    <Relationship TargetMode="External" Target="https://www.legis.iowa.gov/docs/iac/rule/641.155.2.pdf" Type="http://schemas.openxmlformats.org/officeDocument/2006/relationships/hyperlink" Id="rId20"/>
    <Relationship TargetMode="External" Target="https://www.legis.iowa.gov/docs/iac/rule/641.155.35.pdf" Type="http://schemas.openxmlformats.org/officeDocument/2006/relationships/hyperlink" Id="rId21"/>
    <Relationship TargetMode="External" Target="https://www.legis.iowa.gov/docs/ico/chapter/321J.pdf" Type="http://schemas.openxmlformats.org/officeDocument/2006/relationships/hyperlink" Id="rId22"/>
    <Relationship TargetMode="External" Target="https://www.legis.iowa.gov/docs/iac/rule/641.155.2.pdf" Type="http://schemas.openxmlformats.org/officeDocument/2006/relationships/hyperlink" Id="rId23"/>
    <Relationship TargetMode="External" Target="https://www.legis.iowa.gov/docs/ico/chapter/125.pdf" Type="http://schemas.openxmlformats.org/officeDocument/2006/relationships/hyperlink" Id="rId24"/>
    <Relationship TargetMode="External" Target="https://www.legis.iowa.gov/docs/iac/chapter/641.178.pdf" Type="http://schemas.openxmlformats.org/officeDocument/2006/relationships/hyperlink" Id="rId25"/>
    <Relationship TargetMode="External" Target="https://www.legis.iowa.gov/docs/ico/chapter/125.13.pdf" Type="http://schemas.openxmlformats.org/officeDocument/2006/relationships/hyperlink" Id="rId26"/>
    <Relationship TargetMode="External" Target="https://www.legis.iowa.gov/docs/ico/chapter/135.150.pdf" Type="http://schemas.openxmlformats.org/officeDocument/2006/relationships/hyperlink" Id="rId27"/>
    <Relationship TargetMode="External" Target="https://www.legis.iowa.gov/docs/ico/chapter/125.pdf" Type="http://schemas.openxmlformats.org/officeDocument/2006/relationships/hyperlink" Id="rId28"/>
    <Relationship TargetMode="External" Target="https://www.legis.iowa.gov/docs/ico/chapter/135.150.pdf" Type="http://schemas.openxmlformats.org/officeDocument/2006/relationships/hyperlink" Id="rId29"/>
    <Relationship TargetMode="External" Target="https://www.legis.iowa.gov/docs/ico/chapter/125.14A.pdf" Type="http://schemas.openxmlformats.org/officeDocument/2006/relationships/hyperlink" Id="rId30"/>
    <Relationship TargetMode="External" Target="https://www.legis.iowa.gov/docs/ico/chapter/21.4.pdf" Type="http://schemas.openxmlformats.org/officeDocument/2006/relationships/hyperlink" Id="rId31"/>
    <Relationship TargetMode="External" Target="https://www.legis.iowa.gov/docs/iac/rule/641.155.9.pdf" Type="http://schemas.openxmlformats.org/officeDocument/2006/relationships/hyperlink" Id="rId32"/>
    <Relationship TargetMode="External" Target="https://www.legis.iowa.gov/docs/iac/rule/641.155.16.pdf" Type="http://schemas.openxmlformats.org/officeDocument/2006/relationships/hyperlink" Id="rId33"/>
    <Relationship TargetMode="External" Target="https://www.legis.iowa.gov/docs/iac/rule/641.155.10.pdf" Type="http://schemas.openxmlformats.org/officeDocument/2006/relationships/hyperlink" Id="rId34"/>
    <Relationship TargetMode="External" Target="https://www.legis.iowa.gov/docs/iac/rule/641.155.9.pdf" Type="http://schemas.openxmlformats.org/officeDocument/2006/relationships/hyperlink" Id="rId35"/>
    <Relationship TargetMode="External" Target="https://www.legis.iowa.gov/docs/ico/chapter/17A.18.pdf" Type="http://schemas.openxmlformats.org/officeDocument/2006/relationships/hyperlink" Id="rId36"/>
    <Relationship TargetMode="External" Target="https://www.legis.iowa.gov/docs/ico/chapter/125.15A.pdf" Type="http://schemas.openxmlformats.org/officeDocument/2006/relationships/hyperlink" Id="rId37"/>
    <Relationship TargetMode="External" Target="https://www.legis.iowa.gov/docs/ico/chapter/17A.18A.pdf" Type="http://schemas.openxmlformats.org/officeDocument/2006/relationships/hyperlink" Id="rId38"/>
    <Relationship TargetMode="External" Target="https://www.legis.iowa.gov/docs/ico/chapter/125.15A.pdf" Type="http://schemas.openxmlformats.org/officeDocument/2006/relationships/hyperlink" Id="rId39"/>
    <Relationship TargetMode="External" Target="https://www.legis.iowa.gov/docs/ico/chapter/17A.19.pdf" Type="http://schemas.openxmlformats.org/officeDocument/2006/relationships/hyperlink" Id="rId40"/>
    <Relationship TargetMode="External" Target="https://www.legis.iowa.gov/docs/ico/chapter/125.pdf" Type="http://schemas.openxmlformats.org/officeDocument/2006/relationships/hyperlink" Id="rId41"/>
    <Relationship TargetMode="External" Target="https://www.legis.iowa.gov/docs/iac/rule/641.155.11.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125.37.pdf" Type="http://schemas.openxmlformats.org/officeDocument/2006/relationships/hyperlink" Id="rId45"/>
    <Relationship TargetMode="External" Target="https://www.legis.iowa.gov/docs/iac/rule/641.155.11.pdf" Type="http://schemas.openxmlformats.org/officeDocument/2006/relationships/hyperlink" Id="rId46"/>
    <Relationship TargetMode="External" Target="https://www.legis.iowa.gov/docs/iac/rule/641.155.11.pdf" Type="http://schemas.openxmlformats.org/officeDocument/2006/relationships/hyperlink" Id="rId47"/>
    <Relationship TargetMode="External" Target="https://www.legis.iowa.gov/docs/ico/chapter/22.pdf" Type="http://schemas.openxmlformats.org/officeDocument/2006/relationships/hyperlink" Id="rId48"/>
    <Relationship TargetMode="External" Target="https://www.legis.iowa.gov/docs/ico/chapter/504.pdf" Type="http://schemas.openxmlformats.org/officeDocument/2006/relationships/hyperlink" Id="rId49"/>
    <Relationship TargetMode="External" Target="https://www.legis.iowa.gov/docs/ico/chapter/154D.pdf" Type="http://schemas.openxmlformats.org/officeDocument/2006/relationships/hyperlink" Id="rId50"/>
    <Relationship TargetMode="External" Target="https://www.legis.iowa.gov/docs/ico/chapter/147.pdf" Type="http://schemas.openxmlformats.org/officeDocument/2006/relationships/hyperlink" Id="rId51"/>
    <Relationship TargetMode="External" Target="https://www.legis.iowa.gov/docs/ico/chapter/154C.pdf" Type="http://schemas.openxmlformats.org/officeDocument/2006/relationships/hyperlink" Id="rId52"/>
    <Relationship TargetMode="External" Target="https://www.legis.iowa.gov/docs/ico/chapter/147.pdf" Type="http://schemas.openxmlformats.org/officeDocument/2006/relationships/hyperlink" Id="rId53"/>
    <Relationship TargetMode="External" Target="https://www.legis.iowa.gov/docs/ico/chapter/154C.pdf" Type="http://schemas.openxmlformats.org/officeDocument/2006/relationships/hyperlink" Id="rId54"/>
    <Relationship TargetMode="External" Target="https://www.legis.iowa.gov/docs/ico/chapter/147.pdf" Type="http://schemas.openxmlformats.org/officeDocument/2006/relationships/hyperlink" Id="rId55"/>
    <Relationship TargetMode="External" Target="https://www.legis.iowa.gov/docs/ico/chapter/154C.pdf" Type="http://schemas.openxmlformats.org/officeDocument/2006/relationships/hyperlink" Id="rId56"/>
    <Relationship TargetMode="External" Target="https://www.legis.iowa.gov/docs/ico/chapter/147.pdf" Type="http://schemas.openxmlformats.org/officeDocument/2006/relationships/hyperlink" Id="rId57"/>
    <Relationship TargetMode="External" Target="https://www.legis.iowa.gov/docs/iac/rule/641.155.21.pdf" Type="http://schemas.openxmlformats.org/officeDocument/2006/relationships/hyperlink" Id="rId58"/>
    <Relationship TargetMode="External" Target="https://www.legis.iowa.gov/docs/ico/chapter/232.67-70.pdf" Type="http://schemas.openxmlformats.org/officeDocument/2006/relationships/hyperlink" Id="rId59"/>
    <Relationship TargetMode="External" Target="https://www.legis.iowa.gov/docs/ico/chapter/125.14A.pdf" Type="http://schemas.openxmlformats.org/officeDocument/2006/relationships/hyperlink" Id="rId60"/>
    <Relationship TargetMode="External" Target="https://www.legis.iowa.gov/docs/ico/chapter/235B.pdf" Type="http://schemas.openxmlformats.org/officeDocument/2006/relationships/hyperlink" Id="rId61"/>
    <Relationship TargetMode="External" Target="https://www.legis.iowa.gov/docs/ico/chapter/125.14A.pdf" Type="http://schemas.openxmlformats.org/officeDocument/2006/relationships/hyperlink" Id="rId62"/>
    <Relationship TargetMode="External" Target="https://www.legis.iowa.gov/docs/ico/chapter/235B.pdf" Type="http://schemas.openxmlformats.org/officeDocument/2006/relationships/hyperlink" Id="rId63"/>
    <Relationship TargetMode="External" Target="https://www.legis.iowa.gov/docs/ico/chapter/228.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ac/rule/641.157.3.pdf" Type="http://schemas.openxmlformats.org/officeDocument/2006/relationships/hyperlink" Id="rId66"/>
    <Relationship TargetMode="External" Target="https://www.legis.iowa.gov/docs/ico/chapter/321J.pdf" Type="http://schemas.openxmlformats.org/officeDocument/2006/relationships/hyperlink" Id="rId67"/>
    <Relationship TargetMode="External" Target="https://www.legis.iowa.gov/docs/iac/rule/657.8.32.pdf" Type="http://schemas.openxmlformats.org/officeDocument/2006/relationships/hyperlink" Id="rId68"/>
    <Relationship TargetMode="External" Target="https://www.legis.iowa.gov/docs/ico/chapter/155A.4.pdf" Type="http://schemas.openxmlformats.org/officeDocument/2006/relationships/hyperlink" Id="rId69"/>
    <Relationship TargetMode="External" Target="https://www.legis.iowa.gov/docs/ico/chapter/104A.pdf" Type="http://schemas.openxmlformats.org/officeDocument/2006/relationships/hyperlink" Id="rId70"/>
    <Relationship TargetMode="External" Target="https://www.legis.iowa.gov/docs/iac/chapter/481.32.pdf" Type="http://schemas.openxmlformats.org/officeDocument/2006/relationships/hyperlink" Id="rId71"/>
    <Relationship TargetMode="External" Target="https://www.legis.iowa.gov/docs/ico/chapter/137B.pdf" Type="http://schemas.openxmlformats.org/officeDocument/2006/relationships/hyperlink" Id="rId72"/>
    <Relationship TargetMode="External" Target="https://www.legis.iowa.gov/docs/iac/chapter/441.115.pdf" Type="http://schemas.openxmlformats.org/officeDocument/2006/relationships/hyperlink" Id="rId73"/>
    <Relationship TargetMode="External" Target="https://www.legis.iowa.gov/docs/ico/chapter/321J.2.pdf" Type="http://schemas.openxmlformats.org/officeDocument/2006/relationships/hyperlink" Id="rId74"/>
    <Relationship TargetMode="External" Target="https://www.legis.iowa.gov/docs/ico/chapter/321J.pdf" Type="http://schemas.openxmlformats.org/officeDocument/2006/relationships/hyperlink" Id="rId75"/>
    <Relationship TargetMode="External" Target="https://www.legis.iowa.gov/docs/iac/chapter/641.157.pdf" Type="http://schemas.openxmlformats.org/officeDocument/2006/relationships/hyperlink" Id="rId76"/>
    <Relationship TargetMode="External" Target="https://www.legis.iowa.gov/docs/iac/rule/641.155.21.pdf" Type="http://schemas.openxmlformats.org/officeDocument/2006/relationships/hyperlink" Id="rId77"/>
    <Relationship TargetMode="External" Target="https://www.legis.iowa.gov/docs/ico/chapter/148.pdf" Type="http://schemas.openxmlformats.org/officeDocument/2006/relationships/hyperlink" Id="rId78"/>
    <Relationship TargetMode="External" Target="https://www.legis.iowa.gov/docs/ico/chapter/150.pdf" Type="http://schemas.openxmlformats.org/officeDocument/2006/relationships/hyperlink" Id="rId79"/>
    <Relationship TargetMode="External" Target="https://www.legis.iowa.gov/docs/ico/chapter/150A.pdf" Type="http://schemas.openxmlformats.org/officeDocument/2006/relationships/hyperlink" Id="rId80"/>
    <Relationship TargetMode="External" Target="https://www.legis.iowa.gov/docs/ico/chapter/125.pdf" Type="http://schemas.openxmlformats.org/officeDocument/2006/relationships/hyperlink" Id="rId81"/>
    <Relationship TargetMode="External" Target="https://www.legis.iowa.gov/docs/iac/rule/641.155.38.pdf" Type="http://schemas.openxmlformats.org/officeDocument/2006/relationships/hyperlink" Id="rId82"/>
    <Relationship TargetMode="External" Target="https://www.legis.iowa.gov/docs/ico/chapter/125.13.pdf" Type="http://schemas.openxmlformats.org/officeDocument/2006/relationships/hyperlink" Id="rId83"/>
    <Relationship TargetMode="External" Target="https://www.legis.iowa.gov/docs/ico/chapter/125.21.pdf" Type="http://schemas.openxmlformats.org/officeDocument/2006/relationships/hyperlink" Id="rId84"/>
    <Relationship TargetMode="External" Target="https://www.legis.iowa.gov/docs/ico/chapter/135.150.pdf" Type="http://schemas.openxmlformats.org/officeDocument/2006/relationships/hyperlink" Id="rId8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