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154</w:t>
      </w:r>
    </w:p>
    <w:p>
      <w:pPr>
        <w:spacing w:before="0" w:after="0"/>
        <w:ind w:left="120"/>
        <w:jc w:val="center"/>
      </w:pPr>
      <w:r>
        <w:rPr>
          <w:rFonts w:ascii="Times New Roman" w:hAnsi="Times New Roman"/>
          <w:b w:val="false"/>
          <w:i w:val="false"/>
          <w:color w:val="000000"/>
          <w:sz w:val="21"/>
        </w:rPr>
        <w:t>MEDICAL CANNABIDIOL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641—154.1</w:t>
      </w:r>
      <w:r>
        <w:rPr>
          <w:rFonts w:ascii="Times New Roman" w:hAnsi="Times New Roman"/>
          <w:b/>
          <w:i w:val="false"/>
          <w:color w:val="000000"/>
          <w:sz w:val="22"/>
        </w:rPr>
        <w:t xml:space="preserve">(124E)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“Acceptance criteria” </w:t>
      </w:r>
      <w:r>
        <w:rPr>
          <w:rFonts w:ascii="Times New Roman" w:hAnsi="Times New Roman"/>
          <w:b w:val="false"/>
          <w:i w:val="false"/>
          <w:color w:val="000000"/>
          <w:sz w:val="22"/>
        </w:rPr>
        <w:t>means the specified limits placed on characteristics of an item or method that are used to determine data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level” </w:t>
      </w:r>
      <w:r>
        <w:rPr>
          <w:rFonts w:ascii="Times New Roman" w:hAnsi="Times New Roman"/>
          <w:b w:val="false"/>
          <w:i w:val="false"/>
          <w:color w:val="000000"/>
          <w:sz w:val="22"/>
        </w:rPr>
        <w:t>means the threshold value that provides the criterion for determining whether a sample passes or fails a test performed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“Advertisement” </w:t>
      </w:r>
      <w:r>
        <w:rPr>
          <w:rFonts w:ascii="Times New Roman" w:hAnsi="Times New Roman"/>
          <w:b w:val="false"/>
          <w:i w:val="false"/>
          <w:color w:val="000000"/>
          <w:sz w:val="22"/>
        </w:rPr>
        <w:t>means all representations disseminated in any manner or by any means, other than by labeling, for the purpose of inducing, or that are likely to induce, directly or indirectly, the purchase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“Analyte” </w:t>
      </w:r>
      <w:r>
        <w:rPr>
          <w:rFonts w:ascii="Times New Roman" w:hAnsi="Times New Roman"/>
          <w:b w:val="false"/>
          <w:i w:val="false"/>
          <w:color w:val="000000"/>
          <w:sz w:val="22"/>
        </w:rPr>
        <w:t>means a chemical, compound, element, bacteria, yeast, fungus, or toxin to be identified or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“Analytical batch” </w:t>
      </w:r>
      <w:r>
        <w:rPr>
          <w:rFonts w:ascii="Times New Roman" w:hAnsi="Times New Roman"/>
          <w:b w:val="false"/>
          <w:i w:val="false"/>
          <w:color w:val="000000"/>
          <w:sz w:val="22"/>
        </w:rPr>
        <w:t>means a group of samples that are prepared together for the same analysis and analyzed sequentially using the same instrument calibration curve and common analytical quality control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“Analytical method” </w:t>
      </w:r>
      <w:r>
        <w:rPr>
          <w:rFonts w:ascii="Times New Roman" w:hAnsi="Times New Roman"/>
          <w:b w:val="false"/>
          <w:i w:val="false"/>
          <w:color w:val="000000"/>
          <w:sz w:val="22"/>
        </w:rPr>
        <w:t>means a technique used qualitatively or quantitatively to determine the composition of a sample or a microbial contamination of a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a review by authorized personnel that includes select scope engagement or other methods of review that analyze operational or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a thorough review of an entity, an owner, investors, and employees conducted by the department of public safety, including but not limited to state and national criminal history records, credit records, and internal revenue service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“Batch” </w:t>
      </w:r>
      <w:r>
        <w:rPr>
          <w:rFonts w:ascii="Times New Roman" w:hAnsi="Times New Roman"/>
          <w:b w:val="false"/>
          <w:i w:val="false"/>
          <w:color w:val="000000"/>
          <w:sz w:val="22"/>
        </w:rPr>
        <w:t>means a specifically identified quantity of dried flower and other cannabis plant matter that is uniform in strain or cultivar, harvested at the same time, and cultivated using the same pesticides and other crop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“Biosecurity” </w:t>
      </w:r>
      <w:r>
        <w:rPr>
          <w:rFonts w:ascii="Times New Roman" w:hAnsi="Times New Roman"/>
          <w:b w:val="false"/>
          <w:i w:val="false"/>
          <w:color w:val="000000"/>
          <w:sz w:val="22"/>
        </w:rPr>
        <w:t>means a set of preventative measures designed to reduce the risk of transmission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Infectious diseases in crops;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Quarantined pests;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Invasive alien species;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Living modified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“Cannabinoid” </w:t>
      </w:r>
      <w:r>
        <w:rPr>
          <w:rFonts w:ascii="Times New Roman" w:hAnsi="Times New Roman"/>
          <w:b w:val="false"/>
          <w:i w:val="false"/>
          <w:color w:val="000000"/>
          <w:sz w:val="22"/>
        </w:rPr>
        <w:t>means a chemical compound that is unique to and derived from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“Cannabis” </w:t>
      </w:r>
      <w:r>
        <w:rPr>
          <w:rFonts w:ascii="Times New Roman" w:hAnsi="Times New Roman"/>
          <w:b w:val="false"/>
          <w:i w:val="false"/>
          <w:color w:val="000000"/>
          <w:sz w:val="22"/>
        </w:rPr>
        <w:t xml:space="preserve">means seeds, plants, cuttings, or plant waste material from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used in the manufacture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“CBD” </w:t>
      </w:r>
      <w:r>
        <w:rPr>
          <w:rFonts w:ascii="Times New Roman" w:hAnsi="Times New Roman"/>
          <w:b w:val="false"/>
          <w:i w:val="false"/>
          <w:color w:val="000000"/>
          <w:sz w:val="22"/>
        </w:rPr>
        <w:t>means cannabidiol, Chemical Abstracts Service number 13956-29-1.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“CBDA” </w:t>
      </w:r>
      <w:r>
        <w:rPr>
          <w:rFonts w:ascii="Times New Roman" w:hAnsi="Times New Roman"/>
          <w:b w:val="false"/>
          <w:i w:val="false"/>
          <w:color w:val="000000"/>
          <w:sz w:val="22"/>
        </w:rPr>
        <w:t>means cannabidiolic acid, Chemical Abstracts Service number 1244-58-2.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analysis” </w:t>
      </w:r>
      <w:r>
        <w:rPr>
          <w:rFonts w:ascii="Times New Roman" w:hAnsi="Times New Roman"/>
          <w:b w:val="false"/>
          <w:i w:val="false"/>
          <w:color w:val="000000"/>
          <w:sz w:val="22"/>
        </w:rPr>
        <w:t>means the report prepared for the requester about the analytical testing performed and the results obtained by a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means that a laboratory demonstrates to the satisfaction of the department its ability to consistently produce valid data within the acceptance limits as specified in the department’s requirements for certification and meets the minimum requirements of this chapter and all applicable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reference material” </w:t>
      </w:r>
      <w:r>
        <w:rPr>
          <w:rFonts w:ascii="Times New Roman" w:hAnsi="Times New Roman"/>
          <w:b w:val="false"/>
          <w:i w:val="false"/>
          <w:color w:val="000000"/>
          <w:sz w:val="22"/>
        </w:rPr>
        <w:t>means a reference material prepared by a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“Combusted” </w:t>
      </w:r>
      <w:r>
        <w:rPr>
          <w:rFonts w:ascii="Times New Roman" w:hAnsi="Times New Roman"/>
          <w:b w:val="false"/>
          <w:i w:val="false"/>
          <w:color w:val="000000"/>
          <w:sz w:val="22"/>
        </w:rPr>
        <w:t>means the addition of a flame to medical cannabidiol or raw flower cannabis for the purposes of burning for inhalation, or smoking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“Consumable hemp product” </w:t>
      </w:r>
      <w:r>
        <w:rPr>
          <w:rFonts w:ascii="Times New Roman" w:hAnsi="Times New Roman"/>
          <w:b w:val="false"/>
          <w:i w:val="false"/>
          <w:color w:val="000000"/>
          <w:sz w:val="22"/>
        </w:rPr>
        <w:t xml:space="preserve">means a hemp product that includes a substance that is metabolized or is otherwise subject to a biotransformative process when introduced into the human body.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consumable hemp product may be introduced into the human body by ingestion or absorption by any device including but not limited to an electronic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consumable hemp product may exist in a solid or liquid state.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hemp product is deemed to be a consumable hemp product if it is any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Designed by the processor, including the manufacturer, to be introduced into the human body.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Advertised as an item to be introduced into the human body.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Distributed, exported, or imported for sale or distribution to be introduced into the human body. </w:t>
      </w:r>
    </w:p>
    <w:p>
      <w:pPr>
        <w:spacing w:before="0" w:after="0"/>
        <w:ind w:left="120"/>
        <w:jc w:val="both"/>
      </w:pPr>
      <w:r>
        <w:rPr>
          <w:rFonts w:ascii="Times New Roman" w:hAnsi="Times New Roman"/>
          <w:b w:val="false"/>
          <w:i w:val="false"/>
          <w:color w:val="000000"/>
          <w:sz w:val="22"/>
        </w:rPr>
        <w:t xml:space="preserve">“Consumable hemp product” includes but is not limited to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noncombustible form of hemp that may be digested, such as food; internally absorbed, such as chew or snuff; or absorbed through the skin, such as a topical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Hemp processed or otherwise manufactured, marketed, sold, or distributed as food, a food additive, a dietary supplement, or a drug. </w:t>
      </w:r>
    </w:p>
    <w:p>
      <w:pPr>
        <w:spacing w:before="0" w:after="0"/>
        <w:ind w:left="120"/>
        <w:jc w:val="both"/>
      </w:pPr>
      <w:r>
        <w:rPr>
          <w:rFonts w:ascii="Times New Roman" w:hAnsi="Times New Roman"/>
          <w:b w:val="false"/>
          <w:i w:val="false"/>
          <w:color w:val="000000"/>
          <w:sz w:val="22"/>
        </w:rPr>
        <w:t xml:space="preserve">“Consumable hemp product” does not include a hemp product if the intended use of the hemp product is introduced into the human body by any method of inhalation, as prohibited under Iowa Code section </w:t>
      </w:r>
      <w:hyperlink r:id="rId5">
        <w:r>
          <w:rPr>
            <w:rStyle w:val="Hyperlink"/>
            <w:rFonts w:ascii="Times New Roman" w:hAnsi="Times New Roman"/>
            <w:b w:val="false"/>
            <w:i w:val="false"/>
            <w:color w:val="000000"/>
            <w:sz w:val="22"/>
          </w:rPr>
          <w:t>204.14A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“Crop input” </w:t>
      </w:r>
      <w:r>
        <w:rPr>
          <w:rFonts w:ascii="Times New Roman" w:hAnsi="Times New Roman"/>
          <w:b w:val="false"/>
          <w:i w:val="false"/>
          <w:color w:val="000000"/>
          <w:sz w:val="22"/>
        </w:rPr>
        <w:t>means any substance applied to or used in the cultivation and growth of a cannabis plant. “Crop input” includes but is not limited to pesticides, fungicides, fertilizers, and other soil or medium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expiration” </w:t>
      </w:r>
      <w:r>
        <w:rPr>
          <w:rFonts w:ascii="Times New Roman" w:hAnsi="Times New Roman"/>
          <w:b w:val="false"/>
          <w:i w:val="false"/>
          <w:color w:val="000000"/>
          <w:sz w:val="22"/>
        </w:rPr>
        <w:t>means one year from the date of issuance of the medical cannabidiol registration card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issuance” </w:t>
      </w:r>
      <w:r>
        <w:rPr>
          <w:rFonts w:ascii="Times New Roman" w:hAnsi="Times New Roman"/>
          <w:b w:val="false"/>
          <w:i w:val="false"/>
          <w:color w:val="000000"/>
          <w:sz w:val="22"/>
        </w:rPr>
        <w:t>means the date of issuance of the medical cannabidiol registration card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“Debilitating medical condition” </w:t>
      </w:r>
      <w:r>
        <w:rPr>
          <w:rFonts w:ascii="Times New Roman" w:hAnsi="Times New Roman"/>
          <w:b w:val="false"/>
          <w:i w:val="false"/>
          <w:color w:val="000000"/>
          <w:sz w:val="22"/>
        </w:rPr>
        <w:t xml:space="preserve">means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Cancer, if the underlying condition or treatment produces one or more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Severe or chronic pain.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Nausea or severe vomiting.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Cachexia or severe wasting.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Multiple sclerosis with severe and persistent muscle spasms.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Seizures, including those characteristic of epilepsy.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6">
        <w:r>
          <w:rPr>
            <w:rStyle w:val="Hyperlink"/>
            <w:rFonts w:ascii="Times New Roman" w:hAnsi="Times New Roman"/>
            <w:b w:val="false"/>
            <w:i w:val="false"/>
            <w:color w:val="000000"/>
            <w:sz w:val="22"/>
          </w:rPr>
          <w:t>141A.1.</w:t>
        </w:r>
      </w:hyperlink>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Crohn’s disease.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Amyotrophic lateral sclerosis.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Any terminal illness with a probable life expectancy of under one year, if the illness or its treatment produces one or more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Severe or chronic pain.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Nausea or severe vomiting.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Cachexia or severe wasting.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Parkinson’s disease.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Chronic pain.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Severe, intractable autism with self-injurious or aggressive behaviors. </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Post-traumatic stress disorder. </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Corticobasal degeneration. </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Ulcerative colitis. </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Any medical condition that is recommended by the medical cannabidiol board and adopted by the board of medicine by rule pursuant to Iowa Code section </w:t>
      </w:r>
      <w:hyperlink r:id="rId7">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and that is listed in </w:t>
      </w:r>
      <w:hyperlink r:id="rId8">
        <w:r>
          <w:rPr>
            <w:rStyle w:val="Hyperlink"/>
            <w:rFonts w:ascii="Times New Roman" w:hAnsi="Times New Roman"/>
            <w:b w:val="false"/>
            <w:i w:val="false"/>
            <w:color w:val="000000"/>
            <w:sz w:val="22"/>
          </w:rPr>
          <w:t>653—subrule 13.15(1)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w:t>
      </w:r>
      <w:r>
        <w:rPr>
          <w:rFonts w:ascii="Times New Roman" w:hAnsi="Times New Roman"/>
          <w:b w:val="false"/>
          <w:i w:val="false"/>
          <w:color w:val="000000"/>
          <w:sz w:val="22"/>
        </w:rPr>
        <w:t xml:space="preserve">means an individual or entity licensed by the department to dispense medical cannabidiol to patients and primary caregivers pursuant to Iowa Code chapter </w:t>
      </w:r>
      <w:hyperlink r:id="rId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“Dispensary” includes the employees and agents of the dispensary.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facility” </w:t>
      </w:r>
      <w:r>
        <w:rPr>
          <w:rFonts w:ascii="Times New Roman" w:hAnsi="Times New Roman"/>
          <w:b w:val="false"/>
          <w:i w:val="false"/>
          <w:color w:val="000000"/>
          <w:sz w:val="22"/>
        </w:rPr>
        <w:t>means any secured building, space, grounds, and physical structure of a dispensary licensed by the department to dispense medical cannabidiol and where the dispensing of medical cannabidiol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“dispensing” </w:t>
      </w:r>
      <w:r>
        <w:rPr>
          <w:rFonts w:ascii="Times New Roman" w:hAnsi="Times New Roman"/>
          <w:b w:val="false"/>
          <w:i w:val="false"/>
          <w:color w:val="000000"/>
          <w:sz w:val="22"/>
        </w:rPr>
        <w:t xml:space="preserve">means to supply medical cannabidiol to patients pursuant to Iowa Code chapter </w:t>
      </w:r>
      <w:hyperlink r:id="rId1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felony offense”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“Edible medical cannabidiol products” </w:t>
      </w:r>
      <w:r>
        <w:rPr>
          <w:rFonts w:ascii="Times New Roman" w:hAnsi="Times New Roman"/>
          <w:b w:val="false"/>
          <w:i w:val="false"/>
          <w:color w:val="000000"/>
          <w:sz w:val="22"/>
        </w:rPr>
        <w:t>means food items containing medical cannabidiol. “Edible medical cannabidiol products” does not include pills, tinctures, oils, or other forms of medical cannabidiol that may be consumed orally or through the nasal cavity that do not contain food or food additives; provided that food or food additives used as carriers, excipients, or processing aids shall not be considered food or food additives.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duplicate sample” </w:t>
      </w:r>
      <w:r>
        <w:rPr>
          <w:rFonts w:ascii="Times New Roman" w:hAnsi="Times New Roman"/>
          <w:b w:val="false"/>
          <w:i w:val="false"/>
          <w:color w:val="000000"/>
          <w:sz w:val="22"/>
        </w:rPr>
        <w:t>means a sample that is taken in the identical manner and from the same batch, process lot, or lot being sampled as the primary sample. A field duplicate sample is analyzed separately from the primary sample and is used for quality control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practitioner”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 xml:space="preserve">means an on-site evaluation by the department; the department of public safety; or a department-approved independent consultant of facilities, records, personnel, equipment, methodology, and quality assurance practices for compliance with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“Investor” </w:t>
      </w:r>
      <w:r>
        <w:rPr>
          <w:rFonts w:ascii="Times New Roman" w:hAnsi="Times New Roman"/>
          <w:b w:val="false"/>
          <w:i w:val="false"/>
          <w:color w:val="000000"/>
          <w:sz w:val="22"/>
        </w:rPr>
        <w:t xml:space="preserve">means a person making a cash investment of at least 5 percent interest in an applicant or licensed manufacturer or dispensary with the expectation of receiving financial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 of detection”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“LOD” </w:t>
      </w:r>
      <w:r>
        <w:rPr>
          <w:rFonts w:ascii="Times New Roman" w:hAnsi="Times New Roman"/>
          <w:b w:val="false"/>
          <w:i w:val="false"/>
          <w:color w:val="000000"/>
          <w:sz w:val="22"/>
        </w:rPr>
        <w:t>means the lowest quantity of a substance or analyte that can be distinguished from the absence of that substance within a stated confidence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 of quantitation”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“LOQ” </w:t>
      </w:r>
      <w:r>
        <w:rPr>
          <w:rFonts w:ascii="Times New Roman" w:hAnsi="Times New Roman"/>
          <w:b w:val="false"/>
          <w:i w:val="false"/>
          <w:color w:val="000000"/>
          <w:sz w:val="22"/>
        </w:rPr>
        <w:t>means the minimum concentration of an analyte in a specific matrix that can be reliably quantified while also meeting predefined goals for bias and imprecision.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“Lot” </w:t>
      </w:r>
      <w:r>
        <w:rPr>
          <w:rFonts w:ascii="Times New Roman" w:hAnsi="Times New Roman"/>
          <w:b w:val="false"/>
          <w:i w:val="false"/>
          <w:color w:val="000000"/>
          <w:sz w:val="22"/>
        </w:rPr>
        <w:t>means a specific quantity of medical cannabidiol that is uniform and intended to meet specifications for identity, strength, purity, and composition, and that is manufactured, packaged, and labeled during a specified time period according to a single manufacturing, packaging, and labeling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“Lot number” </w:t>
      </w:r>
      <w:r>
        <w:rPr>
          <w:rFonts w:ascii="Times New Roman" w:hAnsi="Times New Roman"/>
          <w:b w:val="false"/>
          <w:i w:val="false"/>
          <w:color w:val="000000"/>
          <w:sz w:val="22"/>
        </w:rPr>
        <w:t>means a unique numeric or alphanumeric identifier assigned to a lot by a manufacturer when medical cannabidiol is produced. The lot number shall contain the manufacturer’s number and a sequence to allow for inventory, traceability, and identification of the plant batches used in the production of a lot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“manufacturing” </w:t>
      </w:r>
      <w:r>
        <w:rPr>
          <w:rFonts w:ascii="Times New Roman" w:hAnsi="Times New Roman"/>
          <w:b w:val="false"/>
          <w:i w:val="false"/>
          <w:color w:val="000000"/>
          <w:sz w:val="22"/>
        </w:rPr>
        <w:t>means the process of converting harvested cannabis plant material into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an individual or entity licensed by the department to produce medical cannabidiol and distribute it to dispensaries pursuant to Iowa Code chapter </w:t>
      </w:r>
      <w:hyperlink r:id="rId14">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“Manufacturer” includes the employees and agents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facility” </w:t>
      </w:r>
      <w:r>
        <w:rPr>
          <w:rFonts w:ascii="Times New Roman" w:hAnsi="Times New Roman"/>
          <w:b w:val="false"/>
          <w:i w:val="false"/>
          <w:color w:val="000000"/>
          <w:sz w:val="22"/>
        </w:rPr>
        <w:t>means any secured building, space, grounds, and physical structure of a manufacturer for the cultivation, harvesting, packaging, processing, storage, and distribution of cannabis or medical cannabidiol and where access is restricted to designated employees of a manufacturer and escorted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“Matrix” </w:t>
      </w:r>
      <w:r>
        <w:rPr>
          <w:rFonts w:ascii="Times New Roman" w:hAnsi="Times New Roman"/>
          <w:b w:val="false"/>
          <w:i w:val="false"/>
          <w:color w:val="000000"/>
          <w:sz w:val="22"/>
        </w:rPr>
        <w:t>means the component or substrate that contains the analyte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“Matrix spike duplicate” </w:t>
      </w:r>
      <w:r>
        <w:rPr>
          <w:rFonts w:ascii="Times New Roman" w:hAnsi="Times New Roman"/>
          <w:b w:val="false"/>
          <w:i w:val="false"/>
          <w:color w:val="000000"/>
          <w:sz w:val="22"/>
        </w:rPr>
        <w:t>means a duplicate sample prepared by adding a known quantity of a target analyte to a field sample matrix or other matrix that is as closely representative of the matrix under analysis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“Matrix spike sample” </w:t>
      </w:r>
      <w:r>
        <w:rPr>
          <w:rFonts w:ascii="Times New Roman" w:hAnsi="Times New Roman"/>
          <w:b w:val="false"/>
          <w:i w:val="false"/>
          <w:color w:val="000000"/>
          <w:sz w:val="22"/>
        </w:rPr>
        <w:t>means a sample prepared by adding a known quantity of the target analyte to a field sample matrix or to a matrix that is as closely representative of the matrix under analysis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program” </w:t>
      </w:r>
      <w:r>
        <w:rPr>
          <w:rFonts w:ascii="Times New Roman" w:hAnsi="Times New Roman"/>
          <w:b w:val="false"/>
          <w:i w:val="false"/>
          <w:color w:val="000000"/>
          <w:sz w:val="22"/>
        </w:rPr>
        <w:t>means IA Health Link, Medicaid Fee-for-Service, or hawki, as administered by the Iowa Medicaid enterprise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waste” </w:t>
      </w:r>
      <w:r>
        <w:rPr>
          <w:rFonts w:ascii="Times New Roman" w:hAnsi="Times New Roman"/>
          <w:b w:val="false"/>
          <w:i w:val="false"/>
          <w:color w:val="000000"/>
          <w:sz w:val="22"/>
        </w:rPr>
        <w:t>means medical cannabidiol that is unused, unwanted, damaged, defective, expired, or contaminated and that is returned to a dispensary or manufacturer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cannabis goods” </w:t>
      </w:r>
      <w:r>
        <w:rPr>
          <w:rFonts w:ascii="Times New Roman" w:hAnsi="Times New Roman"/>
          <w:b w:val="false"/>
          <w:i w:val="false"/>
          <w:color w:val="000000"/>
          <w:sz w:val="22"/>
        </w:rPr>
        <w:t>means medical cannabidiol process lots, medical cannabidiol products, and cannabis plant material, including dried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“Method blank” </w:t>
      </w:r>
      <w:r>
        <w:rPr>
          <w:rFonts w:ascii="Times New Roman" w:hAnsi="Times New Roman"/>
          <w:b w:val="false"/>
          <w:i w:val="false"/>
          <w:color w:val="000000"/>
          <w:sz w:val="22"/>
        </w:rPr>
        <w:t>means an analyte-free matrix to which all reagents are added in the same volumes or proportions as are used in sample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background check” </w:t>
      </w:r>
      <w:r>
        <w:rPr>
          <w:rFonts w:ascii="Times New Roman" w:hAnsi="Times New Roman"/>
          <w:b w:val="false"/>
          <w:i w:val="false"/>
          <w:color w:val="000000"/>
          <w:sz w:val="22"/>
        </w:rPr>
        <w:t>means fingerprint processing through the department of public safety and the Federal Bureau of Investigation (FBI) and review of records on file with national organizations, courts, and law enforcement agencies to the extent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with a 5 percent or greater ownership interest in an applicant or licensed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 xml:space="preserve">means a person who is a permanent resident of the state of Iowa who suffers from a debilitating medical condition that qualifies for the use of medical cannabidiol pursuant to Iowa Code chapter </w:t>
      </w:r>
      <w:hyperlink r:id="rId16">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registration number” </w:t>
      </w:r>
      <w:r>
        <w:rPr>
          <w:rFonts w:ascii="Times New Roman" w:hAnsi="Times New Roman"/>
          <w:b w:val="false"/>
          <w:i w:val="false"/>
          <w:color w:val="000000"/>
          <w:sz w:val="22"/>
        </w:rPr>
        <w:t>means the unique identification number issued to a patient by the department upon approval of a patient’s application by the department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“Percent recovery” </w:t>
      </w:r>
      <w:r>
        <w:rPr>
          <w:rFonts w:ascii="Times New Roman" w:hAnsi="Times New Roman"/>
          <w:b w:val="false"/>
          <w:i w:val="false"/>
          <w:color w:val="000000"/>
          <w:sz w:val="22"/>
        </w:rPr>
        <w:t>means the percentage of a measured concentration relative to the added (spiked) concentration in a reference material, matrix spike sample, or matrix spike duplicate.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material” </w:t>
      </w:r>
      <w:r>
        <w:rPr>
          <w:rFonts w:ascii="Times New Roman" w:hAnsi="Times New Roman"/>
          <w:b w:val="false"/>
          <w:i w:val="false"/>
          <w:color w:val="000000"/>
          <w:sz w:val="22"/>
        </w:rPr>
        <w:t xml:space="preserve">means any plant of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or any part thereof, including flowers, leaves, trichomes, and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material waste” </w:t>
      </w:r>
      <w:r>
        <w:rPr>
          <w:rFonts w:ascii="Times New Roman" w:hAnsi="Times New Roman"/>
          <w:b w:val="false"/>
          <w:i w:val="false"/>
          <w:color w:val="000000"/>
          <w:sz w:val="22"/>
        </w:rPr>
        <w:t>means plant material that is not used in the production of medical cannabidiol in a form allowable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caregiver”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any health care practitioner involved in the diagnosis and treatment of a patient’s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sample” </w:t>
      </w:r>
      <w:r>
        <w:rPr>
          <w:rFonts w:ascii="Times New Roman" w:hAnsi="Times New Roman"/>
          <w:b w:val="false"/>
          <w:i w:val="false"/>
          <w:color w:val="000000"/>
          <w:sz w:val="22"/>
        </w:rPr>
        <w:t>means a portion of a batch, process lot, or lot that is used for testing for identity, strength, purity, and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lot” </w:t>
      </w:r>
      <w:r>
        <w:rPr>
          <w:rFonts w:ascii="Times New Roman" w:hAnsi="Times New Roman"/>
          <w:b w:val="false"/>
          <w:i w:val="false"/>
          <w:color w:val="000000"/>
          <w:sz w:val="22"/>
        </w:rPr>
        <w:t>means any amount of cannabinoid concentrate or extract that is uniform, produced from one or more batches, and used for testing for identity, strength, purity, and composition prior to being packaged.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 expiration date” </w:t>
      </w:r>
      <w:r>
        <w:rPr>
          <w:rFonts w:ascii="Times New Roman" w:hAnsi="Times New Roman"/>
          <w:b w:val="false"/>
          <w:i w:val="false"/>
          <w:color w:val="000000"/>
          <w:sz w:val="22"/>
        </w:rPr>
        <w:t>means the date after which a medical cannabidiol product shall not be sold by a manufacturer or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“produce”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Cultivating or harvesting plant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Processing or manufacturing;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Packaging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“Proficiency test” </w:t>
      </w:r>
      <w:r>
        <w:rPr>
          <w:rFonts w:ascii="Times New Roman" w:hAnsi="Times New Roman"/>
          <w:b w:val="false"/>
          <w:i w:val="false"/>
          <w:color w:val="000000"/>
          <w:sz w:val="22"/>
        </w:rPr>
        <w:t>means an evaluation of a laboratory’s performance against preestablished criteria by means of interlaboratory comparisons of test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“Qualitative analysis” </w:t>
      </w:r>
      <w:r>
        <w:rPr>
          <w:rFonts w:ascii="Times New Roman" w:hAnsi="Times New Roman"/>
          <w:b w:val="false"/>
          <w:i w:val="false"/>
          <w:color w:val="000000"/>
          <w:sz w:val="22"/>
        </w:rPr>
        <w:t>means identification of an analyte in a substance or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means a set of operating principles to produce data of known accuracy and precision. “Quality assurance” encompasses employee training, equipment preventative maintenance procedures, calibration procedures, and quality control testing, among other things.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control” </w:t>
      </w:r>
      <w:r>
        <w:rPr>
          <w:rFonts w:ascii="Times New Roman" w:hAnsi="Times New Roman"/>
          <w:b w:val="false"/>
          <w:i w:val="false"/>
          <w:color w:val="000000"/>
          <w:sz w:val="22"/>
        </w:rPr>
        <w:t>means a set of measures implemented within an analytical procedure to ensure that the measurement system is operating in a state of statistical control in which errors have been reduced to acceptable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control samples” </w:t>
      </w:r>
      <w:r>
        <w:rPr>
          <w:rFonts w:ascii="Times New Roman" w:hAnsi="Times New Roman"/>
          <w:b w:val="false"/>
          <w:i w:val="false"/>
          <w:color w:val="000000"/>
          <w:sz w:val="22"/>
        </w:rPr>
        <w:t>means samples produced and used for the purpose of ensuring quality control. Quality control samples include but are not limited to blank samples, spike samples, duplicate samples, and reference material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“Reagent” </w:t>
      </w:r>
      <w:r>
        <w:rPr>
          <w:rFonts w:ascii="Times New Roman" w:hAnsi="Times New Roman"/>
          <w:b w:val="false"/>
          <w:i w:val="false"/>
          <w:color w:val="000000"/>
          <w:sz w:val="22"/>
        </w:rPr>
        <w:t>means a compound or mixture added to a system to cause a chemical reaction or to test if a reaction occurs. A reagent may be used to tell whether or not a specific chemical substance is present by causing a reaction to occur with the chemical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“Recall” </w:t>
      </w:r>
      <w:r>
        <w:rPr>
          <w:rFonts w:ascii="Times New Roman" w:hAnsi="Times New Roman"/>
          <w:b w:val="false"/>
          <w:i w:val="false"/>
          <w:color w:val="000000"/>
          <w:sz w:val="22"/>
        </w:rPr>
        <w:t>means the return of medical cannabidiol from patients and dispensaries to a manufacturer because of the potential for serious health consequences from the use of the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material” </w:t>
      </w:r>
      <w:r>
        <w:rPr>
          <w:rFonts w:ascii="Times New Roman" w:hAnsi="Times New Roman"/>
          <w:b w:val="false"/>
          <w:i w:val="false"/>
          <w:color w:val="000000"/>
          <w:sz w:val="22"/>
        </w:rPr>
        <w:t>means a material containing a known concentration of an analyte of interest that is in solution or in a homogeneous matrix. Reference material is used to document the bias of the analytical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percent difference”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“RPD” </w:t>
      </w:r>
      <w:r>
        <w:rPr>
          <w:rFonts w:ascii="Times New Roman" w:hAnsi="Times New Roman"/>
          <w:b w:val="false"/>
          <w:i w:val="false"/>
          <w:color w:val="000000"/>
          <w:sz w:val="22"/>
        </w:rPr>
        <w:t>means a comparative statistic used to calculate precision or random error. RPD is calculated using the following equation: RPD = absolute value (primary sample measurement - duplicate sample measurement) / ([primary sample measurement + duplicate sample measurement] / 2) ×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“Requester” </w:t>
      </w:r>
      <w:r>
        <w:rPr>
          <w:rFonts w:ascii="Times New Roman" w:hAnsi="Times New Roman"/>
          <w:b w:val="false"/>
          <w:i w:val="false"/>
          <w:color w:val="000000"/>
          <w:sz w:val="22"/>
        </w:rPr>
        <w:t>means a person who submits a request to a licensed testing laboratory for state-mandated testing of medical cannabis goods. The requester may be a licensed manufacturer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solvents and processing chemicals” </w:t>
      </w:r>
      <w:r>
        <w:rPr>
          <w:rFonts w:ascii="Times New Roman" w:hAnsi="Times New Roman"/>
          <w:b w:val="false"/>
          <w:i w:val="false"/>
          <w:color w:val="000000"/>
          <w:sz w:val="22"/>
        </w:rPr>
        <w:t>means volatile organic chemicals that are used or produced in the manufacture or production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access area” </w:t>
      </w:r>
      <w:r>
        <w:rPr>
          <w:rFonts w:ascii="Times New Roman" w:hAnsi="Times New Roman"/>
          <w:b w:val="false"/>
          <w:i w:val="false"/>
          <w:color w:val="000000"/>
          <w:sz w:val="22"/>
        </w:rPr>
        <w:t>means a building, room, or other contiguous area on the premises where plant material is grown, cultivated, harvested, stored, packaged, or processed for sale under control of the manufacturer, and where no person under the age of 18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“Sample” </w:t>
      </w:r>
      <w:r>
        <w:rPr>
          <w:rFonts w:ascii="Times New Roman" w:hAnsi="Times New Roman"/>
          <w:b w:val="false"/>
          <w:i w:val="false"/>
          <w:color w:val="000000"/>
          <w:sz w:val="22"/>
        </w:rPr>
        <w:t>means a representative part of or a single item from a larger whole or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“Sanitize” </w:t>
      </w:r>
      <w:r>
        <w:rPr>
          <w:rFonts w:ascii="Times New Roman" w:hAnsi="Times New Roman"/>
          <w:b w:val="false"/>
          <w:i w:val="false"/>
          <w:color w:val="000000"/>
          <w:sz w:val="22"/>
        </w:rPr>
        <w:t>means to sterilize, disinfect, or make hygienic.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w:t>
      </w:r>
      <w:r>
        <w:rPr>
          <w:rFonts w:ascii="Times New Roman" w:hAnsi="Times New Roman"/>
          <w:b w:val="false"/>
          <w:i w:val="false"/>
          <w:color w:val="000000"/>
          <w:sz w:val="22"/>
        </w:rPr>
        <w:t xml:space="preserve">means the same as defined in rule </w:t>
      </w:r>
      <w:hyperlink r:id="rId18">
        <w:r>
          <w:rPr>
            <w:rStyle w:val="Hyperlink"/>
            <w:rFonts w:ascii="Times New Roman" w:hAnsi="Times New Roman"/>
            <w:b w:val="false"/>
            <w:i w:val="false"/>
            <w:color w:val="000000"/>
            <w:sz w:val="22"/>
          </w:rPr>
          <w:t>661—277.2</w:t>
        </w:r>
      </w:hyperlink>
      <w:r>
        <w:rPr>
          <w:rFonts w:ascii="Times New Roman" w:hAnsi="Times New Roman"/>
          <w:b w:val="false"/>
          <w:i w:val="false"/>
          <w:color w:val="000000"/>
          <w:sz w:val="22"/>
        </w:rPr>
        <w:t xml:space="preserve">(100C).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“Semiquantitative analysis” </w:t>
      </w:r>
      <w:r>
        <w:rPr>
          <w:rFonts w:ascii="Times New Roman" w:hAnsi="Times New Roman"/>
          <w:b w:val="false"/>
          <w:i w:val="false"/>
          <w:color w:val="000000"/>
          <w:sz w:val="22"/>
        </w:rPr>
        <w:t>means less than quantitative precision and does not involve a full calibration. Analyte identification is based on a single-point reference or high-probability library match. The determination of amount uses the ratio of the unknown chemical analyte to that of a known analyte added to the sample before analysis. Uncertainty for semiquantitative results is higher than for quantitative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figures” </w:t>
      </w:r>
      <w:r>
        <w:rPr>
          <w:rFonts w:ascii="Times New Roman" w:hAnsi="Times New Roman"/>
          <w:b w:val="false"/>
          <w:i w:val="false"/>
          <w:color w:val="000000"/>
          <w:sz w:val="22"/>
        </w:rPr>
        <w:t>means the number of digits used to express a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“Stability study”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“studies” </w:t>
      </w:r>
      <w:r>
        <w:rPr>
          <w:rFonts w:ascii="Times New Roman" w:hAnsi="Times New Roman"/>
          <w:b w:val="false"/>
          <w:i w:val="false"/>
          <w:color w:val="000000"/>
          <w:sz w:val="22"/>
        </w:rPr>
        <w:t xml:space="preserve">means the process of determining the shelf-life or expiration date of a medical cannabidiol product. After storage of an unopened package of medical cannabidiol at a licensed manufacturing facility or dispensary facility, the contents shall not vary in concentrations of THC and CBD by more than an amount determined by the department and listed in the laboratory testing requirements and acceptance criteria document described in </w:t>
      </w:r>
      <w:hyperlink r:id="rId19">
        <w:r>
          <w:rPr>
            <w:rStyle w:val="Hyperlink"/>
            <w:rFonts w:ascii="Times New Roman" w:hAnsi="Times New Roman"/>
            <w:b w:val="false"/>
            <w:i w:val="false"/>
            <w:color w:val="000000"/>
            <w:sz w:val="22"/>
          </w:rPr>
          <w:t>641—Chapter 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operating procedure” </w:t>
      </w:r>
      <w:r>
        <w:rPr>
          <w:rFonts w:ascii="Times New Roman" w:hAnsi="Times New Roman"/>
          <w:b w:val="false"/>
          <w:i w:val="false"/>
          <w:color w:val="000000"/>
          <w:sz w:val="22"/>
        </w:rPr>
        <w:t>means a written document that provides detailed instructions for the performance of all aspects of an analysis, operation,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“Synthetic or semisynthetic cannabinoid” </w:t>
      </w:r>
      <w:r>
        <w:rPr>
          <w:rFonts w:ascii="Times New Roman" w:hAnsi="Times New Roman"/>
          <w:b w:val="false"/>
          <w:i w:val="false"/>
          <w:color w:val="000000"/>
          <w:sz w:val="22"/>
        </w:rPr>
        <w:t>means a cannabinoid extracted from a cannabis plant, a cannabis flower, a hemp plant, or hemp plant parts with a chemical makeup that is changed after extraction to create a different cannabinoid or other chemical compound by applying a catalyst other than heat or light. “Synthetic or semisynthetic cannabinoid” includes but is not limited to any tetrahydrocannabinol created from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“Tamper-evident” </w:t>
      </w:r>
      <w:r>
        <w:rPr>
          <w:rFonts w:ascii="Times New Roman" w:hAnsi="Times New Roman"/>
          <w:b w:val="false"/>
          <w:i w:val="false"/>
          <w:color w:val="000000"/>
          <w:sz w:val="22"/>
        </w:rPr>
        <w:t>means that one or more one-time-use seals are affixed to the opening of a package, allowing a person to recognize whether or not the package has been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laboratory record” </w:t>
      </w:r>
      <w:r>
        <w:rPr>
          <w:rFonts w:ascii="Times New Roman" w:hAnsi="Times New Roman"/>
          <w:b w:val="false"/>
          <w:i w:val="false"/>
          <w:color w:val="000000"/>
          <w:sz w:val="22"/>
        </w:rPr>
        <w:t>means information relating to the testing laboratory and the analyses it performs that is prepared, owned, used, or retained by the laboratory and includes electronic files and video footage.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“delta-9 THC” </w:t>
      </w:r>
      <w:r>
        <w:rPr>
          <w:rFonts w:ascii="Times New Roman" w:hAnsi="Times New Roman"/>
          <w:b w:val="false"/>
          <w:i w:val="false"/>
          <w:color w:val="000000"/>
          <w:sz w:val="22"/>
        </w:rPr>
        <w:t>means tetrahydrocannabinol, Chemical Abstracts Service number 1972-08-3.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“THCA” </w:t>
      </w:r>
      <w:r>
        <w:rPr>
          <w:rFonts w:ascii="Times New Roman" w:hAnsi="Times New Roman"/>
          <w:b w:val="false"/>
          <w:i w:val="false"/>
          <w:color w:val="000000"/>
          <w:sz w:val="22"/>
        </w:rPr>
        <w:t>means tetrahydrocannabinolic acid, Chemical Abstracts Service number 23978-85-0.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tetrahydrocannabinol” </w:t>
      </w:r>
      <w:r>
        <w:rPr>
          <w:rFonts w:ascii="Times New Roman" w:hAnsi="Times New Roman"/>
          <w:b w:val="false"/>
          <w:i w:val="false"/>
          <w:color w:val="000000"/>
          <w:sz w:val="22"/>
        </w:rPr>
        <w:t>means 87.7 percent of the amount of tetrahydrocannabinolic acid plus the amount of tetrahydrocannabinol.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“Tracking number” </w:t>
      </w:r>
      <w:r>
        <w:rPr>
          <w:rFonts w:ascii="Times New Roman" w:hAnsi="Times New Roman"/>
          <w:b w:val="false"/>
          <w:i w:val="false"/>
          <w:color w:val="000000"/>
          <w:sz w:val="22"/>
        </w:rPr>
        <w:t>means the sales identification number assigned by a dispensary to a transaction at the time of the sale of a medical cannabidiol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name” </w:t>
      </w:r>
      <w:r>
        <w:rPr>
          <w:rFonts w:ascii="Times New Roman" w:hAnsi="Times New Roman"/>
          <w:b w:val="false"/>
          <w:i w:val="false"/>
          <w:color w:val="000000"/>
          <w:sz w:val="22"/>
        </w:rPr>
        <w:t xml:space="preserve">means the name that manufacturers give to a product or range of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“Validation” </w:t>
      </w:r>
      <w:r>
        <w:rPr>
          <w:rFonts w:ascii="Times New Roman" w:hAnsi="Times New Roman"/>
          <w:b w:val="false"/>
          <w:i w:val="false"/>
          <w:color w:val="000000"/>
          <w:sz w:val="22"/>
        </w:rPr>
        <w:t>means the confirmation by examination and objective evidence that the particular requirements for a specific intended use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“Valid photo identification” </w:t>
      </w:r>
      <w:r>
        <w:rPr>
          <w:rFonts w:ascii="Times New Roman" w:hAnsi="Times New Roman"/>
          <w:b w:val="false"/>
          <w:i w:val="false"/>
          <w:color w:val="000000"/>
          <w:sz w:val="22"/>
        </w:rPr>
        <w:t>means any of the following for a patient or primary caregiver: (1) a valid Iowa driver’s license, (2) a valid Iowa nonoperator’s identification card, or (3) an alternative form of valid photo identification. An individual who possesses or is eligible for a driver’s license or a nonoperator’s identification card shall present such document as valid photo identification. An individual who is ineligible to obtain a driver’s license or a nonoperator’s identification card may apply for an exemption and request submission of an alternative form of valid photo identification. An individual who applies for an exemption is subject to verification of the primary caregiver’s identity through a process established by the department to ensure the genuineness, regularity, and legality of the alternative form of valid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“Vaporization” </w:t>
      </w:r>
      <w:r>
        <w:rPr>
          <w:rFonts w:ascii="Times New Roman" w:hAnsi="Times New Roman"/>
          <w:b w:val="false"/>
          <w:i w:val="false"/>
          <w:color w:val="000000"/>
          <w:sz w:val="22"/>
        </w:rPr>
        <w:t>means the heating of a medical cannabidiol concentrate or extract to a specific temperature using a device. For the purposes of these rules, vaporization does not include raw or dried cannabis flower.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means a document signed by a health care practitioner, with whom the patient has established a patient-provider relationship, that states that the patient has a debilitating medical condition and identifies that condition and provides any other relevant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REGISTRATION CARDS</w:t>
      </w:r>
    </w:p>
    <w:p>
      <w:pPr>
        <w:spacing w:before="0" w:after="0"/>
        <w:ind w:left="120"/>
        <w:jc w:val="both"/>
      </w:pPr>
      <w:r>
        <w:rPr>
          <w:rFonts w:ascii="Times New Roman" w:hAnsi="Times New Roman"/>
          <w:b/>
          <w:i w:val="false"/>
          <w:color w:val="000000"/>
          <w:sz w:val="22"/>
        </w:rPr>
        <w:t>641—154.2</w:t>
      </w:r>
      <w:r>
        <w:rPr>
          <w:rFonts w:ascii="Times New Roman" w:hAnsi="Times New Roman"/>
          <w:b/>
          <w:i w:val="false"/>
          <w:color w:val="000000"/>
          <w:sz w:val="22"/>
        </w:rPr>
        <w:t xml:space="preserve">(124E) </w:t>
      </w:r>
      <w:r>
        <w:rPr>
          <w:rFonts w:ascii="Times New Roman" w:hAnsi="Times New Roman"/>
          <w:b/>
          <w:i w:val="false"/>
          <w:color w:val="000000"/>
          <w:sz w:val="22"/>
        </w:rPr>
        <w:t xml:space="preserve">Health care practitioner certification—duties and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 patient’s submission of an application for a medical cannabidiol registration card pursuant to this rule, a health care practitioner shall follow all provisions of Iowa Code section </w:t>
      </w:r>
      <w:hyperlink r:id="rId20">
        <w:r>
          <w:rPr>
            <w:rStyle w:val="Hyperlink"/>
            <w:rFonts w:ascii="Times New Roman" w:hAnsi="Times New Roman"/>
            <w:b w:val="false"/>
            <w:i w:val="false"/>
            <w:color w:val="000000"/>
            <w:sz w:val="22"/>
          </w:rPr>
          <w:t>124E.3</w:t>
        </w:r>
      </w:hyperlink>
      <w:r>
        <w:rPr>
          <w:rFonts w:ascii="Times New Roman" w:hAnsi="Times New Roman"/>
          <w:b w:val="false"/>
          <w:i w:val="false"/>
          <w:color w:val="000000"/>
          <w:sz w:val="22"/>
        </w:rPr>
        <w:t>, this chapter and requests from the department for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documentation required by Iowa Code section </w:t>
      </w:r>
      <w:hyperlink r:id="rId21">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submitted on the application form at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Explanatory information pursuant to Iowa Code section </w:t>
      </w:r>
      <w:hyperlink r:id="rId22">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located at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practitioner may make a written request to the department to rescind a written certification the practitioner previously provided, based on reasons deemed appropriate by the health care practitioner.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154.2(3)</w:t>
      </w:r>
      <w:r>
        <w:rPr>
          <w:rFonts w:ascii="Times New Roman" w:hAnsi="Times New Roman"/>
          <w:b w:val="false"/>
          <w:i w:val="false"/>
          <w:color w:val="000000"/>
          <w:sz w:val="22"/>
        </w:rPr>
        <w:t> </w:t>
      </w:r>
      <w:r>
        <w:rPr>
          <w:rFonts w:ascii="Times New Roman" w:hAnsi="Times New Roman"/>
          <w:b w:val="false"/>
          <w:i w:val="false"/>
          <w:color w:val="000000"/>
          <w:sz w:val="22"/>
        </w:rPr>
        <w:t>Health care practitioner prohibitions. A health care practitioner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solicit, or offer any form of remuneration from or to any individual, including but not limited to a patient, a primary caregiver, or an employee, investor, or owner of a manufacturer or dispensary for the purposes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Certifying a patient’s condition, other than accepting a fee for a patient consultation to determine if the patient should be issued a certification under Iowa Code chapter </w:t>
      </w:r>
      <w:hyperlink r:id="rId2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Certifying an individual as a primary caregiver, other than accepting a fee for a consultation to determine if the individual is a necessary caretaker taking responsibility for managing the well-being of the patient with respect to the use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Advertise the certification of patients as one of the health care practitioner’s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Certify a qualifying debilitating medical condition for a patient who is the health care practitioner or a family or household member of the health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designated to act as a primary caregiver for a patient for whom the health care practitioner has certified a qualifying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or provide medical cannabidiol product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a registration card to a patient who meets the criteria listed at Iowa Code section </w:t>
      </w:r>
      <w:hyperlink r:id="rId24">
        <w:r>
          <w:rPr>
            <w:rStyle w:val="Hyperlink"/>
            <w:rFonts w:ascii="Times New Roman" w:hAnsi="Times New Roman"/>
            <w:b w:val="false"/>
            <w:i w:val="false"/>
            <w:color w:val="000000"/>
            <w:sz w:val="22"/>
          </w:rPr>
          <w:t>124E.4(1)</w:t>
        </w:r>
      </w:hyperlink>
      <w:r>
        <w:rPr>
          <w:rFonts w:ascii="Times New Roman" w:hAnsi="Times New Roman"/>
          <w:b w:val="false"/>
          <w:i w:val="false"/>
          <w:color w:val="000000"/>
          <w:sz w:val="22"/>
        </w:rPr>
        <w:t xml:space="preserve">. The application form is available on the department’s website. The department shall not approve an application that does not include the information requested on the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patient’s application and the receipt of the required fee, the department shall issue a registration card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patient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patient’s full legal name, Iowa residence address, date of birth, and sex designation, as shown on the patient’s valid photo identification. If the patient’s information has changed since the issuance of the patient’s valid photo identification, the patient shall first update the patient’s valid identification to reflect the patient’s current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registration number that is not the patient’s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registration card is not valid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w:t>
      </w:r>
      <w:r>
        <w:rPr>
          <w:rFonts w:ascii="Times New Roman" w:hAnsi="Times New Roman"/>
          <w:b w:val="false"/>
          <w:i w:val="false"/>
          <w:color w:val="000000"/>
          <w:sz w:val="22"/>
        </w:rPr>
        <w:t> </w:t>
      </w:r>
      <w:r>
        <w:rPr>
          <w:rFonts w:ascii="Times New Roman" w:hAnsi="Times New Roman"/>
          <w:b w:val="false"/>
          <w:i w:val="false"/>
          <w:color w:val="000000"/>
          <w:sz w:val="22"/>
        </w:rPr>
        <w:t>Every patient 18 years of age or older must obtain a valid registration card to use medical cannabidiol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medical cannabidiol or cannabis for medicinal purposes issued by another state, territory, or jurisdiction does not satisfy the requirements of Iowa Code chapter </w:t>
      </w:r>
      <w:hyperlink r:id="rId2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card—reciprocity. </w:t>
      </w:r>
      <w:r>
        <w:rPr>
          <w:rFonts w:ascii="Times New Roman" w:hAnsi="Times New Roman"/>
          <w:b w:val="false"/>
          <w:i w:val="false"/>
          <w:color w:val="000000"/>
          <w:sz w:val="22"/>
        </w:rPr>
        <w:t xml:space="preserve">A medical cannabidiol registration card shall hold reciprocity with other states pursuant to Iowa Code section </w:t>
      </w:r>
      <w:hyperlink r:id="rId26">
        <w:r>
          <w:rPr>
            <w:rStyle w:val="Hyperlink"/>
            <w:rFonts w:ascii="Times New Roman" w:hAnsi="Times New Roman"/>
            <w:b w:val="false"/>
            <w:i w:val="false"/>
            <w:color w:val="000000"/>
            <w:sz w:val="22"/>
          </w:rPr>
          <w:t>124E.18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w:t>
      </w:r>
      <w:r>
        <w:rPr>
          <w:rFonts w:ascii="Times New Roman" w:hAnsi="Times New Roman"/>
          <w:b w:val="false"/>
          <w:i w:val="false"/>
          <w:color w:val="000000"/>
          <w:sz w:val="22"/>
        </w:rPr>
        <w:t> </w:t>
      </w:r>
      <w:r>
        <w:rPr>
          <w:rFonts w:ascii="Times New Roman" w:hAnsi="Times New Roman"/>
          <w:b w:val="false"/>
          <w:i w:val="false"/>
          <w:color w:val="000000"/>
          <w:sz w:val="22"/>
        </w:rPr>
        <w:t>A patient with a valid registration card from another state or jurisdiction shall maintain the affirmative defense for possession of medical cannabidiol, provided the form of cannabis product in the patient’s possession is allowable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with a valid registration card under the laws of another state or jurisdiction has no affirmative defense for medical cannabidiol if the cannabis product in the patient’s possession is prohibited in Iowa. Prohibited forms of medical cannabidiol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cannabis flower that may be combusted or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Edible products with a total THC concentration greater than 0.3 percent that is not a consumable hemp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primary caregiver.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patient in a primary caregiver’s care, the department may issue a registration card to a primary caregiver who meets the criteria listed at Iowa Code section </w:t>
      </w:r>
      <w:hyperlink r:id="rId27">
        <w:r>
          <w:rPr>
            <w:rStyle w:val="Hyperlink"/>
            <w:rFonts w:ascii="Times New Roman" w:hAnsi="Times New Roman"/>
            <w:b w:val="false"/>
            <w:i w:val="false"/>
            <w:color w:val="000000"/>
            <w:sz w:val="22"/>
          </w:rPr>
          <w:t>124E.4(3)</w:t>
        </w:r>
      </w:hyperlink>
      <w:r>
        <w:rPr>
          <w:rFonts w:ascii="Times New Roman" w:hAnsi="Times New Roman"/>
          <w:b w:val="false"/>
          <w:i w:val="false"/>
          <w:color w:val="000000"/>
          <w:sz w:val="22"/>
        </w:rPr>
        <w:t>. The application form is available on the department’s website. The department shall not approve an application that does not include the information requested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primary caregiver’s application, the department shall issue a registration card to the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primary caregiver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primary caregiver’s full legal name, current residence address, date of birth, and sex designation, as shown on the primary caregiver’s valid photo identification. If the primary caregiver’s information has changed since issuance of the primary caregiver’s valid photo identification, the primary caregiver shall first update the primary caregiver’s valid photo identification to reflect the primary caregiver’s current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registration number that is not the primary caregiver’s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registration number for each patient in the primary caregiver’s care. This number shall not be the primary caregiver’s or patient’s social security number. If the patient in the primary caregiver’s care is under the age of 18, the full name of the patient’s parent or legal guardian shall be printed on the primary caregiver’s registration card in lieu of the patient’s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registration card is not valid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distinguishing the registration cardholder as a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or to act as a primary caregiver for a patient authorized to use, medical cannabidiol or cannabis for medicinal purposes issued by another state, territory, or jurisdiction does not satisfy the requirements of Iowa Code chapter </w:t>
      </w:r>
      <w:hyperlink r:id="rId2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641—154.6</w:t>
      </w:r>
      <w:r>
        <w:rPr>
          <w:rFonts w:ascii="Times New Roman" w:hAnsi="Times New Roman"/>
          <w:b/>
          <w:i w:val="false"/>
          <w:color w:val="000000"/>
          <w:sz w:val="22"/>
        </w:rPr>
        <w:t xml:space="preserve">(124E) </w:t>
      </w:r>
      <w:r>
        <w:rPr>
          <w:rFonts w:ascii="Times New Roman" w:hAnsi="Times New Roman"/>
          <w:b/>
          <w:i w:val="false"/>
          <w:color w:val="000000"/>
          <w:sz w:val="22"/>
        </w:rPr>
        <w:t xml:space="preserve">Denial and cancellation. </w:t>
      </w:r>
      <w:r>
        <w:rPr>
          <w:rFonts w:ascii="Times New Roman" w:hAnsi="Times New Roman"/>
          <w:b w:val="false"/>
          <w:i w:val="false"/>
          <w:color w:val="000000"/>
          <w:sz w:val="22"/>
        </w:rPr>
        <w:t>The department may deny an application for a registration card, or may cancel a registration card,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contained in the application is illegible, incomplete, falsified, misleading, deceptive, or untrue.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department is unable to verify the identity of the applicant from the photo identification or other documentation presented during application.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has reasonable belief, or proof, that the patient is engaged in diversion of medical cannabidiol.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applicant violates or fails to satisfy any of the provisions of Iowa Code chapter </w:t>
      </w:r>
      <w:hyperlink r:id="rId2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patient, the patient’s legal guardian, or other person with durable power of attorney requests in writing that the department cancel the patient’s registration card. The department shall notify a primary caregiver in writing when the registration card of the primary caregiver’s patient has been canceled.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primary caregiver requests in writing that the department cancel the primary caregiver’s registration card. The department shall notify a patient in writing when the registration card of the patient’s primary caregiver has been canceled.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department becomes aware of the death of a patient or primary caregiver.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health care practitioner requests in writing that the department rescind the written certification the practitioner provided to a patient or caregiver.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patient requests in writing that the department cancel the patient’s primary caregiver’s registration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641—154.7</w:t>
      </w:r>
      <w:r>
        <w:rPr>
          <w:rFonts w:ascii="Times New Roman" w:hAnsi="Times New Roman"/>
          <w:b/>
          <w:i w:val="false"/>
          <w:color w:val="000000"/>
          <w:sz w:val="22"/>
        </w:rPr>
        <w:t xml:space="preserve">(124E)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denial or cancellation. </w:t>
      </w:r>
      <w:r>
        <w:rPr>
          <w:rFonts w:ascii="Times New Roman" w:hAnsi="Times New Roman"/>
          <w:b w:val="false"/>
          <w:i w:val="false"/>
          <w:color w:val="000000"/>
          <w:sz w:val="22"/>
        </w:rPr>
        <w:t>If the department denies an application for or cancels a registration card, the department shall inform the applicant or cardholder of the denial or cancellation, state the reasons for the denial or cancellation in writing, and state the effective date of the denial or cancellation. If the department cancels a card upon request from a patient or primary caregiver, or the department becomes aware of the death of a patient or primary caregiver, the cancellation is effective immediately upon issuance of the written notice of cancellation. If the department cancels a card upon any other ground listed, the cancellation shall become effective 30 days following issuance of the written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154.7(2)</w:t>
      </w:r>
      <w:r>
        <w:rPr>
          <w:rFonts w:ascii="Times New Roman" w:hAnsi="Times New Roman"/>
          <w:b w:val="false"/>
          <w:i w:val="false"/>
          <w:color w:val="000000"/>
          <w:sz w:val="22"/>
        </w:rPr>
        <w:t> </w:t>
      </w:r>
      <w:r>
        <w:rPr>
          <w:rFonts w:ascii="Times New Roman" w:hAnsi="Times New Roman"/>
          <w:b w:val="false"/>
          <w:i/>
          <w:color w:val="000000"/>
          <w:sz w:val="22"/>
        </w:rPr>
        <w:t xml:space="preserve">Effect of written notice of cancellation on use and possession of medical cannabidiol. </w:t>
      </w:r>
      <w:r>
        <w:rPr>
          <w:rFonts w:ascii="Times New Roman" w:hAnsi="Times New Roman"/>
          <w:b w:val="false"/>
          <w:i w:val="false"/>
          <w:color w:val="000000"/>
          <w:sz w:val="22"/>
        </w:rPr>
        <w:t xml:space="preserve">A cardholder is authorized to purchase, possess, and use medical cannabidiol up to and including the effective date of the cancellation. For purposes of the affirmative defenses in Iowa Code section </w:t>
      </w:r>
      <w:hyperlink r:id="rId30">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a patient or primary caregiver shall be deemed to be in possession of a valid registration card up to and including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154.7(3)</w:t>
      </w:r>
      <w:r>
        <w:rPr>
          <w:rFonts w:ascii="Times New Roman" w:hAnsi="Times New Roman"/>
          <w:b w:val="false"/>
          <w:i w:val="false"/>
          <w:color w:val="000000"/>
          <w:sz w:val="22"/>
        </w:rPr>
        <w:t> </w:t>
      </w:r>
      <w:r>
        <w:rPr>
          <w:rFonts w:ascii="Times New Roman" w:hAnsi="Times New Roman"/>
          <w:b w:val="false"/>
          <w:i/>
          <w:color w:val="000000"/>
          <w:sz w:val="22"/>
        </w:rPr>
        <w:t xml:space="preserve">Request for appeal. </w:t>
      </w:r>
      <w:r>
        <w:rPr>
          <w:rFonts w:ascii="Times New Roman" w:hAnsi="Times New Roman"/>
          <w:b w:val="false"/>
          <w:i w:val="false"/>
          <w:color w:val="000000"/>
          <w:sz w:val="22"/>
        </w:rPr>
        <w:t xml:space="preserve">A request for appeal concerning the denial or cancellation of a registration card shall be submitted pursuant to the provisions of </w:t>
      </w:r>
      <w:hyperlink r:id="rId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In the event of a timely appeal, cancellation of the card shall be deemed to be suspended pending the outcome of the contested case proceeding. If the cancellation is affirmed following the contested case proceeding, the card cancellation shall become effective 30 days following issuance of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641—154.8</w:t>
      </w:r>
      <w:r>
        <w:rPr>
          <w:rFonts w:ascii="Times New Roman" w:hAnsi="Times New Roman"/>
          <w:b/>
          <w:i w:val="false"/>
          <w:color w:val="000000"/>
          <w:sz w:val="22"/>
        </w:rPr>
        <w:t xml:space="preserve">(124E) </w:t>
      </w:r>
      <w:r>
        <w:rPr>
          <w:rFonts w:ascii="Times New Roman" w:hAnsi="Times New Roman"/>
          <w:b/>
          <w:i w:val="false"/>
          <w:color w:val="000000"/>
          <w:sz w:val="22"/>
        </w:rPr>
        <w:t xml:space="preserve">Duplicate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card. </w:t>
      </w:r>
      <w:r>
        <w:rPr>
          <w:rFonts w:ascii="Times New Roman" w:hAnsi="Times New Roman"/>
          <w:b w:val="false"/>
          <w:i w:val="false"/>
          <w:color w:val="000000"/>
          <w:sz w:val="22"/>
        </w:rPr>
        <w:t xml:space="preserve">To replace a registration card that is lost, stolen, or destroyed, a cardholder shall present to the department the cardholder’s valid photo identification that was provided at the time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154.8(2)</w:t>
      </w:r>
      <w:r>
        <w:rPr>
          <w:rFonts w:ascii="Times New Roman" w:hAnsi="Times New Roman"/>
          <w:b w:val="false"/>
          <w:i w:val="false"/>
          <w:color w:val="000000"/>
          <w:sz w:val="22"/>
        </w:rPr>
        <w:t> </w:t>
      </w:r>
      <w:r>
        <w:rPr>
          <w:rFonts w:ascii="Times New Roman" w:hAnsi="Times New Roman"/>
          <w:b w:val="false"/>
          <w:i/>
          <w:color w:val="000000"/>
          <w:sz w:val="22"/>
        </w:rPr>
        <w:t xml:space="preserve">Change in card information and voluntary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replace a registration card that is damaged, the cardholder shall surrender the card to be replaced to the department and present the cardholder’s valid photo identification that was provided at the time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patient or primary caregiver to whom a registration card is issued shall notify the department of a change in information listed on the card, within ten calendar days of the change. To replace a registration card to change the patient or primary caregiver’s information, the cardholder shall surrender the card to be replaced to the department and present the patient or primary caregiver’s updated valid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replace a registration card held by a primary caregiver to change, add, or remove a patient’s registration number or the name of a patient’s parent or legal guardian listed on the primary caregiver’s card, the primary caregiver shall submit a new application to the department pursuant to rule </w:t>
      </w:r>
      <w:hyperlink r:id="rId32">
        <w:r>
          <w:rPr>
            <w:rStyle w:val="Hyperlink"/>
            <w:rFonts w:ascii="Times New Roman" w:hAnsi="Times New Roman"/>
            <w:b w:val="false"/>
            <w:i w:val="false"/>
            <w:color w:val="000000"/>
            <w:sz w:val="22"/>
          </w:rPr>
          <w:t>641—154.5</w:t>
        </w:r>
      </w:hyperlink>
      <w:r>
        <w:rPr>
          <w:rFonts w:ascii="Times New Roman" w:hAnsi="Times New Roman"/>
          <w:b w:val="false"/>
          <w:i w:val="false"/>
          <w:color w:val="000000"/>
          <w:sz w:val="22"/>
        </w:rPr>
        <w:t>(124E). A registration card issued pursuant to this paragraph shall not be considered a duplicate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154.8(3)</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 xml:space="preserve">A duplicate registration card shall have the same expiration date as the registration card being replaced, changed, or amended.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641—154.9</w:t>
      </w:r>
      <w:r>
        <w:rPr>
          <w:rFonts w:ascii="Times New Roman" w:hAnsi="Times New Roman"/>
          <w:b/>
          <w:i w:val="false"/>
          <w:color w:val="000000"/>
          <w:sz w:val="22"/>
        </w:rPr>
        <w:t xml:space="preserve">(124E) </w:t>
      </w:r>
      <w:r>
        <w:rPr>
          <w:rFonts w:ascii="Times New Roman" w:hAnsi="Times New Roman"/>
          <w:b/>
          <w:i w:val="false"/>
          <w:color w:val="000000"/>
          <w:sz w:val="22"/>
        </w:rPr>
        <w:t xml:space="preserve">Renewal. </w:t>
      </w:r>
      <w:r>
        <w:rPr>
          <w:rFonts w:ascii="Times New Roman" w:hAnsi="Times New Roman"/>
          <w:b w:val="false"/>
          <w:i w:val="false"/>
          <w:color w:val="000000"/>
          <w:sz w:val="22"/>
        </w:rPr>
        <w:t xml:space="preserve">A registration card shall be valid for one year from the date of issuance, unless canceled. Renewal of a registration card will follow the application and issuance rules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641—154.10</w:t>
      </w:r>
      <w:r>
        <w:rPr>
          <w:rFonts w:ascii="Times New Roman" w:hAnsi="Times New Roman"/>
          <w:b/>
          <w:i w:val="false"/>
          <w:color w:val="000000"/>
          <w:sz w:val="22"/>
        </w:rPr>
        <w:t xml:space="preserve">(124E)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department will follow the confidentiality provisions in Iowa Code section </w:t>
      </w:r>
      <w:hyperlink r:id="rId33">
        <w:r>
          <w:rPr>
            <w:rStyle w:val="Hyperlink"/>
            <w:rFonts w:ascii="Times New Roman" w:hAnsi="Times New Roman"/>
            <w:b w:val="false"/>
            <w:i w:val="false"/>
            <w:color w:val="000000"/>
            <w:sz w:val="22"/>
          </w:rPr>
          <w:t>124E.11(1)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154.10(1)</w:t>
      </w:r>
      <w:r>
        <w:rPr>
          <w:rFonts w:ascii="Times New Roman" w:hAnsi="Times New Roman"/>
          <w:b w:val="false"/>
          <w:i w:val="false"/>
          <w:color w:val="000000"/>
          <w:sz w:val="22"/>
        </w:rPr>
        <w:t> </w:t>
      </w:r>
      <w:r>
        <w:rPr>
          <w:rFonts w:ascii="Times New Roman" w:hAnsi="Times New Roman"/>
          <w:b w:val="false"/>
          <w:i w:val="false"/>
          <w:color w:val="000000"/>
          <w:sz w:val="22"/>
        </w:rPr>
        <w:t>Personally identifiable information of patients and primary caregivers will be maintained as confidential and is not accessible to the public. The department will release aggregate and statistical information regarding the registration card program in a manner that prevents the identification of any patient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154.10(2)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of patients and primary caregivers may be disclosed only pursuant to Iowa Code section </w:t>
      </w:r>
      <w:hyperlink r:id="rId34">
        <w:r>
          <w:rPr>
            <w:rStyle w:val="Hyperlink"/>
            <w:rFonts w:ascii="Times New Roman" w:hAnsi="Times New Roman"/>
            <w:b w:val="false"/>
            <w:i w:val="false"/>
            <w:color w:val="000000"/>
            <w:sz w:val="22"/>
          </w:rPr>
          <w:t>124E.11(1)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to a patient, primary caregiver, or health care practitioner, upon written authorization of the patient or primary caregiver.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641—154.11</w:t>
      </w:r>
      <w:r>
        <w:rPr>
          <w:rFonts w:ascii="Times New Roman" w:hAnsi="Times New Roman"/>
          <w:b/>
          <w:i w:val="false"/>
          <w:color w:val="000000"/>
          <w:sz w:val="22"/>
        </w:rPr>
        <w:t xml:space="preserve">(124E) </w:t>
      </w:r>
      <w:r>
        <w:rPr>
          <w:rFonts w:ascii="Times New Roman" w:hAnsi="Times New Roman"/>
          <w:b/>
          <w:i w:val="false"/>
          <w:color w:val="000000"/>
          <w:sz w:val="22"/>
        </w:rPr>
        <w:t xml:space="preserve">Fees. </w:t>
      </w:r>
      <w:r>
        <w:rPr>
          <w:rFonts w:ascii="Times New Roman" w:hAnsi="Times New Roman"/>
          <w:b w:val="false"/>
          <w:i w:val="false"/>
          <w:color w:val="000000"/>
          <w:sz w:val="22"/>
        </w:rPr>
        <w:t xml:space="preserve">All fees are nonrefundable. Application fees are established in Iowa Code section </w:t>
      </w:r>
      <w:hyperlink r:id="rId35">
        <w:r>
          <w:rPr>
            <w:rStyle w:val="Hyperlink"/>
            <w:rFonts w:ascii="Times New Roman" w:hAnsi="Times New Roman"/>
            <w:b w:val="false"/>
            <w:i w:val="false"/>
            <w:color w:val="000000"/>
            <w:sz w:val="22"/>
          </w:rPr>
          <w:t>124E.4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641—154.12</w:t>
      </w:r>
      <w:r>
        <w:rPr>
          <w:rFonts w:ascii="Times New Roman" w:hAnsi="Times New Roman"/>
          <w:b/>
          <w:i w:val="false"/>
          <w:color w:val="000000"/>
          <w:sz w:val="22"/>
        </w:rPr>
        <w:t xml:space="preserve">(124E) </w:t>
      </w:r>
      <w:r>
        <w:rPr>
          <w:rFonts w:ascii="Times New Roman" w:hAnsi="Times New Roman"/>
          <w:b/>
          <w:i w:val="false"/>
          <w:color w:val="000000"/>
          <w:sz w:val="22"/>
        </w:rPr>
        <w:t xml:space="preserve">Consumption of medical cannabidiol.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xml:space="preserve">, patients and caregivers are entitled to a complete and affirmative defense for unlawful possession of marijuana. Medical cannabidiol is intended to be consumed privately, and patients are subject to all applicable laws regarding public impairment and operating a vehicle, including but not limited to Iowa Code section </w:t>
      </w:r>
      <w:hyperlink r:id="rId37">
        <w:r>
          <w:rPr>
            <w:rStyle w:val="Hyperlink"/>
            <w:rFonts w:ascii="Times New Roman" w:hAnsi="Times New Roman"/>
            <w:b w:val="false"/>
            <w:i w:val="false"/>
            <w:color w:val="000000"/>
            <w:sz w:val="22"/>
          </w:rPr>
          <w:t>123.46</w:t>
        </w:r>
      </w:hyperlink>
      <w:r>
        <w:rPr>
          <w:rFonts w:ascii="Times New Roman" w:hAnsi="Times New Roman"/>
          <w:b w:val="false"/>
          <w:i w:val="false"/>
          <w:color w:val="000000"/>
          <w:sz w:val="22"/>
        </w:rPr>
        <w:t xml:space="preserve"> and chapter </w:t>
      </w:r>
      <w:hyperlink r:id="rId38">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Medical cannabidiol products shall not be consumed in the following 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places open to the public, except for within a health care facility if pursuant to the standard operating procedures of the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property of a school, unless pursuant to the standard operating procedure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property of a medical cannabidiol dispensary or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641—154.13</w:t>
      </w:r>
      <w:r>
        <w:rPr>
          <w:rFonts w:ascii="Times New Roman" w:hAnsi="Times New Roman"/>
          <w:b/>
          <w:i w:val="false"/>
          <w:color w:val="000000"/>
          <w:sz w:val="22"/>
        </w:rPr>
        <w:t xml:space="preserve">(124E) </w:t>
      </w:r>
      <w:r>
        <w:rPr>
          <w:rFonts w:ascii="Times New Roman" w:hAnsi="Times New Roman"/>
          <w:b/>
          <w:i w:val="false"/>
          <w:color w:val="000000"/>
          <w:sz w:val="22"/>
        </w:rPr>
        <w:t xml:space="preserve">Allowable forms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154.13(1)</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allowable forms. </w:t>
      </w:r>
      <w:r>
        <w:rPr>
          <w:rFonts w:ascii="Times New Roman" w:hAnsi="Times New Roman"/>
          <w:b w:val="false"/>
          <w:i w:val="false"/>
          <w:color w:val="000000"/>
          <w:sz w:val="22"/>
        </w:rPr>
        <w:t>Allowable forms of medical cannabidiol may be modified by approval of a recommendation by the medical cannabidiol board, subsequent approval of the board of medicine, and adoption of the recommendations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154.13(2)</w:t>
      </w:r>
      <w:r>
        <w:rPr>
          <w:rFonts w:ascii="Times New Roman" w:hAnsi="Times New Roman"/>
          <w:b w:val="false"/>
          <w:i w:val="false"/>
          <w:color w:val="000000"/>
          <w:sz w:val="22"/>
        </w:rPr>
        <w:t> </w:t>
      </w:r>
      <w:r>
        <w:rPr>
          <w:rFonts w:ascii="Times New Roman" w:hAnsi="Times New Roman"/>
          <w:b w:val="false"/>
          <w:i/>
          <w:color w:val="000000"/>
          <w:sz w:val="22"/>
        </w:rPr>
        <w:t xml:space="preserve">Allowable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may only manufacture medical cannabidiol in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forms,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Tablet.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Capsule.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Liquid.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Sublingual.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Topical forms,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Ointment, cream or lotion.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Transdermal patch.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Inhaled forms,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Nebulizable.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Vaporizable.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Rectal/vaginal forms, including but not limited to suppository.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not produce medical cannabidiol in any form that may be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not produce edible medical cannabidiol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MANUFACTURER AND DISPENSARY LICENSING</w:t>
      </w:r>
    </w:p>
    <w:p>
      <w:pPr>
        <w:spacing w:before="0" w:after="0"/>
        <w:ind w:left="120"/>
        <w:jc w:val="both"/>
      </w:pPr>
      <w:r>
        <w:rPr>
          <w:rFonts w:ascii="Times New Roman" w:hAnsi="Times New Roman"/>
          <w:b/>
          <w:i w:val="false"/>
          <w:color w:val="000000"/>
          <w:sz w:val="22"/>
        </w:rPr>
        <w:t>641—154.14</w:t>
      </w:r>
      <w:r>
        <w:rPr>
          <w:rFonts w:ascii="Times New Roman" w:hAnsi="Times New Roman"/>
          <w:b/>
          <w:i w:val="false"/>
          <w:color w:val="000000"/>
          <w:sz w:val="22"/>
        </w:rPr>
        <w:t xml:space="preserve">(124E) </w:t>
      </w:r>
      <w:r>
        <w:rPr>
          <w:rFonts w:ascii="Times New Roman" w:hAnsi="Times New Roman"/>
          <w:b/>
          <w:i w:val="false"/>
          <w:color w:val="000000"/>
          <w:sz w:val="22"/>
        </w:rPr>
        <w:t xml:space="preserve">Notice to law enforcement. </w:t>
      </w:r>
      <w:r>
        <w:rPr>
          <w:rFonts w:ascii="Times New Roman" w:hAnsi="Times New Roman"/>
          <w:b w:val="false"/>
          <w:i w:val="false"/>
          <w:color w:val="000000"/>
          <w:sz w:val="22"/>
        </w:rPr>
        <w:t>The department shall notify local law enforcement agencies and the department of public safety of the locations of manufactures and dispensaries. If the department has sufficient cause to believe that there is a threat to public safety, the department shall notify local law enforcement agencies and the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641—154.15</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licensure, an applicant manufacturer or dispensary shall complete a background investigation pursuant to Iowa Code section </w:t>
      </w:r>
      <w:hyperlink r:id="rId39">
        <w:r>
          <w:rPr>
            <w:rStyle w:val="Hyperlink"/>
            <w:rFonts w:ascii="Times New Roman" w:hAnsi="Times New Roman"/>
            <w:b w:val="false"/>
            <w:i w:val="false"/>
            <w:color w:val="000000"/>
            <w:sz w:val="22"/>
          </w:rPr>
          <w:t>124E.19</w:t>
        </w:r>
      </w:hyperlink>
      <w:r>
        <w:rPr>
          <w:rFonts w:ascii="Times New Roman" w:hAnsi="Times New Roman"/>
          <w:b w:val="false"/>
          <w:i w:val="false"/>
          <w:color w:val="000000"/>
          <w:sz w:val="22"/>
        </w:rPr>
        <w:t xml:space="preserve">. Applicants must provide information on forms and in a manner required by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 renewed annually unless a manufacturer or dispensary relinquishes the license, there is a change in state law prohibiting the department from renewing the license, or the license is revoked pursuant to Iowa Code chapter </w:t>
      </w:r>
      <w:hyperlink r:id="rId4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to manufacture or dispense medical cannabidiol issued by the department is not assignable or transferable unless for the purpose of intra-organization restructure, subject to review and approval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641—154.16</w:t>
      </w:r>
      <w:r>
        <w:rPr>
          <w:rFonts w:ascii="Times New Roman" w:hAnsi="Times New Roman"/>
          <w:b/>
          <w:i w:val="false"/>
          <w:color w:val="000000"/>
          <w:sz w:val="22"/>
        </w:rPr>
        <w:t xml:space="preserve">(124E) </w:t>
      </w:r>
      <w:r>
        <w:rPr>
          <w:rFonts w:ascii="Times New Roman" w:hAnsi="Times New Roman"/>
          <w:b/>
          <w:i w:val="false"/>
          <w:color w:val="000000"/>
          <w:sz w:val="22"/>
        </w:rPr>
        <w:t xml:space="preserve">Collection of fees in competitive licensing. </w:t>
      </w:r>
      <w:r>
        <w:rPr>
          <w:rFonts w:ascii="Times New Roman" w:hAnsi="Times New Roman"/>
          <w:b w:val="false"/>
          <w:i w:val="false"/>
          <w:color w:val="000000"/>
          <w:sz w:val="22"/>
        </w:rPr>
        <w:t xml:space="preserve">Except as provided in this rule, all fees are nonrefundable, shall be retained by the department, and shall be considered repayment receipts as defined in Iowa Code section </w:t>
      </w:r>
      <w:hyperlink r:id="rId41">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154.16(1)</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for manufacturers and dispensaries.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manufacturing applicants are established by Iowa Code section </w:t>
      </w:r>
      <w:hyperlink r:id="rId42">
        <w:r>
          <w:rPr>
            <w:rStyle w:val="Hyperlink"/>
            <w:rFonts w:ascii="Times New Roman" w:hAnsi="Times New Roman"/>
            <w:b w:val="false"/>
            <w:i w:val="false"/>
            <w:color w:val="000000"/>
            <w:sz w:val="22"/>
          </w:rPr>
          <w:t>124E.6(4)</w:t>
        </w:r>
      </w:hyperlink>
      <w:r>
        <w:rPr>
          <w:rFonts w:ascii="Times New Roman" w:hAnsi="Times New Roman"/>
          <w:b w:val="false"/>
          <w:i w:val="false"/>
          <w:color w:val="000000"/>
          <w:sz w:val="22"/>
        </w:rPr>
        <w:t xml:space="preserve">. Fees for dispensary applicants are established by Iowa Code section </w:t>
      </w:r>
      <w:hyperlink r:id="rId43">
        <w:r>
          <w:rPr>
            <w:rStyle w:val="Hyperlink"/>
            <w:rFonts w:ascii="Times New Roman" w:hAnsi="Times New Roman"/>
            <w:b w:val="false"/>
            <w:i w:val="false"/>
            <w:color w:val="000000"/>
            <w:sz w:val="22"/>
          </w:rPr>
          <w:t>124E.8(4)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manufacturers and dispensaries shall pay an annual fee to the department to cover costs associated with regulating and inspecting, and for other expenses necessary for the administration of the medical cannabidiol program. The department shall assess the fee with the notice of approval of license, payable to the department no later than December 1. Annual fees assessed by the department shall not exceed $100,000 for a manufacturing license and shall not exceed $50,000 for a dispensary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154.16(2)</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manufacturer or dispensary shall reimburse the department of public safety the full cost of conducting background investigations related to an application for licensure. The department of public safety retains the right to bill a licensee for additional background investigations,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manufacturer or dispensary awarded a license shall, at the time of award to license, submit to the department of public safety a deposit of $10,000 for each business owner subject to a background investigation and a national criminal history background check. Background investigation costs shall be deducted from the funds deposited. If the background investigation fees exceed the funds deposited, the applicant shall submit additional funds as required by the department of public safety. If the background investigation fees are less than the funds deposited, the department of public safety may refund or retain the fees as mutually agreed with the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or dispensary shall pay a deposit of $200 per employee to the department of public safety for a background investigation and a national criminal history background check on any person being considered for hire as an employee of the manufacturer or dispensary. Background investigation costs shall be deducted from the funds deposited. If the background investigation fees exceed the funds deposited, the manufacturer or dispensary shall submit additional funds as required by the department of public safety. If the background investigation fees are less than the funds deposited, the department of public safety may refund or retain the fees as mutually agreed with the manufacturer or dispensary. The department shall retain the right to preclude a potential employee from hire based upon the results of the background investigation and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154.16(3)</w:t>
      </w:r>
      <w:r>
        <w:rPr>
          <w:rFonts w:ascii="Times New Roman" w:hAnsi="Times New Roman"/>
          <w:b w:val="false"/>
          <w:i w:val="false"/>
          <w:color w:val="000000"/>
          <w:sz w:val="22"/>
        </w:rPr>
        <w:t> </w:t>
      </w:r>
      <w:r>
        <w:rPr>
          <w:rFonts w:ascii="Times New Roman" w:hAnsi="Times New Roman"/>
          <w:b w:val="false"/>
          <w:i/>
          <w:color w:val="000000"/>
          <w:sz w:val="22"/>
        </w:rPr>
        <w:t xml:space="preserve">Criminal background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the owner of a dispensary shall not have been convicted of a disqualifying felony offense and shall be subject to a background investigation conducted by the department of public safety, including but not limited to a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of a manufacturer or a dispensary shall not have been convicted of a disqualifying felony offense and shall be subject to a background investigation conducted by the department of public safety, including but not limited to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licensed manufacturer or dispensary shall respond within 30 days to a request from the department or the department of public safety for more information to complete a background investigation and national criminal history background check on an owner, investor, or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641—154.17</w:t>
      </w:r>
      <w:r>
        <w:rPr>
          <w:rFonts w:ascii="Times New Roman" w:hAnsi="Times New Roman"/>
          <w:b/>
          <w:i w:val="false"/>
          <w:color w:val="000000"/>
          <w:sz w:val="22"/>
        </w:rPr>
        <w:t xml:space="preserve">(124E) </w:t>
      </w:r>
      <w:r>
        <w:rPr>
          <w:rFonts w:ascii="Times New Roman" w:hAnsi="Times New Roman"/>
          <w:b/>
          <w:i w:val="false"/>
          <w:color w:val="000000"/>
          <w:sz w:val="22"/>
        </w:rPr>
        <w:t xml:space="preserve">Licensure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154.17(1)</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or dispensary shall apply to renew its license with the department at least six months before the license expires. The application shall be submitted on a form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 manufacturer or dispensary of the decision to approve or deny the manufacturer or dispensary’s license by August 1 of the year in which the renewal application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641—154.18</w:t>
      </w:r>
      <w:r>
        <w:rPr>
          <w:rFonts w:ascii="Times New Roman" w:hAnsi="Times New Roman"/>
          <w:b/>
          <w:i w:val="false"/>
          <w:color w:val="000000"/>
          <w:sz w:val="22"/>
        </w:rPr>
        <w:t xml:space="preserve">(124E) </w:t>
      </w:r>
      <w:r>
        <w:rPr>
          <w:rFonts w:ascii="Times New Roman" w:hAnsi="Times New Roman"/>
          <w:b/>
          <w:i w:val="false"/>
          <w:color w:val="000000"/>
          <w:sz w:val="22"/>
        </w:rPr>
        <w:t xml:space="preserve">Suspension or revocation of a manufacturing or dispensary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or revoke a manufacturer or dispensary license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 of false, inaccurate, misleading, or fraudulent information to the department in the application or inspection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chapter </w:t>
      </w:r>
      <w:hyperlink r:id="rId44">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or violation of state or local law related to operation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 or practices detrimental to the safety, health, or welfare of a patient, primary caregiver,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Criminal, civil, or administration action taken against a license or registration in this or another state or country related to manufacturing or dispensing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False, misleading, or deceptive representations to the department, another state or federal agency, or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Discontinuance of operation for more than 30 days, unless the department approves an extension of such period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maintain effective controls against diversion, theft, or loss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 manufacturer or dispensary’s business owner or investors to have a satisfactory result in a background investigation or national criminal history background check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manufacturer or dispensary of the proposed action pursuant to Iowa Code sections </w:t>
      </w:r>
      <w:hyperlink r:id="rId45">
        <w:r>
          <w:rPr>
            <w:rStyle w:val="Hyperlink"/>
            <w:rFonts w:ascii="Times New Roman" w:hAnsi="Times New Roman"/>
            <w:b w:val="false"/>
            <w:i w:val="false"/>
            <w:color w:val="000000"/>
            <w:sz w:val="22"/>
          </w:rPr>
          <w:t>17A.12 </w:t>
        </w:r>
      </w:hyperlink>
      <w:r>
        <w:rPr>
          <w:rFonts w:ascii="Times New Roman" w:hAnsi="Times New Roman"/>
          <w:b w:val="false"/>
          <w:i w:val="false"/>
          <w:color w:val="000000"/>
          <w:sz w:val="22"/>
        </w:rPr>
        <w:t xml:space="preserve">and </w:t>
      </w:r>
      <w:hyperlink r:id="rId4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Notice of issuance of a suspension or revocation shall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appeal concerning the suspension or revocation of a license shall be submitted pursuant to the provisions of </w:t>
      </w:r>
      <w:hyperlink r:id="rId4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641—154.19</w:t>
      </w:r>
      <w:r>
        <w:rPr>
          <w:rFonts w:ascii="Times New Roman" w:hAnsi="Times New Roman"/>
          <w:b/>
          <w:i w:val="false"/>
          <w:color w:val="000000"/>
          <w:sz w:val="22"/>
        </w:rPr>
        <w:t xml:space="preserve">(124E) </w:t>
      </w:r>
      <w:r>
        <w:rPr>
          <w:rFonts w:ascii="Times New Roman" w:hAnsi="Times New Roman"/>
          <w:b/>
          <w:i w:val="false"/>
          <w:color w:val="000000"/>
          <w:sz w:val="22"/>
        </w:rPr>
        <w:t xml:space="preserve">Assessment of penalties. </w:t>
      </w:r>
      <w:r>
        <w:rPr>
          <w:rFonts w:ascii="Times New Roman" w:hAnsi="Times New Roman"/>
          <w:b w:val="false"/>
          <w:i w:val="false"/>
          <w:color w:val="000000"/>
          <w:sz w:val="22"/>
        </w:rPr>
        <w:t xml:space="preserve">The department shall assess to a manufacturer a civil penalty of up to $1,000 per violation of Iowa Code chapter </w:t>
      </w:r>
      <w:hyperlink r:id="rId4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in addition to other applicable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641—154.20</w:t>
      </w:r>
      <w:r>
        <w:rPr>
          <w:rFonts w:ascii="Times New Roman" w:hAnsi="Times New Roman"/>
          <w:b/>
          <w:i w:val="false"/>
          <w:color w:val="000000"/>
          <w:sz w:val="22"/>
        </w:rPr>
        <w:t xml:space="preserve">(124E) </w:t>
      </w:r>
      <w:r>
        <w:rPr>
          <w:rFonts w:ascii="Times New Roman" w:hAnsi="Times New Roman"/>
          <w:b/>
          <w:i w:val="false"/>
          <w:color w:val="000000"/>
          <w:sz w:val="22"/>
        </w:rPr>
        <w:t xml:space="preserve">Closure of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154.20(1)</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notify the department at least six months before the closure of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154.20(2)</w:t>
      </w:r>
      <w:r>
        <w:rPr>
          <w:rFonts w:ascii="Times New Roman" w:hAnsi="Times New Roman"/>
          <w:b w:val="false"/>
          <w:i w:val="false"/>
          <w:color w:val="000000"/>
          <w:sz w:val="22"/>
        </w:rPr>
        <w:t> </w:t>
      </w:r>
      <w:r>
        <w:rPr>
          <w:rFonts w:ascii="Times New Roman" w:hAnsi="Times New Roman"/>
          <w:b w:val="false"/>
          <w:i w:val="false"/>
          <w:color w:val="000000"/>
          <w:sz w:val="22"/>
        </w:rPr>
        <w:t>If a manufacturer or dispensary ceases operation, the manufacturer or dispensary shall work with the department to verify the remaining inventory of the manufacturer or dispensary and ensure that any plant material, plant material waste,  medical cannabidiol products, or combination thereof are destroyed at a waste facility or returned to a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641—154.21</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154.21(1)</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manufacturer or dispensary shall limit entrance to all restricted areas by completing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 restricted access areas with signs that state: “Do Not Enter—Restricted Access Areas Access Limited to Authorized Personnel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a controlled access system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Limits access to 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log of individuals with approved access, including dates of approvals and revocations;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Tracks times of personnel entry to and exit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Stores data for retrieval for a minimum of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Limits access to authorized individuals in the event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controlled access system cannot electronically record visitors, visitors to restricted access areas sign manifests with name, date, and times of entry and exit. These manifests shall be kept and stored for a minimum of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Visitors wear badges that are visible at all times and identify them as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requested by the department, submit stored controlled access system data to the department within five business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154.21(2)</w:t>
      </w:r>
      <w:r>
        <w:rPr>
          <w:rFonts w:ascii="Times New Roman" w:hAnsi="Times New Roman"/>
          <w:b w:val="false"/>
          <w:i w:val="false"/>
          <w:color w:val="000000"/>
          <w:sz w:val="22"/>
        </w:rPr>
        <w:t> </w:t>
      </w:r>
      <w:r>
        <w:rPr>
          <w:rFonts w:ascii="Times New Roman" w:hAnsi="Times New Roman"/>
          <w:b w:val="false"/>
          <w:i/>
          <w:color w:val="000000"/>
          <w:sz w:val="22"/>
        </w:rPr>
        <w:t xml:space="preserve">Perimeter intrusion detection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Computer-controlled video surveillance system. </w:t>
      </w:r>
      <w:r>
        <w:rPr>
          <w:rFonts w:ascii="Times New Roman" w:hAnsi="Times New Roman"/>
          <w:b w:val="false"/>
          <w:i w:val="false"/>
          <w:color w:val="000000"/>
          <w:sz w:val="22"/>
        </w:rPr>
        <w:t>A manufacturer or dispensary shall operate and maintain a computer-controlled, closed-circuit television surveillance system on its premises that operates 24 hours per day, seven days per week, and visually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phases of medical cannabidiol production,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that might contain plant material, medical cannabidiol,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points of entry and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entrance to the video surveillance control 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Parking areas, which shall have appropriate lighting for the normal conditions of the area under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Capture clear and certain identification of any person entering or exiting a manufacturer or dispensary or its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Produce a clear, color still photograph live or from a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Export still images in an industry standard image format, such as .jpg, .bmp, or .gif;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Archive exported video in a format that ensures authentication and guarantees that the recorded image has not been altered;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 dispensary shall maintain all security system equipment and recordings in a secure location to prevent theft, loss, destruction, corruption, and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 manufacturer or dispensary shall ensure that recordings from all video cameras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Available for viewing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Retained for at least 60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Maintained free of alteration or corruption.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Required signage. </w:t>
      </w:r>
      <w:r>
        <w:rPr>
          <w:rFonts w:ascii="Times New Roman" w:hAnsi="Times New Roman"/>
          <w:b w:val="false"/>
          <w:i w:val="false"/>
          <w:color w:val="000000"/>
          <w:sz w:val="22"/>
        </w:rPr>
        <w:t>A manufacturer or dispensary shall post a sign in capital letters in a conspicuous location at every entrance to the manufacturing facility or dispensary that reads, “THESE PREMISES ARE UNDER CONSTANT VIDEO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154.21(3)</w:t>
      </w: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use a professionally monitored security alarm system that provides intrusion and fire detection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Dispensary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Rooms with exterior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Rooms with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Roof hatches;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Skylights;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Storage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dispensary’s security alarm system and all devices shall 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provide documentation of the annual inspection and device testing, by a qualified alarm vendor,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154.21(4)</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manufacturer or dispensary shall use a personnel identification system that controls and monitors individual employee access to restricted access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identification card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alphanumeric identification number that is unique to the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photographic image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dispensary’s employee shall keep the identification card visible at all times when the employee is in a manufacturing facility, a dispensary, or a vehicle transporting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termination or resignation of an employee, a manufacturer or dispensary shall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Revoke the employee’s access to the manufacturing facility or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Destroy the employee’s identification card, if possible.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641—154.22</w:t>
      </w:r>
      <w:r>
        <w:rPr>
          <w:rFonts w:ascii="Times New Roman" w:hAnsi="Times New Roman"/>
          <w:b/>
          <w:i w:val="false"/>
          <w:color w:val="000000"/>
          <w:sz w:val="22"/>
        </w:rPr>
        <w:t xml:space="preserve">(124E) </w:t>
      </w:r>
      <w:r>
        <w:rPr>
          <w:rFonts w:ascii="Times New Roman" w:hAnsi="Times New Roman"/>
          <w:b/>
          <w:i w:val="false"/>
          <w:color w:val="000000"/>
          <w:sz w:val="22"/>
        </w:rPr>
        <w:t xml:space="preserve">Advertising and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154.22(1)</w:t>
      </w:r>
      <w:r>
        <w:rPr>
          <w:rFonts w:ascii="Times New Roman" w:hAnsi="Times New Roman"/>
          <w:b w:val="false"/>
          <w:i w:val="false"/>
          <w:color w:val="000000"/>
          <w:sz w:val="22"/>
        </w:rPr>
        <w:t> </w:t>
      </w:r>
      <w:r>
        <w:rPr>
          <w:rFonts w:ascii="Times New Roman" w:hAnsi="Times New Roman"/>
          <w:b w:val="false"/>
          <w:i/>
          <w:color w:val="000000"/>
          <w:sz w:val="22"/>
        </w:rPr>
        <w:t xml:space="preserve">Permitted marketing and advertising activities. </w:t>
      </w:r>
      <w:r>
        <w:rPr>
          <w:rFonts w:ascii="Times New Roman" w:hAnsi="Times New Roman"/>
          <w:b w:val="false"/>
          <w:i w:val="false"/>
          <w:color w:val="000000"/>
          <w:sz w:val="22"/>
        </w:rPr>
        <w:t>A manufacturer or dispensary must include medical cannabidiol pricing and hours of operation on its website and may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Display the manufacturer or dispensary’s business name and logo on medical cannabidiol labels, signs, website, and informational material provided to patients. The name or logo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Images of cannabis or cannabis-use paraphernalia;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Colloquial references to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Names of cannabis plant strains or varieties;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Unsubstantiated medical claims;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symbols that bear a reasonable resemblance to established medical associations.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Display signs on the manufacturing facility or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 business website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manufacturer or dispensary’s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cannabidiol forms and quantities manufactured or available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154.22(2)</w:t>
      </w:r>
      <w:r>
        <w:rPr>
          <w:rFonts w:ascii="Times New Roman" w:hAnsi="Times New Roman"/>
          <w:b w:val="false"/>
          <w:i w:val="false"/>
          <w:color w:val="000000"/>
          <w:sz w:val="22"/>
        </w:rPr>
        <w:t> </w:t>
      </w:r>
      <w:r>
        <w:rPr>
          <w:rFonts w:ascii="Times New Roman" w:hAnsi="Times New Roman"/>
          <w:b w:val="false"/>
          <w:i/>
          <w:color w:val="000000"/>
          <w:sz w:val="22"/>
        </w:rPr>
        <w:t xml:space="preserve">Prohibited conduct, statements and illustration.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advertisement for medical cannabidiol shall not contain: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Colloquial references to cannabis;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of cannabis plant strains or varieties;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is false or misleading;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disparages a competitor’s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statement, design, or representation, picture or illustration that is obscene or indecent;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design, representation, picture or illustration that reasonably appeals to or targets children. Appealing to children means: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taken literally or as a plan language reading, there is a resemblance to food or product used by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child-appealing visuals/graphics, such as intense colors, bubble letters, or other interesting fonts or lettering;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Unconventional or interesting product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Unconventional or unexpected flavor, color, or shape of the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Games or activities present on the package;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Presence of branded characters, spokespersons, licensed characters, cartoons, or celebrities;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statement, design, representation, picture or illustration that encourages or represents the use of medical cannabidiol for a condition other than a qualifying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design, representation, picture or illustration that encourages or represents the recreational use of medical cannabidiol or marijuana, tobacco or nicotine products, or alcohol;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statement, design, representation, picture or illustration related to the safety or efficacy of medical cannabidiol, unless supported by substantial evidence, substantial clinical data, direct patient testimonials, or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 Any statement, design, representation, picture or illustration portraying anyone reasonably appearing to be under the age of 18, objects suggestive of the presence of anyone under the age of 18, or containing the use of a figure, symbol or language that is customarily associated with anyone under the age of 18, except that an advertisement may address medical cannabidiol products as they relate to minor 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offer of a prize, award or inducement to a qualifying patient, primary caregiver, or health care practitioner related to the purchase of medical cannabidiol or a certification for the use of medical cannabidiol, except that non-product-specific price discounts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or assertion that medical cannabidiol products are safe because they are regulated under this chapter or have been tested by an approved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reference to a prohibited form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claims that medical cannabidiol products are endorsed or supported by any government agency;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indicates or implies that the product or entity in the advertisement has been approved or endorsed by the department, the state of Iowa or any person or entity associated with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not engage in any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Host, promote, refer, or otherwise advertise a third-party patient certification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 in any advertising, marketing, or branded educational activities within 1,000 feet of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Host, promote, sponsor, or otherwise participate in a cannabis consumption lounge or other such encouragement of public consumption of cannabis or medical cannabidiol;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Advertise, or make reference to, non-approved forms of medical cannabidiol in any of its advertisements,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Referring to an approved form of medical cannabidiol as a prohibited form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non-approved forms of medical cannabidiol. Consumable hemp products regulated under Iowa Code chapter </w:t>
      </w:r>
      <w:hyperlink r:id="rId49">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641—Chapter 156</w:t>
        </w:r>
      </w:hyperlink>
      <w:r>
        <w:rPr>
          <w:rFonts w:ascii="Times New Roman" w:hAnsi="Times New Roman"/>
          <w:b w:val="false"/>
          <w:i w:val="false"/>
          <w:color w:val="000000"/>
          <w:sz w:val="22"/>
        </w:rPr>
        <w:t xml:space="preserve"> are exempt from this provision.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154.22(3)</w:t>
      </w:r>
      <w:r>
        <w:rPr>
          <w:rFonts w:ascii="Times New Roman" w:hAnsi="Times New Roman"/>
          <w:b w:val="false"/>
          <w:i w:val="false"/>
          <w:color w:val="000000"/>
          <w:sz w:val="22"/>
        </w:rPr>
        <w:t> </w:t>
      </w:r>
      <w:r>
        <w:rPr>
          <w:rFonts w:ascii="Times New Roman" w:hAnsi="Times New Roman"/>
          <w:b w:val="false"/>
          <w:i/>
          <w:color w:val="000000"/>
          <w:sz w:val="22"/>
        </w:rPr>
        <w:t xml:space="preserve">Review of advertisements by the department. </w:t>
      </w:r>
      <w:r>
        <w:rPr>
          <w:rFonts w:ascii="Times New Roman" w:hAnsi="Times New Roman"/>
          <w:b w:val="false"/>
          <w:i w:val="false"/>
          <w:color w:val="000000"/>
          <w:sz w:val="22"/>
        </w:rPr>
        <w:t xml:space="preserve">Any advertisement for medical cannabidiol shall be submitted to the department, on a form or in a format prescribed by the department, at the same time as, or prior to, the dissemination of the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a specific disclosure be made in the advertisement in a clear and conspicuous manner if the department determines that the advertisement would be false or misleading without such a disclosure;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changes that are necessary to protect the public health, safety and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statements for inclusion in the advertisement to address the specific efficacy of medical cannabidiol as it relates to specific disease states or approved debilitating medical conditions, disease symptoms, and population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require that a licensee amend or remove a public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641—154.23</w:t>
      </w:r>
      <w:r>
        <w:rPr>
          <w:rFonts w:ascii="Times New Roman" w:hAnsi="Times New Roman"/>
          <w:b/>
          <w:i w:val="false"/>
          <w:color w:val="000000"/>
          <w:sz w:val="22"/>
        </w:rPr>
        <w:t xml:space="preserve">(124E) </w:t>
      </w:r>
      <w:r>
        <w:rPr>
          <w:rFonts w:ascii="Times New Roman" w:hAnsi="Times New Roman"/>
          <w:b/>
          <w:i w:val="false"/>
          <w:color w:val="000000"/>
          <w:sz w:val="22"/>
        </w:rPr>
        <w:t xml:space="preserve">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Inventory of plant material and medical cannabidiol;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Transport of plant material and laboratory samples;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Application and use of crop inputs and other solvents and chemicals;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Sales of medical cannabidiol to dispensaries;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Sales of medical cannabidiol from dispensaries to patients and primary caregivers.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641—154.24</w:t>
      </w:r>
      <w:r>
        <w:rPr>
          <w:rFonts w:ascii="Times New Roman" w:hAnsi="Times New Roman"/>
          <w:b/>
          <w:i w:val="false"/>
          <w:color w:val="000000"/>
          <w:sz w:val="22"/>
        </w:rPr>
        <w:t xml:space="preserve">(124E) </w:t>
      </w:r>
      <w:r>
        <w:rPr>
          <w:rFonts w:ascii="Times New Roman" w:hAnsi="Times New Roman"/>
          <w:b/>
          <w:i w:val="false"/>
          <w:color w:val="000000"/>
          <w:sz w:val="22"/>
        </w:rPr>
        <w:t xml:space="preserve">Financial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154.24(1)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or dispensary shall maintain records that reflect all financial transactions and the financial condition of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records shall be maintained for at least five years and made available for review upon request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invoices, bills of lading, sales records, copies of bills of sale, and any supporting documents, including the items or services purchased, from whom the items were purchased, and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Bank statements and canceled checks for all business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Accounting and tax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all financial transactions, including contracts and agreements for services performed or services received.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641—154.25</w:t>
      </w:r>
      <w:r>
        <w:rPr>
          <w:rFonts w:ascii="Times New Roman" w:hAnsi="Times New Roman"/>
          <w:b/>
          <w:i w:val="false"/>
          <w:color w:val="000000"/>
          <w:sz w:val="22"/>
        </w:rPr>
        <w:t xml:space="preserve">(124E) </w:t>
      </w:r>
      <w:r>
        <w:rPr>
          <w:rFonts w:ascii="Times New Roman" w:hAnsi="Times New Roman"/>
          <w:b/>
          <w:i w:val="false"/>
          <w:color w:val="000000"/>
          <w:sz w:val="22"/>
        </w:rPr>
        <w:t xml:space="preserve">Inspection by department or independent consultant. </w:t>
      </w:r>
      <w:r>
        <w:rPr>
          <w:rFonts w:ascii="Times New Roman" w:hAnsi="Times New Roman"/>
          <w:b w:val="false"/>
          <w:i w:val="false"/>
          <w:color w:val="000000"/>
          <w:sz w:val="22"/>
        </w:rPr>
        <w:t xml:space="preserve">A manufacturer or dispensary is subject to reasonable inspection by the department, a department-approved consultant, or another agency pursuant to Iowa Code chapter </w:t>
      </w:r>
      <w:hyperlink r:id="rId5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154.25(1)</w:t>
      </w:r>
      <w:r>
        <w:rPr>
          <w:rFonts w:ascii="Times New Roman" w:hAnsi="Times New Roman"/>
          <w:b w:val="false"/>
          <w:i w:val="false"/>
          <w:color w:val="000000"/>
          <w:sz w:val="22"/>
        </w:rPr>
        <w:t> </w:t>
      </w:r>
      <w:r>
        <w:rPr>
          <w:rFonts w:ascii="Times New Roman" w:hAnsi="Times New Roman"/>
          <w:b w:val="false"/>
          <w:i/>
          <w:color w:val="000000"/>
          <w:sz w:val="22"/>
        </w:rPr>
        <w:t xml:space="preserve">Types of inspections. </w:t>
      </w:r>
      <w:r>
        <w:rPr>
          <w:rFonts w:ascii="Times New Roman" w:hAnsi="Times New Roman"/>
          <w:b w:val="false"/>
          <w:i w:val="false"/>
          <w:color w:val="000000"/>
          <w:sz w:val="22"/>
        </w:rPr>
        <w:t>Inspections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Aspects of the business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manufacturing facility or the physical location of a dispensary, including any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used for transport or delivery of medical cannabidiol or plant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information and inventory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and electronic security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and sanitary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inspections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154.25(2)</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w:t>
      </w:r>
      <w:r>
        <w:rPr>
          <w:rFonts w:ascii="Times New Roman" w:hAnsi="Times New Roman"/>
          <w:b w:val="false"/>
          <w:i w:val="false"/>
          <w:color w:val="000000"/>
          <w:sz w:val="22"/>
        </w:rPr>
        <w:t>A manufacturer or dispensary shall respond to deficiencies found during inspections or inventory reconciliation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Deficiencies not related to inventory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written notification by the department of deficiencies that do not involve reconciliation of inventory, a manufacturer or dispensary shall have up to 30 days to submit an action plan to the department with proposed remedies and timelines for completion of the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up to two weeks to accept or require revision of the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Deficiencies related to inventory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notifying the department that the manufacturer or dispensary cannot reconcile the physical inventory with the inventory recorded in the secure sales and inventory tracking system, the manufacturer or dispensary shall have up to two business days to submit an action plan to the department with proposed remedies and timelines for completion of the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up to two business days to accept or require revision of the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actions in the action plan within the timelines mutually agreed upon by the manufacturer and the department shall result in assessment of penalties or in suspension or revocation of a manufacturer or dispensary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department’s request and in a timely manner, a manufacturer or dispensary shall pay for and undergo an independent health and sanitary inspection in accordance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MANUFACTURING</w:t>
      </w:r>
    </w:p>
    <w:p>
      <w:pPr>
        <w:spacing w:before="0" w:after="0"/>
        <w:ind w:left="120"/>
        <w:jc w:val="both"/>
      </w:pPr>
      <w:r>
        <w:rPr>
          <w:rFonts w:ascii="Times New Roman" w:hAnsi="Times New Roman"/>
          <w:b/>
          <w:i w:val="false"/>
          <w:color w:val="000000"/>
          <w:sz w:val="22"/>
        </w:rPr>
        <w:t>641—154.26</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operating documents that accurately reflect the manufacturer’s standard operating procedures. Unless otherwise noted, a manufacturer shall make the operating documents available to the department upon request, through secure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documents of a manufacturer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the oversight of the manufacturer, including descriptions of operational and management practices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forms and quantities of medical cannabidiol products that are produced at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methods of planting, harvesting, drying, and storing cannabis.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types and amounts of all crop inputs used in the production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disposal methods for all waste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Employee training methods for the specific phases of production.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Biosecurity measures and standard operating procedures used in the production and manufacturing of medical cannabidiol.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Strategies for identifying and reconciling discrepancies in inventory of plant material or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Sampling strategy and quality testing for labeling purposes.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Medical cannabidiol packaging and labeling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Procedures for recall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Plans for responding to a security breach at a manufacturing facility or while medical cannabidiol is in transit to a dispensary.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business continuity plan. A manufacturer may make this operating document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Records relating to all transport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ensure accurate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containing medical cannabidiol.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52">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manufacturer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Produce or manufacture medical cannabidiol in any location except in those areas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 deliver, transport, or distribute medical cannabidiol from any location except its manufacturing facility or a dispensary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Produce or manufacture medical cannabidiol in Iowa for sales or distribution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Sell or distribute medical cannabidiol to any person or business other than a dispensary or manufacturer licensed by the department under Iowa Code chapter </w:t>
      </w:r>
      <w:hyperlink r:id="rId5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Refuse to sell, deliver, transport, or distribute medical cannabidiol in any form or quantity produced by the manufacturer to a dispensary, unless deemed appropriate in the manufacturer’s reasonable business judgment and approved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 or deliver medical cannabidiol to any location except as allowed in subrule </w:t>
      </w:r>
      <w:hyperlink r:id="rId54">
        <w:r>
          <w:rPr>
            <w:rStyle w:val="Hyperlink"/>
            <w:rFonts w:ascii="Times New Roman" w:hAnsi="Times New Roman"/>
            <w:b w:val="false"/>
            <w:i w:val="false"/>
            <w:color w:val="000000"/>
            <w:sz w:val="22"/>
          </w:rPr>
          <w:t>154.22(1)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Introduce synthetic or semisynthetic cannabinoids derived from hemp into medical cannabidiol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Produce synthetic or semisynthetic cannabinoids within the licensed manufacturing facility.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154.27(1)</w:t>
      </w:r>
      <w:r>
        <w:rPr>
          <w:rFonts w:ascii="Times New Roman" w:hAnsi="Times New Roman"/>
          <w:b w:val="false"/>
          <w:i w:val="false"/>
          <w:color w:val="000000"/>
          <w:sz w:val="22"/>
        </w:rPr>
        <w:t> </w:t>
      </w:r>
      <w:r>
        <w:rPr>
          <w:rFonts w:ascii="Times New Roman" w:hAnsi="Times New Roman"/>
          <w:b w:val="false"/>
          <w:i/>
          <w:color w:val="000000"/>
          <w:sz w:val="22"/>
        </w:rPr>
        <w:t xml:space="preserve">Manufacturer sales and distribution. </w:t>
      </w:r>
      <w:r>
        <w:rPr>
          <w:rFonts w:ascii="Times New Roman" w:hAnsi="Times New Roman"/>
          <w:b w:val="false"/>
          <w:i w:val="false"/>
          <w:color w:val="000000"/>
          <w:sz w:val="22"/>
        </w:rPr>
        <w:t>A manufacturer shall maintain complete and accurate electronic sales transaction records in the department’s secure sales and inventory tracking system,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each sale 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number, product name and description, and quantity of medical cannabidiol sold or otherwise distributed;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sale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154.27(2)</w:t>
      </w:r>
      <w:r>
        <w:rPr>
          <w:rFonts w:ascii="Times New Roman" w:hAnsi="Times New Roman"/>
          <w:b w:val="false"/>
          <w:i w:val="false"/>
          <w:color w:val="000000"/>
          <w:sz w:val="22"/>
        </w:rPr>
        <w:t> </w:t>
      </w:r>
      <w:r>
        <w:rPr>
          <w:rFonts w:ascii="Times New Roman" w:hAnsi="Times New Roman"/>
          <w:b w:val="false"/>
          <w:i/>
          <w:color w:val="000000"/>
          <w:sz w:val="22"/>
        </w:rPr>
        <w:t xml:space="preserve">Manufacturer operations and inventory reporting other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maintain the following for at least five years, unless otherwise noted, and provide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personnel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any theft, loss, or other unaccountability of any medical cannabidiol or plant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manifests and incident reports;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all samples sent to a testing laboratory and the quality assurance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maintain for at least one year and provide to the department upon request its controlled access system data and visitor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154.27(3)</w:t>
      </w:r>
      <w:r>
        <w:rPr>
          <w:rFonts w:ascii="Times New Roman" w:hAnsi="Times New Roman"/>
          <w:b w:val="false"/>
          <w:i w:val="false"/>
          <w:color w:val="000000"/>
          <w:sz w:val="22"/>
        </w:rPr>
        <w:t> </w:t>
      </w:r>
      <w:r>
        <w:rPr>
          <w:rFonts w:ascii="Times New Roman" w:hAnsi="Times New Roman"/>
          <w:b w:val="false"/>
          <w:i/>
          <w:color w:val="000000"/>
          <w:sz w:val="22"/>
        </w:rPr>
        <w:t xml:space="preserve">Manufacturer entry into the secure sales and tracking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use the secure sales and inventory tracking system to maintain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Batch and harvest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Crop input and additive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Extraction and production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Solvent and processing chemical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records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in these rules, a manufacturer shall adhere to the following schedule for entering data into the secure sales and inventory tracking system. A manufacturer shall enter data in real time for data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 of medical cannabidiol, plant material, and laboratory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of medical cannabidiol to 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creation of process lots containing a unique identifier;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creation of package lots containing a unique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enter inventory reports on key inventory events into the secure sales and inventory tracking system within five business days in which the event occurred. These inventory reports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Batch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Crop input and additive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Harvest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Extraction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Solvent and processing chemical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Package lot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Certificates of analysis from a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records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of Iowa manufacturer API guide. The department shall maintain a document describing the IT requirements and acceptance criteria for reporting information to the secure sales and inventory tracking system. The department shall provide manufacturers no less than 14 days in which to comment on proposed revisions to the document, and the department shall provide no less than 30 days’ notice before a revision takes effect. The document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schedule and means of data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for third-party vendors;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available on the department’s website (</w:t>
      </w:r>
      <w:hyperlink r:id="rId55">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641—154.28</w:t>
      </w:r>
      <w:r>
        <w:rPr>
          <w:rFonts w:ascii="Times New Roman" w:hAnsi="Times New Roman"/>
          <w:b/>
          <w:i w:val="false"/>
          <w:color w:val="000000"/>
          <w:sz w:val="22"/>
        </w:rPr>
        <w:t xml:space="preserve">(124E) </w:t>
      </w:r>
      <w:r>
        <w:rPr>
          <w:rFonts w:ascii="Times New Roman" w:hAnsi="Times New Roman"/>
          <w:b/>
          <w:i w:val="false"/>
          <w:color w:val="000000"/>
          <w:sz w:val="22"/>
        </w:rPr>
        <w:t xml:space="preserve">Recall of medical cannabidiol products. </w:t>
      </w:r>
      <w:r>
        <w:rPr>
          <w:rFonts w:ascii="Times New Roman" w:hAnsi="Times New Roman"/>
          <w:b w:val="false"/>
          <w:i w:val="false"/>
          <w:color w:val="000000"/>
          <w:sz w:val="22"/>
        </w:rPr>
        <w:t>Medical cannabidiol products may be recalled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154.28(1)</w:t>
      </w:r>
      <w:r>
        <w:rPr>
          <w:rFonts w:ascii="Times New Roman" w:hAnsi="Times New Roman"/>
          <w:b w:val="false"/>
          <w:i w:val="false"/>
          <w:color w:val="000000"/>
          <w:sz w:val="22"/>
        </w:rPr>
        <w:t> </w:t>
      </w:r>
      <w:r>
        <w:rPr>
          <w:rFonts w:ascii="Times New Roman" w:hAnsi="Times New Roman"/>
          <w:b w:val="false"/>
          <w:i w:val="false"/>
          <w:color w:val="000000"/>
          <w:sz w:val="22"/>
        </w:rPr>
        <w:t xml:space="preserve">Voluntarily by a licensed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154.28(2)</w:t>
      </w:r>
      <w:r>
        <w:rPr>
          <w:rFonts w:ascii="Times New Roman" w:hAnsi="Times New Roman"/>
          <w:b w:val="false"/>
          <w:i w:val="false"/>
          <w:color w:val="000000"/>
          <w:sz w:val="22"/>
        </w:rPr>
        <w:t> </w:t>
      </w:r>
      <w:r>
        <w:rPr>
          <w:rFonts w:ascii="Times New Roman" w:hAnsi="Times New Roman"/>
          <w:b w:val="false"/>
          <w:i w:val="false"/>
          <w:color w:val="000000"/>
          <w:sz w:val="22"/>
        </w:rPr>
        <w:t>By the department. If the department determines, based on an evaluation, that there is a reasonable probability that use of, or exposure to, a violative medical cannabidiol product will cause a serious adverse health consequence or death, the department may require a manufacturer to recall such violative medical cannabidiol products from dispensaries. An evaluation of the health hazard presented by medical cannabidiol being considered for recall shall be conducted by an ad hoc committee of scientists appointed by the department and shall consider, but need not be limited to, each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any disease or injuries have already occurred from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A holistic assessment of the hazard and its present and future potential consequences.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641—154.29</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program. </w:t>
      </w:r>
      <w:r>
        <w:rPr>
          <w:rFonts w:ascii="Times New Roman" w:hAnsi="Times New Roman"/>
          <w:b w:val="false"/>
          <w:i w:val="false"/>
          <w:color w:val="000000"/>
          <w:sz w:val="22"/>
        </w:rPr>
        <w:t>A manufacturer shall develop and implement a written quality assurance program that assesses the chemical and microbiological composition of medical cannabidiol. Assessment includes a profile of the active ingredients, including stability studies, and the presence of inactive ingredients and contaminants. A manufacturer shall use these testing results to determine appropriate storage conditions and product expiration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154.29(2)</w:t>
      </w:r>
      <w:r>
        <w:rPr>
          <w:rFonts w:ascii="Times New Roman" w:hAnsi="Times New Roman"/>
          <w:b w:val="false"/>
          <w:i w:val="false"/>
          <w:color w:val="000000"/>
          <w:sz w:val="22"/>
        </w:rPr>
        <w:t> </w:t>
      </w:r>
      <w:r>
        <w:rPr>
          <w:rFonts w:ascii="Times New Roman" w:hAnsi="Times New Roman"/>
          <w:b w:val="false"/>
          <w:i/>
          <w:color w:val="000000"/>
          <w:sz w:val="22"/>
        </w:rPr>
        <w:t xml:space="preserve">Sampling protocols. </w:t>
      </w:r>
      <w:r>
        <w:rPr>
          <w:rFonts w:ascii="Times New Roman" w:hAnsi="Times New Roman"/>
          <w:b w:val="false"/>
          <w:i w:val="false"/>
          <w:color w:val="000000"/>
          <w:sz w:val="22"/>
        </w:rPr>
        <w:t>A manufacturer shall develop and follow written procedures for sampling medical cannabidiol that require the manufacturer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sample collection in a manner that provides analytically sound and representative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 every sampling event and provide this documentation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all sampling and testing plans in written procedures that include the sampling method and the number of units per lot to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random samples from each lot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Taken in an amount necessary to conduct the applicable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Labeled with the lot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Submitted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 the results from the random samples for at least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department at least two business days prior to sample collection and allow the department or its designees to be present to observe the sampling procedures when the samples are to be sent to a laboratory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154.29(3)</w:t>
      </w:r>
      <w:r>
        <w:rPr>
          <w:rFonts w:ascii="Times New Roman" w:hAnsi="Times New Roman"/>
          <w:b w:val="false"/>
          <w:i w:val="false"/>
          <w:color w:val="000000"/>
          <w:sz w:val="22"/>
        </w:rPr>
        <w:t> </w:t>
      </w:r>
      <w:r>
        <w:rPr>
          <w:rFonts w:ascii="Times New Roman" w:hAnsi="Times New Roman"/>
          <w:b w:val="false"/>
          <w:i/>
          <w:color w:val="000000"/>
          <w:sz w:val="22"/>
        </w:rPr>
        <w:t xml:space="preserve">Sampling and testing. </w:t>
      </w:r>
      <w:r>
        <w:rPr>
          <w:rFonts w:ascii="Times New Roman" w:hAnsi="Times New Roman"/>
          <w:b w:val="false"/>
          <w:i w:val="false"/>
          <w:color w:val="000000"/>
          <w:sz w:val="22"/>
        </w:rPr>
        <w:t>A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with the department and laboratory personnel to develop acceptance criteria for contaminants, including but not limited to cannabinoid content, metals, microbiological impurities, solvents, or other contaminants that the manufacturer uses in cultivating and producing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sampling and testing of plant material and medical cannabidiol lots using acceptance criteria that are protective of patient health. Sampling method results shall be approved by the department and laboratory personnel and shall ensure that lots of medical cannabidiol are homogenous and representative of the process or package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Reject and destroy medical cannabidiol from a lot that fails to meet established standards, and any other relevant quality control criteria, when remixing and retesting are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 and follow a written procedure for responding to results failing to meet established standards, and any other relevant quality control criteria,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when remixing and retesting are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Instructions for destroying contaminated or substandard medical cannabidiol when remixing and retesting are not warranted;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Instructions for determining the source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 documentation of test results, assessment, and destruction of medical cannabidiol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154.29(4)</w:t>
      </w:r>
      <w:r>
        <w:rPr>
          <w:rFonts w:ascii="Times New Roman" w:hAnsi="Times New Roman"/>
          <w:b w:val="false"/>
          <w:i w:val="false"/>
          <w:color w:val="000000"/>
          <w:sz w:val="22"/>
        </w:rPr>
        <w:t> </w:t>
      </w:r>
      <w:r>
        <w:rPr>
          <w:rFonts w:ascii="Times New Roman" w:hAnsi="Times New Roman"/>
          <w:b w:val="false"/>
          <w:i/>
          <w:color w:val="000000"/>
          <w:sz w:val="22"/>
        </w:rPr>
        <w:t xml:space="preserve">Stability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quality assurance program shall include procedures for performing stability testing of each product type produced to determine product expiration dates. The procedures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 size and test intervals based on departmental guidance pursuant to subrule </w:t>
      </w:r>
      <w:hyperlink r:id="rId56">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Storage conditions for samples retained for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Reliable and specific test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Stability studies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cannabidiol testing at appropriate intervals;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cannabidiol testing in the same container-closure system in which the medical cannabidiol is marketed and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product-expiration-date studies have not been completed, a manufacturer shall assign a tentative product expiration date, not to exceed one year, based on any available stability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manufacturer determines a product expiration date beyond one year, a manufacturer shall submit justification to the department, and receive approval, prior to labeling a product with an expiration date beyond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154.29(5)</w:t>
      </w:r>
      <w:r>
        <w:rPr>
          <w:rFonts w:ascii="Times New Roman" w:hAnsi="Times New Roman"/>
          <w:b w:val="false"/>
          <w:i w:val="false"/>
          <w:color w:val="000000"/>
          <w:sz w:val="22"/>
        </w:rPr>
        <w:t> </w:t>
      </w:r>
      <w:r>
        <w:rPr>
          <w:rFonts w:ascii="Times New Roman" w:hAnsi="Times New Roman"/>
          <w:b w:val="false"/>
          <w:i/>
          <w:color w:val="000000"/>
          <w:sz w:val="22"/>
        </w:rPr>
        <w:t xml:space="preserve">Reserve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retain a uniquely labeled reserve sample that represents each lot of medical cannabidiol and store the reserve sample under conditions consistent with product labeling. The reserve sample shall be stored in the same immediate container-closure system in which the medical cannabidiol is marketed or in one that has similar characteristics. The reserve sample shall consist of at least twice the quantity necessary to perform all the required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retain the reserve for at least one year from the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one year from the date of manufacture, reserve samples shall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154.29(6)</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If the department deems that public health may be at risk, the department may require the manufacturer to retest any sample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154.29(7)</w:t>
      </w:r>
      <w:r>
        <w:rPr>
          <w:rFonts w:ascii="Times New Roman" w:hAnsi="Times New Roman"/>
          <w:b w:val="false"/>
          <w:i w:val="false"/>
          <w:color w:val="000000"/>
          <w:sz w:val="22"/>
        </w:rPr>
        <w:t> </w:t>
      </w:r>
      <w:r>
        <w:rPr>
          <w:rFonts w:ascii="Times New Roman" w:hAnsi="Times New Roman"/>
          <w:b w:val="false"/>
          <w:i/>
          <w:color w:val="000000"/>
          <w:sz w:val="22"/>
        </w:rPr>
        <w:t xml:space="preserve">Disposal of substandard product. </w:t>
      </w:r>
      <w:r>
        <w:rPr>
          <w:rFonts w:ascii="Times New Roman" w:hAnsi="Times New Roman"/>
          <w:b w:val="false"/>
          <w:i w:val="false"/>
          <w:color w:val="000000"/>
          <w:sz w:val="22"/>
        </w:rPr>
        <w:t xml:space="preserve">A manufacturer shall dispose of all medical cannabidiol when samples fail to meet established standards, and other relevant quality control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154.29(8)</w:t>
      </w:r>
      <w:r>
        <w:rPr>
          <w:rFonts w:ascii="Times New Roman" w:hAnsi="Times New Roman"/>
          <w:b w:val="false"/>
          <w:i w:val="false"/>
          <w:color w:val="000000"/>
          <w:sz w:val="22"/>
        </w:rPr>
        <w:t> </w:t>
      </w:r>
      <w:r>
        <w:rPr>
          <w:rFonts w:ascii="Times New Roman" w:hAnsi="Times New Roman"/>
          <w:b w:val="false"/>
          <w:i/>
          <w:color w:val="000000"/>
          <w:sz w:val="22"/>
        </w:rPr>
        <w:t xml:space="preserve">Recall procedures. </w:t>
      </w:r>
      <w:r>
        <w:rPr>
          <w:rFonts w:ascii="Times New Roman" w:hAnsi="Times New Roman"/>
          <w:b w:val="false"/>
          <w:i w:val="false"/>
          <w:color w:val="000000"/>
          <w:sz w:val="22"/>
        </w:rPr>
        <w:t>Each manufacturer shall establish a procedure for recalling product from the market that has a reasonable probability of causing an unexpected or harmful response in a patient population, despite appropriate use, that outweighs the potential benefit of the medical cannabidiol. This procedure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that make a recall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Manufacturer’s personnel who are responsible for overseeing the recall;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to notify affected parties of a recall.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641—154.30</w:t>
      </w:r>
      <w:r>
        <w:rPr>
          <w:rFonts w:ascii="Times New Roman" w:hAnsi="Times New Roman"/>
          <w:b/>
          <w:i w:val="false"/>
          <w:color w:val="000000"/>
          <w:sz w:val="22"/>
        </w:rPr>
        <w:t xml:space="preserve">(124E)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154.30(1)</w:t>
      </w:r>
      <w:r>
        <w:rPr>
          <w:rFonts w:ascii="Times New Roman" w:hAnsi="Times New Roman"/>
          <w:b w:val="false"/>
          <w:i w:val="false"/>
          <w:color w:val="000000"/>
          <w:sz w:val="22"/>
        </w:rPr>
        <w:t> </w:t>
      </w:r>
      <w:r>
        <w:rPr>
          <w:rFonts w:ascii="Times New Roman" w:hAnsi="Times New Roman"/>
          <w:b w:val="false"/>
          <w:i/>
          <w:color w:val="000000"/>
          <w:sz w:val="22"/>
        </w:rPr>
        <w:t xml:space="preserve">Trade names. </w:t>
      </w:r>
      <w:r>
        <w:rPr>
          <w:rFonts w:ascii="Times New Roman" w:hAnsi="Times New Roman"/>
          <w:b w:val="false"/>
          <w:i w:val="false"/>
          <w:color w:val="000000"/>
          <w:sz w:val="22"/>
        </w:rPr>
        <w:t>A manufacturer’s medical cannabidiol trade names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shall be limited to those that clearly reflect the form’s medical cannabidiol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name that is identical to, or similar to, the name of an existing nonmedical cannabidiol product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name that is identical to, or similar to, the name of an unlawful product or substance is prohibited;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name that contains language that suggests using medical cannabidiol for recreational purposes or for a condition other than a qualifying debilitating medical condition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packaging.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of medical cannabidiol package containers. The manufacturer shall use medical containers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Of sufficient size to accommodate a separate dispensary label containing the information described in paragraph </w:t>
      </w:r>
      <w:hyperlink r:id="rId57">
        <w:r>
          <w:rPr>
            <w:rStyle w:val="Hyperlink"/>
            <w:rFonts w:ascii="Times New Roman" w:hAnsi="Times New Roman"/>
            <w:b w:val="false"/>
            <w:i w:val="false"/>
            <w:color w:val="000000"/>
            <w:sz w:val="22"/>
          </w:rPr>
          <w:t>154.30(2)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Designed to maximize the shelf life of the contained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Tamper-evident;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cannabidiol package prohibitions. The packaging for medical cannabidiol shall not: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Bear a reasonable resemblance to commonly available nonmedical commercial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Depict images other than the manufacturer’s business name or logo on the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Reasonably appeal to children. More information is provided in rule </w:t>
      </w:r>
      <w:hyperlink r:id="rId58">
        <w:r>
          <w:rPr>
            <w:rStyle w:val="Hyperlink"/>
            <w:rFonts w:ascii="Times New Roman" w:hAnsi="Times New Roman"/>
            <w:b w:val="false"/>
            <w:i w:val="false"/>
            <w:color w:val="000000"/>
            <w:sz w:val="22"/>
          </w:rPr>
          <w:t>641—154.22</w:t>
        </w:r>
      </w:hyperlink>
      <w:r>
        <w:rPr>
          <w:rFonts w:ascii="Times New Roman" w:hAnsi="Times New Roman"/>
          <w:b w:val="false"/>
          <w:i w:val="false"/>
          <w:color w:val="000000"/>
          <w:sz w:val="22"/>
        </w:rPr>
        <w:t>(2);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Reasonably appeal to recreational or adult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of medical cannabidiol packaging. A manufacturer shall ensure that all medical cannabidiol packaging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manufacturer, and trade name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label claim concentration for cannabinoid content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Tetrahydrocannabinol;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Tetrahydrocannabinolic acid. Concentrations of tetrahydrocannabinolic acid may be omitted if the manufacturer uses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Cannabidiol;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Cannabidiolic acid. Concentrations of cannabinolic acid may be omitted if the manufacturer uses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servings per package (excluding products intended for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directions for use of the product, including recommended and maximum amount by age and weight,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ingredients of the product shown with common or usual names, including but not limited to any additives, terpenes or artificial flavors, diluents and carriers, and preservatives, listed in descending order by predominance of weight. Any third-party hemp-derived cannabinoids in medical cannabidiol products shall be specifically indicated on the ingredients list, separately from medical cannabidiol produced within the manufacturer’s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Instructions for storage, including light and temperature requirements,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universal warning symbol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information shall be included with medical cannabidiol packaging, or contained within a package insert: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notice with the statement, including capitalization: “This product has not been analyzed or approved by the United States Food and Drug Administration. There is limited information on the side effects of using this product, and there may be associated health risks and medication interactions. This product is not recommended for use by pregnant or breastfeeding women. KEEP THIS PRODUCT OUT OF REACH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notice with the statement: “This medical cannabidiol is for therapeutic use only. Use of this product by a person other than the patient listed on the label is unlawful and may result in the cancellation of the patient’s medical cannabidiol registration card. Return unused medical cannabidiol to a dispensary for disposal.”;</w:t>
      </w:r>
    </w:p>
    <w:p>
      <w:pPr>
        <w:spacing w:before="0" w:after="0"/>
        <w:ind w:left="120"/>
        <w:jc w:val="both"/>
      </w:pPr>
      <w:r>
        <w:rPr>
          <w:rFonts w:ascii="Times New Roman" w:hAnsi="Times New Roman"/>
          <w:b w:val="false"/>
          <w:i w:val="false"/>
          <w:color w:val="000000"/>
          <w:sz w:val="22"/>
        </w:rPr>
        <w:t>A package may contain multiple labels if the information required by this rule is not obstructed.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154.30(3)</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labeling.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receiving a passing certification of analysis for a package lot from a laboratory, and prior to distribution to dispensaries, a manufacturer shall affix a label to each individual package of medical cannabidiol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unique lot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Product expiration date. This date shall be one year from the date of manufacture unless a manufacturer has conducted stability studies and received approval from the department for an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Cannabinoid content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Tetrahydrocannabinol;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Tetrahydrocannabinolic acid. Concentrations of tetrahydrocannabinolic acid may be omitted if the manufacturer uses chemical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Cannabidiol;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Cannabidiolic acid.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641—154.31</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and plant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154.31(1)</w:t>
      </w:r>
      <w:r>
        <w:rPr>
          <w:rFonts w:ascii="Times New Roman" w:hAnsi="Times New Roman"/>
          <w:b w:val="false"/>
          <w:i w:val="false"/>
          <w:color w:val="000000"/>
          <w:sz w:val="22"/>
        </w:rPr>
        <w:t> </w:t>
      </w:r>
      <w:r>
        <w:rPr>
          <w:rFonts w:ascii="Times New Roman" w:hAnsi="Times New Roman"/>
          <w:b w:val="false"/>
          <w:i/>
          <w:color w:val="000000"/>
          <w:sz w:val="22"/>
        </w:rPr>
        <w:t xml:space="preserve">Transport of medical cannabidiol or plant material. </w:t>
      </w:r>
      <w:r>
        <w:rPr>
          <w:rFonts w:ascii="Times New Roman" w:hAnsi="Times New Roman"/>
          <w:b w:val="false"/>
          <w:i w:val="false"/>
          <w:color w:val="000000"/>
          <w:sz w:val="22"/>
        </w:rPr>
        <w:t>A manufacturer is authorized to transport medical cannabidiol or plant material to and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waste facility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licensed by the department under Iowa Code chapter </w:t>
      </w:r>
      <w:hyperlink r:id="rId5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sites only with departmental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154.31(2)</w:t>
      </w:r>
      <w:r>
        <w:rPr>
          <w:rFonts w:ascii="Times New Roman" w:hAnsi="Times New Roman"/>
          <w:b w:val="false"/>
          <w:i w:val="false"/>
          <w:color w:val="000000"/>
          <w:sz w:val="22"/>
        </w:rPr>
        <w:t> </w:t>
      </w:r>
      <w:r>
        <w:rPr>
          <w:rFonts w:ascii="Times New Roman" w:hAnsi="Times New Roman"/>
          <w:b w:val="false"/>
          <w:i/>
          <w:color w:val="000000"/>
          <w:sz w:val="22"/>
        </w:rPr>
        <w:t xml:space="preserve">Chain-of-custody tracking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use the secure sales and inventory tracking system, if available, or a department-approved manifest system to track shipping of medical cannabidiol. The system shall include a chain of custody that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unique ID of each individual process lot or package lot that is part of the shipment, and the total number of individual packages;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medical cannabidiol shipment is placed into the transport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and time the shipment is accepted at the delivery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person’s identity;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handling or storage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transporting medical cannabidiol, a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 in the secure sales and inventory tracking system or on the manifest information the material to be transported;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dispensary, laboratory, manufacturer, or waste facility, as applicable, of the expected arrival time and transmit a copy of the manifest to the dispensary, laboratory, manufacturer, or waste facility,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transport shall be approved electronically or in writing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manufacturer employee when the transport vehicle is departing the manufacturing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authorized employee of the receiving dispensary, laboratory, manufacturer, or waste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authorized employee at the dispensary, laboratory, manufacturer, or waste facility receiving medical cannabidiol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and document the type and quantity of the transported medical cannabidiol against the information in the secure sales and inventory tracking system or written manifest;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 the transport electronically or return a signed copy of the manifest to the manufacturing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 the medical cannabidiol that is received as inventory in the secure sales and inventory tracking system, if available. If a manifest system is being used, the dispensary, laboratory, manufacturer, or waste facility shall also maintain a signed copy of the manifest and shall maintain records of the inventory received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all manifests for at least five years and make them available upon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154.31(3)</w:t>
      </w:r>
      <w:r>
        <w:rPr>
          <w:rFonts w:ascii="Times New Roman" w:hAnsi="Times New Roman"/>
          <w:b w:val="false"/>
          <w:i w:val="false"/>
          <w:color w:val="000000"/>
          <w:sz w:val="22"/>
        </w:rPr>
        <w:t> </w:t>
      </w:r>
      <w:r>
        <w:rPr>
          <w:rFonts w:ascii="Times New Roman" w:hAnsi="Times New Roman"/>
          <w:b w:val="false"/>
          <w:i/>
          <w:color w:val="000000"/>
          <w:sz w:val="22"/>
        </w:rPr>
        <w:t xml:space="preserve">Vehicle requirements for transport.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ensure that all medical cannabidiol transported on public roadways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Packaged in tamper-evident, bulk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Transported so it is not visible or recognizable from outside the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Transported in a vehicle that does not bear any markings to indicate that the vehicle contains medical cannabidiol or bears the name or logo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motor vehicle contains medical cannabidiol, manufacturer employees who are transporting the medical cannabidiol on public roadways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 directly to a dispensary or other department-approved locations;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refueling and all other stops in transit,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duration of the stop;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vehicle must be stopped due to an emergency situation, the employee shall notify 911 and complete an incident report on a form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no nonemergency circumstance shall any person other than a designated manufacturer employee have actual physical control of the motor vehicle that is transporting the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employee in a transport motor vehicle shall have telephone access with the manufacturer’s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641—154.32</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and plant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154.32(1)</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dispensaries and laboratory. </w:t>
      </w:r>
      <w:r>
        <w:rPr>
          <w:rFonts w:ascii="Times New Roman" w:hAnsi="Times New Roman"/>
          <w:b w:val="false"/>
          <w:i w:val="false"/>
          <w:color w:val="000000"/>
          <w:sz w:val="22"/>
        </w:rPr>
        <w:t xml:space="preserve">A manufacturer may collect at no charge medical cannabidiol waste from dispensaries. A manufacturer that chooses to collect medical cannabidiol waste may use it for research and development or retained samples, but the manufacturer shall not introduce medical cannabidiol returned from a laboratory into lots of products intended for sale. Notwithstanding this provision, a manufacturer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Dispose of medical cannabidiol waste;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a written record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and plant material waste. </w:t>
      </w:r>
      <w:r>
        <w:rPr>
          <w:rFonts w:ascii="Times New Roman" w:hAnsi="Times New Roman"/>
          <w:b w:val="false"/>
          <w:i w:val="false"/>
          <w:color w:val="000000"/>
          <w:sz w:val="22"/>
        </w:rPr>
        <w:t>A manufacturer shall store, secure, manage, and record medical cannabidiol waste and plant material waste in accordance with all applicable federal, state, and local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shall dispose of medical cannabidiol waste and plant material waste at an approved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transport of plant material waste, the manufacturer shall render the plant material waste unusable and unrecognizable.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dispose of all liquid and chemical product waste generated in the process of cultivating, manufacturing, and distributing medical cannabidiol in accordance with applications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641—154.33</w:t>
      </w:r>
      <w:r>
        <w:rPr>
          <w:rFonts w:ascii="Times New Roman" w:hAnsi="Times New Roman"/>
          <w:b/>
          <w:i w:val="false"/>
          <w:color w:val="000000"/>
          <w:sz w:val="22"/>
        </w:rPr>
        <w:t xml:space="preserve">(124E) </w:t>
      </w:r>
      <w:r>
        <w:rPr>
          <w:rFonts w:ascii="Times New Roman" w:hAnsi="Times New Roman"/>
          <w:b/>
          <w:i w:val="false"/>
          <w:color w:val="000000"/>
          <w:sz w:val="22"/>
        </w:rPr>
        <w:t xml:space="preserve">Production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154.33(1)</w:t>
      </w:r>
      <w:r>
        <w:rPr>
          <w:rFonts w:ascii="Times New Roman" w:hAnsi="Times New Roman"/>
          <w:b w:val="false"/>
          <w:i w:val="false"/>
          <w:color w:val="000000"/>
          <w:sz w:val="22"/>
        </w:rPr>
        <w:t> </w:t>
      </w:r>
      <w:r>
        <w:rPr>
          <w:rFonts w:ascii="Times New Roman" w:hAnsi="Times New Roman"/>
          <w:b w:val="false"/>
          <w:i/>
          <w:color w:val="000000"/>
          <w:sz w:val="22"/>
        </w:rPr>
        <w:t xml:space="preserve">Cultivation and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phases of production shall take place in designated, restricted access areas in accordance with rule </w:t>
      </w:r>
      <w:hyperlink r:id="rId60">
        <w:r>
          <w:rPr>
            <w:rStyle w:val="Hyperlink"/>
            <w:rFonts w:ascii="Times New Roman" w:hAnsi="Times New Roman"/>
            <w:b w:val="false"/>
            <w:i w:val="false"/>
            <w:color w:val="000000"/>
            <w:sz w:val="22"/>
          </w:rPr>
          <w:t>641—154.21</w:t>
        </w:r>
      </w:hyperlink>
      <w:r>
        <w:rPr>
          <w:rFonts w:ascii="Times New Roman" w:hAnsi="Times New Roman"/>
          <w:b w:val="false"/>
          <w:i w:val="false"/>
          <w:color w:val="000000"/>
          <w:sz w:val="22"/>
        </w:rPr>
        <w:t>(124E).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production process shall be designed to limit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production area shall allow for access, observation, and inventory of each plant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154.33(2)</w:t>
      </w:r>
      <w:r>
        <w:rPr>
          <w:rFonts w:ascii="Times New Roman" w:hAnsi="Times New Roman"/>
          <w:b w:val="false"/>
          <w:i w:val="false"/>
          <w:color w:val="000000"/>
          <w:sz w:val="22"/>
        </w:rPr>
        <w:t> </w:t>
      </w:r>
      <w:r>
        <w:rPr>
          <w:rFonts w:ascii="Times New Roman" w:hAnsi="Times New Roman"/>
          <w:b w:val="false"/>
          <w:i/>
          <w:color w:val="000000"/>
          <w:sz w:val="22"/>
        </w:rPr>
        <w:t xml:space="preserve">Crop inputs and plant batches.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use the secure sales and inventory tracking system to maintain an electronic record of all crop inputs.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input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 applying the crop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crop input that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plants that received the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or electronic link to the safety data sheet for the crop input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harvesting, all plants shall be tracked in a batch process with a unique batch number that shall remain with the batch through final processing into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batch or part of a batch of cannabis plants that contributes to a lot of medical cannabidiol shall be recorded in the secure sales and inventory tracking system or other manifest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154.33(3)</w:t>
      </w:r>
      <w:r>
        <w:rPr>
          <w:rFonts w:ascii="Times New Roman" w:hAnsi="Times New Roman"/>
          <w:b w:val="false"/>
          <w:i w:val="false"/>
          <w:color w:val="000000"/>
          <w:sz w:val="22"/>
        </w:rPr>
        <w:t> </w:t>
      </w:r>
      <w:r>
        <w:rPr>
          <w:rFonts w:ascii="Times New Roman" w:hAnsi="Times New Roman"/>
          <w:b w:val="false"/>
          <w:i/>
          <w:color w:val="000000"/>
          <w:sz w:val="22"/>
        </w:rPr>
        <w:t xml:space="preserve">Production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shall obtain approval from the department for use of any hydrocarbon-based extraction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cannabidiol shall be prepared, handled, and stored in compliance with the sanitation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produce shelf-stable, nonperishable forms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ensure that the cannabinoid content of the medical cannabidiol it produces is homogenous.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lot of medical cannabidiol shall be assigned a unique lot number and recorded in the secure sales and inventory tracking system or other manifest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154.33(4)</w:t>
      </w:r>
      <w:r>
        <w:rPr>
          <w:rFonts w:ascii="Times New Roman" w:hAnsi="Times New Roman"/>
          <w:b w:val="false"/>
          <w:i w:val="false"/>
          <w:color w:val="000000"/>
          <w:sz w:val="22"/>
        </w:rPr>
        <w:t> </w:t>
      </w:r>
      <w:r>
        <w:rPr>
          <w:rFonts w:ascii="Times New Roman" w:hAnsi="Times New Roman"/>
          <w:b w:val="false"/>
          <w:i/>
          <w:color w:val="000000"/>
          <w:sz w:val="22"/>
        </w:rPr>
        <w:t xml:space="preserve">General sanitation requirements. </w:t>
      </w:r>
      <w:r>
        <w:rPr>
          <w:rFonts w:ascii="Times New Roman" w:hAnsi="Times New Roman"/>
          <w:b w:val="false"/>
          <w:i w:val="false"/>
          <w:color w:val="000000"/>
          <w:sz w:val="22"/>
        </w:rPr>
        <w:t>A manufacturer shall take all reasonable measures and precautions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employee who has a communicable disease does not perform any tasks that might contaminate plant material or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Hand-washing facilities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Convenient and furnished with running water at a suitable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Located in all production areas;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Equipped with effective hand-cleaning and -sanitizing preparations and sanitary towel service or electronic drying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employees working in direct contact with plant material and medical cannabidiol use hygienic practices while on duty,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personal cleanliness;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Washing hands thoroughly in a hand-washing area before starting work and at any other time when the hands may have become soiled or contaminated;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Litter and waste are routinely removed and the operating systems for waste disposal are routinely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Floors, walls, and ceilings are constructed with a surface that can be easily cleaned and maintained in good repair to inhibit microbial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Lighting is adequate in all areas where plant material and medical cannabidiol are processed, stored,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Screening or other protection against the entry of pests is provided, including that rubbish is disposed of to minimize the development of odor and the potential for the waste becoming an attractant, harborage, or breeding place for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buildings, fixtures, and other facilities are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Toxic cleaning compounds, sanitizing agents, and other potentially harmful chemicals are identified and stored in a separate location away from plant material and medical cannabidiol and in accordance with applicable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contact surfaces, utensils, and equipment used in the production of plant material and medical cannabidiol are maintained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manufacturing facility water supply is sufficient for necessary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Employees have accessible toilet facilities that are sanitary and in good repair;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Plant material and medical cannabidiol that could support the rapid growth of undesirable microorganisms are isolated to prevent the growth of those microorganisms.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154.33(5)</w:t>
      </w:r>
      <w:r>
        <w:rPr>
          <w:rFonts w:ascii="Times New Roman" w:hAnsi="Times New Roman"/>
          <w:b w:val="false"/>
          <w:i w:val="false"/>
          <w:color w:val="000000"/>
          <w:sz w:val="22"/>
        </w:rPr>
        <w:t> </w:t>
      </w:r>
      <w:r>
        <w:rPr>
          <w:rFonts w:ascii="Times New Roman" w:hAnsi="Times New Roman"/>
          <w:b w:val="false"/>
          <w:i/>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store plant material and medical cannabidiol during production, transport, and testing, ensuring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Plant material and medical cannabidiol are returned to a secure location immediately after completion;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tanks, vessels, bins, or bulk containers containing plant material or medical cannabidiol are locked inside a secure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store all plant material and medical cannabidiol during production, transport, and testing, and all saleable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areas that are maintained in a clean, orderly, and well-ventilated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storage areas that are free from infestation by insects, rodents, birds, and other pests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prevent degradation, at all times, a manufacturer shall store all plant material and medical cannabidiol under conditions that will protect the product and its container against physical, chemical, and microbial contamination and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a separate secure storage area for medical cannabidiol that is returned from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154.33(6)</w:t>
      </w:r>
      <w:r>
        <w:rPr>
          <w:rFonts w:ascii="Times New Roman" w:hAnsi="Times New Roman"/>
          <w:b w:val="false"/>
          <w:i w:val="false"/>
          <w:color w:val="000000"/>
          <w:sz w:val="22"/>
        </w:rPr>
        <w:t> </w:t>
      </w:r>
      <w:r>
        <w:rPr>
          <w:rFonts w:ascii="Times New Roman" w:hAnsi="Times New Roman"/>
          <w:b w:val="false"/>
          <w:i/>
          <w:color w:val="000000"/>
          <w:sz w:val="22"/>
        </w:rPr>
        <w:t xml:space="preserve">Scales. </w:t>
      </w:r>
      <w:r>
        <w:rPr>
          <w:rFonts w:ascii="Times New Roman" w:hAnsi="Times New Roman"/>
          <w:b w:val="false"/>
          <w:i w:val="false"/>
          <w:color w:val="000000"/>
          <w:sz w:val="22"/>
        </w:rPr>
        <w:t>All scales used to weigh usable plant material for purposes of these rules shall be certified in accordance with ISO/IEC 17025 dated 2017, which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641—154.34</w:t>
      </w:r>
      <w:r>
        <w:rPr>
          <w:rFonts w:ascii="Times New Roman" w:hAnsi="Times New Roman"/>
          <w:b/>
          <w:i w:val="false"/>
          <w:color w:val="000000"/>
          <w:sz w:val="22"/>
        </w:rPr>
        <w:t xml:space="preserve">(124E) </w:t>
      </w:r>
      <w:r>
        <w:rPr>
          <w:rFonts w:ascii="Times New Roman" w:hAnsi="Times New Roman"/>
          <w:b/>
          <w:i w:val="false"/>
          <w:color w:val="000000"/>
          <w:sz w:val="22"/>
        </w:rPr>
        <w:t xml:space="preserve">Supply and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154.34(1)</w:t>
      </w:r>
      <w:r>
        <w:rPr>
          <w:rFonts w:ascii="Times New Roman" w:hAnsi="Times New Roman"/>
          <w:b w:val="false"/>
          <w:i w:val="false"/>
          <w:color w:val="000000"/>
          <w:sz w:val="22"/>
        </w:rPr>
        <w:t> </w:t>
      </w:r>
      <w:r>
        <w:rPr>
          <w:rFonts w:ascii="Times New Roman" w:hAnsi="Times New Roman"/>
          <w:b w:val="false"/>
          <w:i/>
          <w:color w:val="000000"/>
          <w:sz w:val="22"/>
        </w:rPr>
        <w:t xml:space="preserve">Reliable and ongoing supply. </w:t>
      </w:r>
      <w:r>
        <w:rPr>
          <w:rFonts w:ascii="Times New Roman" w:hAnsi="Times New Roman"/>
          <w:b w:val="false"/>
          <w:i w:val="false"/>
          <w:color w:val="000000"/>
          <w:sz w:val="22"/>
        </w:rPr>
        <w:t>A manufacturer shall provide a reliable and ongoing supply of medical cannabidiol to medical cannabidiol 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154.34(2)</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manufacturer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required. </w:t>
      </w:r>
      <w:r>
        <w:rPr>
          <w:rFonts w:ascii="Times New Roman" w:hAnsi="Times New Roman"/>
          <w:b w:val="false"/>
          <w:i w:val="false"/>
          <w:color w:val="000000"/>
          <w:sz w:val="22"/>
        </w:rPr>
        <w:t>A manufacturer shall use the secure sales and inventory tracking system to track medical cannabidiol production from seed or plant cutting through distribution of medical cannabidiol to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154.34(4)</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No less often than every two calendar weeks, a manufacturer shall reconcile its physical inventory with the inventory recorded in the secure sales and inventory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Reconciliation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Plant material at the manufacturing facility and in transit;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cannabidiol at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Discrepancies between the physical inventory of the manufacturer and the inventory recorded in the secure sales and inventory system shall be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report suspected diversion of medical cannabidiol to the department within 72 hours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manufacturer shall have up to 72 hours to reconcile discrepancies in the manufacturer’s physical inventory with the inventory recorded in the secure sales and inventory tracking.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DISPENSING</w:t>
      </w:r>
    </w:p>
    <w:p>
      <w:pPr>
        <w:spacing w:before="0" w:after="0"/>
        <w:ind w:left="120"/>
        <w:jc w:val="both"/>
      </w:pPr>
      <w:r>
        <w:rPr>
          <w:rFonts w:ascii="Times New Roman" w:hAnsi="Times New Roman"/>
          <w:b/>
          <w:i w:val="false"/>
          <w:color w:val="000000"/>
          <w:sz w:val="22"/>
        </w:rPr>
        <w:t>641—154.35</w:t>
      </w:r>
      <w:r>
        <w:rPr>
          <w:rFonts w:ascii="Times New Roman" w:hAnsi="Times New Roman"/>
          <w:b/>
          <w:i w:val="false"/>
          <w:color w:val="000000"/>
          <w:sz w:val="22"/>
        </w:rPr>
        <w:t xml:space="preserve">(124E) </w:t>
      </w:r>
      <w:r>
        <w:rPr>
          <w:rFonts w:ascii="Times New Roman" w:hAnsi="Times New Roman"/>
          <w:b/>
          <w:i w:val="false"/>
          <w:color w:val="000000"/>
          <w:sz w:val="22"/>
        </w:rPr>
        <w:t xml:space="preserve">Duties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154.35(1)</w:t>
      </w:r>
      <w:r>
        <w:rPr>
          <w:rFonts w:ascii="Times New Roman" w:hAnsi="Times New Roman"/>
          <w:b w:val="false"/>
          <w:i w:val="false"/>
          <w:color w:val="000000"/>
          <w:sz w:val="22"/>
        </w:rPr>
        <w:t> </w:t>
      </w:r>
      <w:r>
        <w:rPr>
          <w:rFonts w:ascii="Times New Roman" w:hAnsi="Times New Roman"/>
          <w:b w:val="false"/>
          <w:i/>
          <w:color w:val="000000"/>
          <w:sz w:val="22"/>
        </w:rPr>
        <w:t xml:space="preserve">Inspection of dispensaries. </w:t>
      </w:r>
      <w:r>
        <w:rPr>
          <w:rFonts w:ascii="Times New Roman" w:hAnsi="Times New Roman"/>
          <w:b w:val="false"/>
          <w:i w:val="false"/>
          <w:color w:val="000000"/>
          <w:sz w:val="22"/>
        </w:rPr>
        <w:t>The department or its agents shall conduct regular inspections of dispensaries and their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154.35(2)</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maintenance of a secure 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Inventory of medical cannabidiol and waste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of medical cannabidiol from dispensaries to patients and primary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tetrahydrocannabinol purchased in the last 90 days by a patient and the patient’s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154.35(3)</w:t>
      </w:r>
      <w:r>
        <w:rPr>
          <w:rFonts w:ascii="Times New Roman" w:hAnsi="Times New Roman"/>
          <w:b w:val="false"/>
          <w:i w:val="false"/>
          <w:color w:val="000000"/>
          <w:sz w:val="22"/>
        </w:rPr>
        <w:t> </w:t>
      </w:r>
      <w:r>
        <w:rPr>
          <w:rFonts w:ascii="Times New Roman" w:hAnsi="Times New Roman"/>
          <w:b w:val="false"/>
          <w:i/>
          <w:color w:val="000000"/>
          <w:sz w:val="22"/>
        </w:rPr>
        <w:t xml:space="preserve">Recall of medical cannabidiol products. </w:t>
      </w:r>
      <w:r>
        <w:rPr>
          <w:rFonts w:ascii="Times New Roman" w:hAnsi="Times New Roman"/>
          <w:b w:val="false"/>
          <w:i w:val="false"/>
          <w:color w:val="000000"/>
          <w:sz w:val="22"/>
        </w:rPr>
        <w:t>If the department determines, based on an evaluation of the health hazard presented, that there is a reasonable probability that use of, or exposure to, a violative medical cannabidiol product will cause a serious adverse health consequence or death, the department may require a dispensary to recall such violative medical cannabidiol products from the dispensary facility and from patients. An evaluation of the health hazard presented by medical cannabidiol being considered for recall shall be conducted by an ad hoc committee of scientists appointed by the director of the department and shall consider, but need not be limited to, each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any disease or injuries have already occurred from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holistic assessment of the hazard and its present and future potential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154.35(4)</w:t>
      </w:r>
      <w:r>
        <w:rPr>
          <w:rFonts w:ascii="Times New Roman" w:hAnsi="Times New Roman"/>
          <w:b w:val="false"/>
          <w:i w:val="false"/>
          <w:color w:val="000000"/>
          <w:sz w:val="22"/>
        </w:rPr>
        <w:t> </w:t>
      </w:r>
      <w:r>
        <w:rPr>
          <w:rFonts w:ascii="Times New Roman" w:hAnsi="Times New Roman"/>
          <w:b w:val="false"/>
          <w:i/>
          <w:color w:val="000000"/>
          <w:sz w:val="22"/>
        </w:rPr>
        <w:t xml:space="preserve">Permissible disclosure. </w:t>
      </w:r>
      <w:r>
        <w:rPr>
          <w:rFonts w:ascii="Times New Roman" w:hAnsi="Times New Roman"/>
          <w:b w:val="false"/>
          <w:i w:val="false"/>
          <w:color w:val="000000"/>
          <w:sz w:val="22"/>
        </w:rPr>
        <w:t>The department may disclose patient-specific dispensing data to the certifying provider upon written request by the patient, caregiver, or certifying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641—154.36</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Dispensary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maintain operating documents that accurately reflect the dispensary’s standard operating procedures. Unless otherwise noted, a dispensary shall make the operating documents available to the department upon request, through secure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documents of a dispensary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Procedures for the oversight of the dispensary, including descriptions of operational and management practices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forms and quantities of medical cannabidiol products that will be stored and dispensed at the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forms and quantities of medical cannabidiol waste to be generated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disposal methods for all waste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Employee training methods for the dispensary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Strategies for identifying and reconciling discrepancies in inventory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dispensary does not dispense more than a patient’s certified limit of total tetrahydrocannabinol to a patient and the patient’s primary caregiver(s) in a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cannabidiol labeling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Procedures for recall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Plans for responding to a security breach at the dispensary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business continuity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ensure accurate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of the dispensary facility containing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61">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dispensary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Dispense medical cannabidiol in any location except in those areas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 receive, transport, or distribute medical cannabidiol from any location except its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Sell, receive, or distribute medical cannabidiol from any entity other than a manufacturer licensed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Sell or distribute medical cannabidiol to any person other than an approved patient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 or deliver medical cannabidiol to any location, unless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Sell medical cannabidiol that is not packaged and labeled in accordance with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Repackage medical cannabidiol or remove the manufacturer’s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154.37(1)</w:t>
      </w:r>
      <w:r>
        <w:rPr>
          <w:rFonts w:ascii="Times New Roman" w:hAnsi="Times New Roman"/>
          <w:b w:val="false"/>
          <w:i w:val="false"/>
          <w:color w:val="000000"/>
          <w:sz w:val="22"/>
        </w:rPr>
        <w:t> </w:t>
      </w:r>
      <w:r>
        <w:rPr>
          <w:rFonts w:ascii="Times New Roman" w:hAnsi="Times New Roman"/>
          <w:b w:val="false"/>
          <w:i/>
          <w:color w:val="000000"/>
          <w:sz w:val="22"/>
        </w:rPr>
        <w:t xml:space="preserve">Dispensary sales. </w:t>
      </w:r>
      <w:r>
        <w:rPr>
          <w:rFonts w:ascii="Times New Roman" w:hAnsi="Times New Roman"/>
          <w:b w:val="false"/>
          <w:i w:val="false"/>
          <w:color w:val="000000"/>
          <w:sz w:val="22"/>
        </w:rPr>
        <w:t>Within one business day of sale, a dispensary shall record complete and accurate electronic sales transaction records in the secure sales and inventory tracking system,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if purchase is made by the primary caregiver, the name of the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item number, product name and description, and quantity of medical cannabidiol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sale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641—154.38</w:t>
      </w:r>
      <w:r>
        <w:rPr>
          <w:rFonts w:ascii="Times New Roman" w:hAnsi="Times New Roman"/>
          <w:b/>
          <w:i w:val="false"/>
          <w:color w:val="000000"/>
          <w:sz w:val="22"/>
        </w:rPr>
        <w:t xml:space="preserve">(124E) </w:t>
      </w:r>
      <w:r>
        <w:rPr>
          <w:rFonts w:ascii="Times New Roman" w:hAnsi="Times New Roman"/>
          <w:b/>
          <w:i w:val="false"/>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154.38(1)</w:t>
      </w:r>
      <w:r>
        <w:rPr>
          <w:rFonts w:ascii="Times New Roman" w:hAnsi="Times New Roman"/>
          <w:b w:val="false"/>
          <w:i w:val="false"/>
          <w:color w:val="000000"/>
          <w:sz w:val="22"/>
        </w:rPr>
        <w:t> </w:t>
      </w:r>
      <w:r>
        <w:rPr>
          <w:rFonts w:ascii="Times New Roman" w:hAnsi="Times New Roman"/>
          <w:b w:val="false"/>
          <w:i/>
          <w:color w:val="000000"/>
          <w:sz w:val="22"/>
        </w:rPr>
        <w:t xml:space="preserve">Storage of saleable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medical cannabidiol to prevent diversion, theft, or loss, including ensuring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cannabidiol is kept in a secure and monitored location within the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Cabinets or storage containers inside the secure and monitored area are locked at the end of a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all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areas that are maintained in a clean, orderly, and well-ventilated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areas that are free from infestation by insects, rodents, birds, and other pests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According to the manufacturer’s requirements regarding temperature, light exposure, or other environmental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 conditions that will protect the product and its container against physical, chemical, and microbial contamination and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154.38(2)</w:t>
      </w:r>
      <w:r>
        <w:rPr>
          <w:rFonts w:ascii="Times New Roman" w:hAnsi="Times New Roman"/>
          <w:b w:val="false"/>
          <w:i w:val="false"/>
          <w:color w:val="000000"/>
          <w:sz w:val="22"/>
        </w:rPr>
        <w:t> </w:t>
      </w:r>
      <w:r>
        <w:rPr>
          <w:rFonts w:ascii="Times New Roman" w:hAnsi="Times New Roman"/>
          <w:b w:val="false"/>
          <w:i/>
          <w:color w:val="000000"/>
          <w:sz w:val="22"/>
        </w:rPr>
        <w:t xml:space="preserve">Storage of returned medical cannabidiol. </w:t>
      </w:r>
      <w:r>
        <w:rPr>
          <w:rFonts w:ascii="Times New Roman" w:hAnsi="Times New Roman"/>
          <w:b w:val="false"/>
          <w:i w:val="false"/>
          <w:color w:val="000000"/>
          <w:sz w:val="22"/>
        </w:rPr>
        <w:t xml:space="preserve">A dispensary shall maintain a separate secure storage area for medical cannabidiol that is to be returned to a manufacturer for disposal, including medical cannabidiol that is outdated, damaged, deteriorated, mislabeled, or contaminated, or whose containers or packaging has been opened or breached, until the medical cannabidiol is collected by a manufacturer.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641—154.39</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154.39(1)</w:t>
      </w:r>
      <w:r>
        <w:rPr>
          <w:rFonts w:ascii="Times New Roman" w:hAnsi="Times New Roman"/>
          <w:b w:val="false"/>
          <w:i w:val="false"/>
          <w:color w:val="000000"/>
          <w:sz w:val="22"/>
        </w:rPr>
        <w:t> </w:t>
      </w:r>
      <w:r>
        <w:rPr>
          <w:rFonts w:ascii="Times New Roman" w:hAnsi="Times New Roman"/>
          <w:b w:val="false"/>
          <w:i/>
          <w:color w:val="000000"/>
          <w:sz w:val="22"/>
        </w:rPr>
        <w:t xml:space="preserve">Access to all forms of product. </w:t>
      </w:r>
      <w:r>
        <w:rPr>
          <w:rFonts w:ascii="Times New Roman" w:hAnsi="Times New Roman"/>
          <w:b w:val="false"/>
          <w:i w:val="false"/>
          <w:color w:val="000000"/>
          <w:sz w:val="22"/>
        </w:rPr>
        <w:t>A dispensary shall provide access to all medical cannabidiol forms produced by each licensed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154.39(2)</w:t>
      </w:r>
      <w:r>
        <w:rPr>
          <w:rFonts w:ascii="Times New Roman" w:hAnsi="Times New Roman"/>
          <w:b w:val="false"/>
          <w:i w:val="false"/>
          <w:color w:val="000000"/>
          <w:sz w:val="22"/>
        </w:rPr>
        <w:t> </w:t>
      </w:r>
      <w:r>
        <w:rPr>
          <w:rFonts w:ascii="Times New Roman" w:hAnsi="Times New Roman"/>
          <w:b w:val="false"/>
          <w:i/>
          <w:color w:val="000000"/>
          <w:sz w:val="22"/>
        </w:rPr>
        <w:t xml:space="preserve">Dispensing to a patient or primary caregiver. </w:t>
      </w:r>
      <w:r>
        <w:rPr>
          <w:rFonts w:ascii="Times New Roman" w:hAnsi="Times New Roman"/>
          <w:b w:val="false"/>
          <w:i w:val="false"/>
          <w:color w:val="000000"/>
          <w:sz w:val="22"/>
        </w:rPr>
        <w:t>Prior to dispensing any medical cannabidiol to a patient, a dispensary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Verify the patient or primary caregiver’s identity using acceptable photo identification and that the patient or primary caregiver is over 18 years of age. Acceptable photo identification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valid Iowa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Iowa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U.S.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U.S. military ID or veteran 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tribal ID card/document;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the patient or primary caregiver, if applicable, is registered and listed in the secure sales and inventory tracking system and has a valid medical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Check the secure sales and inventory tracking system for the patient’s total tetrahydrocannabinol 90-day purchase limit and the amount of total tetrahydrocannabinol that the patient and the patient’s primary caregiver(s) have purchased on behalf of the patient in the past 90 days to ensure that the amount of total tetrahydrocannabinol sold by the dispensary to the patient does not exceed the patient’s purchase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 a tracking number to any medical cannabidiol that is to be dispensed to the patient or primary caregiver;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a label that contains the following information, which may be printed on a secondary label or package insert: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medical cannabidiol tracking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medical cannabidiol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specific instructions for use based upon manufacturer guidelines or department rules. Text shall not include any false, misleading, or unsubstantiated statements regarding health or physical benefits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641—154.40</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w:t>
      </w:r>
      <w:r>
        <w:rPr>
          <w:rFonts w:ascii="Times New Roman" w:hAnsi="Times New Roman"/>
          <w:b w:val="false"/>
          <w:i w:val="false"/>
          <w:color w:val="000000"/>
          <w:sz w:val="22"/>
        </w:rPr>
        <w:t>A dispensary is not authorized to transport medical cannabidiol, unless approved by the department. Any approved transport shall be logged in the secure sales and inventory tracking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641—154.41</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excess, expired, or damaged medical cannabidiol. </w:t>
      </w:r>
      <w:r>
        <w:rPr>
          <w:rFonts w:ascii="Times New Roman" w:hAnsi="Times New Roman"/>
          <w:b w:val="false"/>
          <w:i w:val="false"/>
          <w:color w:val="000000"/>
          <w:sz w:val="22"/>
        </w:rPr>
        <w:t>Dispensaries shall identify unused, excess, expired, or damaged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154.41(2)</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a patient or primary caregiver to a dispensary.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accept at no charge medical cannabidiol waste from any patient or primary caregiver. A dispensary may provide all medical cannabidiol waste to the manufacturer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dispensary shall enter the following information into the secure sales and inventory tracking system for medical cannabidiol returned from a patient or primary caregiver being returned to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tracking number assigned at the time of the dispensing, if available, or the name of the patient, if the tracking number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medical cannabidiol was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quantity of medical cannabidiol returned;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and lot number of medical cannabidiol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medical cannabidiol returned from patients and primary caregivers.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154.41(3)</w:t>
      </w:r>
      <w:r>
        <w:rPr>
          <w:rFonts w:ascii="Times New Roman" w:hAnsi="Times New Roman"/>
          <w:b w:val="false"/>
          <w:i w:val="false"/>
          <w:color w:val="000000"/>
          <w:sz w:val="22"/>
        </w:rPr>
        <w:t> </w:t>
      </w:r>
      <w:r>
        <w:rPr>
          <w:rFonts w:ascii="Times New Roman" w:hAnsi="Times New Roman"/>
          <w:b w:val="false"/>
          <w:i/>
          <w:color w:val="000000"/>
          <w:sz w:val="22"/>
        </w:rPr>
        <w:t xml:space="preserve">Unused, excess, expired, damaged, or returned medical cannabidiol. </w:t>
      </w:r>
      <w:r>
        <w:rPr>
          <w:rFonts w:ascii="Times New Roman" w:hAnsi="Times New Roman"/>
          <w:b w:val="false"/>
          <w:i w:val="false"/>
          <w:color w:val="000000"/>
          <w:sz w:val="22"/>
        </w:rPr>
        <w:t xml:space="preserve">Unused, excess, expired, damaged, or returned medical cannabidiol shall be stored as described in subrule </w:t>
      </w:r>
      <w:hyperlink r:id="rId62">
        <w:r>
          <w:rPr>
            <w:rStyle w:val="Hyperlink"/>
            <w:rFonts w:ascii="Times New Roman" w:hAnsi="Times New Roman"/>
            <w:b w:val="false"/>
            <w:i w:val="false"/>
            <w:color w:val="000000"/>
            <w:sz w:val="22"/>
          </w:rPr>
          <w:t>154.38(2)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154.41(4)</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to a manufacturer. </w:t>
      </w:r>
      <w:r>
        <w:rPr>
          <w:rFonts w:ascii="Times New Roman" w:hAnsi="Times New Roman"/>
          <w:b w:val="false"/>
          <w:i w:val="false"/>
          <w:color w:val="000000"/>
          <w:sz w:val="22"/>
        </w:rPr>
        <w:t>A dispensary shall record information on all medical cannabidiol collected by the manufacturer in the secure sales and inventory tracking system.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medical cannabidiol was collected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quantity of medical cannabidiol collected;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and lot number of medical cannabidiol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641—154.42</w:t>
      </w:r>
      <w:r>
        <w:rPr>
          <w:rFonts w:ascii="Times New Roman" w:hAnsi="Times New Roman"/>
          <w:b/>
          <w:i w:val="false"/>
          <w:color w:val="000000"/>
          <w:sz w:val="22"/>
        </w:rPr>
        <w:t xml:space="preserve">(124E) </w:t>
      </w:r>
      <w:r>
        <w:rPr>
          <w:rFonts w:ascii="Times New Roman" w:hAnsi="Times New Roman"/>
          <w:b/>
          <w:i w:val="false"/>
          <w:color w:val="000000"/>
          <w:sz w:val="22"/>
        </w:rPr>
        <w:t xml:space="preserve">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154.42(1)</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dispensary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154.42(2)</w:t>
      </w:r>
      <w:r>
        <w:rPr>
          <w:rFonts w:ascii="Times New Roman" w:hAnsi="Times New Roman"/>
          <w:b w:val="false"/>
          <w:i w:val="false"/>
          <w:color w:val="000000"/>
          <w:sz w:val="22"/>
        </w:rPr>
        <w:t> </w:t>
      </w:r>
      <w:r>
        <w:rPr>
          <w:rFonts w:ascii="Times New Roman" w:hAnsi="Times New Roman"/>
          <w:b w:val="false"/>
          <w:i/>
          <w:color w:val="000000"/>
          <w:sz w:val="22"/>
        </w:rPr>
        <w:t xml:space="preserve">Real-time inventory required. </w:t>
      </w:r>
      <w:r>
        <w:rPr>
          <w:rFonts w:ascii="Times New Roman" w:hAnsi="Times New Roman"/>
          <w:b w:val="false"/>
          <w:i w:val="false"/>
          <w:color w:val="000000"/>
          <w:sz w:val="22"/>
        </w:rPr>
        <w:t>A dispensary shall use the secure sales and inventory tracking system to maintain a real-time record of the dispensary’s inventory of medical cannabidiol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quantity and form of saleable medical cannabidiol maintained at the dispensary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damaged, expired, or returned medical cannabidiol being held at the dispensary for return to a manufacturer;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information deemed necessary and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154.42(3)</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At least once per calendar week, a dispensary shall reconcile all medical cannabidiol with the inventory recorded in the secure sales and inventory tracking system. Discrepancies shall be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report suspected diversion of medical cannabidiol to the department and law enforcement within 24 hours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dispensary shall have up to 24 hours to reconcile the dispensary’s physical inventory with the inventory recorded in the secure sales and inventory tracking system. If the dispensary cannot reconcile the dispensary’s physical inventory with the secure sales and inventory tracking system’s inventory within 24 hours but diversion of product is not suspected, the dispensary shall immediately contact the department to report the discrepancy and to initiate a compliance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r>
        <w:rPr>
          <w:rFonts w:ascii="Times New Roman" w:hAnsi="Times New Roman"/>
          <w:b w:val="false"/>
          <w:i w:val="false"/>
          <w:color w:val="000000"/>
          <w:sz w:val="22"/>
        </w:rPr>
        <w:t>A dispensary shall cooperate with manufacturers and the department on quality assurance and control procedures, including participating in stability-testing studies, developing sampling strategies, and returning medical cannabidiol that has been recalled.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MEDICAL CANNABIDIOL BOARD</w:t>
      </w:r>
    </w:p>
    <w:p>
      <w:pPr>
        <w:spacing w:before="0" w:after="0"/>
        <w:ind w:left="120"/>
        <w:jc w:val="both"/>
      </w:pPr>
      <w:r>
        <w:rPr>
          <w:rFonts w:ascii="Times New Roman" w:hAnsi="Times New Roman"/>
          <w:b/>
          <w:i w:val="false"/>
          <w:color w:val="000000"/>
          <w:sz w:val="22"/>
        </w:rPr>
        <w:t>641—154.44</w:t>
      </w:r>
      <w:r>
        <w:rPr>
          <w:rFonts w:ascii="Times New Roman" w:hAnsi="Times New Roman"/>
          <w:b/>
          <w:i w:val="false"/>
          <w:color w:val="000000"/>
          <w:sz w:val="22"/>
        </w:rPr>
        <w:t xml:space="preserve">(124E) </w:t>
      </w:r>
      <w:r>
        <w:rPr>
          <w:rFonts w:ascii="Times New Roman" w:hAnsi="Times New Roman"/>
          <w:b/>
          <w:i w:val="false"/>
          <w:color w:val="000000"/>
          <w:sz w:val="22"/>
        </w:rPr>
        <w:t xml:space="preserve">Purpose and duties of board. </w:t>
      </w:r>
      <w:r>
        <w:rPr>
          <w:rFonts w:ascii="Times New Roman" w:hAnsi="Times New Roman"/>
          <w:b w:val="false"/>
          <w:i w:val="false"/>
          <w:color w:val="000000"/>
          <w:sz w:val="22"/>
        </w:rPr>
        <w:t xml:space="preserve">The purpose of the board is to administer the provisions of Iowa Code section </w:t>
      </w:r>
      <w:hyperlink r:id="rId6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641—154.45</w:t>
      </w:r>
      <w:r>
        <w:rPr>
          <w:rFonts w:ascii="Times New Roman" w:hAnsi="Times New Roman"/>
          <w:b/>
          <w:i w:val="false"/>
          <w:color w:val="000000"/>
          <w:sz w:val="22"/>
        </w:rPr>
        <w:t xml:space="preserve">(124E)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board shall be composed of members as set forth in Iowa Code section </w:t>
      </w:r>
      <w:hyperlink r:id="rId64">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The appointments, unless provided otherwise by law, shall be for three-year staggered terms that shall expire on June 30. Board members shall be knowledgeable about the use of medical cannabidiol. The medical practitioners appointed to the board shall be licensed in Iowa and be nationally board-certified in their area of specialty.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154.45(2)</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154.45(3)</w:t>
      </w:r>
      <w:r>
        <w:rPr>
          <w:rFonts w:ascii="Times New Roman" w:hAnsi="Times New Roman"/>
          <w:b w:val="false"/>
          <w:i w:val="false"/>
          <w:color w:val="000000"/>
          <w:sz w:val="22"/>
        </w:rPr>
        <w:t> </w:t>
      </w:r>
      <w:r>
        <w:rPr>
          <w:rFonts w:ascii="Times New Roman" w:hAnsi="Times New Roman"/>
          <w:b w:val="false"/>
          <w:i/>
          <w:color w:val="000000"/>
          <w:sz w:val="22"/>
        </w:rPr>
        <w:t xml:space="preserve">Absences. </w:t>
      </w:r>
      <w:r>
        <w:rPr>
          <w:rFonts w:ascii="Times New Roman" w:hAnsi="Times New Roman"/>
          <w:b w:val="false"/>
          <w:i w:val="false"/>
          <w:color w:val="000000"/>
          <w:sz w:val="22"/>
        </w:rPr>
        <w:t>Three consecutive unexcused absences shall be grounds for the governor to consider dismissal of a board member and to appoint another. Department staff is charged with providing notification of absences to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154.45(4)</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conducted in accordance with the open meetings requirements of Iowa Code chapter </w:t>
      </w:r>
      <w:hyperlink r:id="rId6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department’s bureau of cannabis regulation shall schedule the time, date and location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shall constitute a quorum for conducting business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affirmative vote of a majority of the board members present at a meeting is required for a motion to pass.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154.45(5)</w:t>
      </w:r>
      <w:r>
        <w:rPr>
          <w:rFonts w:ascii="Times New Roman" w:hAnsi="Times New Roman"/>
          <w:b w:val="false"/>
          <w:i w:val="false"/>
          <w:color w:val="000000"/>
          <w:sz w:val="22"/>
        </w:rPr>
        <w:t> </w:t>
      </w:r>
      <w:r>
        <w:rPr>
          <w:rFonts w:ascii="Times New Roman" w:hAnsi="Times New Roman"/>
          <w:b w:val="false"/>
          <w:i/>
          <w:color w:val="000000"/>
          <w:sz w:val="22"/>
        </w:rPr>
        <w:t xml:space="preserve">Facilities and staffing. </w:t>
      </w:r>
      <w:r>
        <w:rPr>
          <w:rFonts w:ascii="Times New Roman" w:hAnsi="Times New Roman"/>
          <w:b w:val="false"/>
          <w:i w:val="false"/>
          <w:color w:val="000000"/>
          <w:sz w:val="22"/>
        </w:rPr>
        <w:t>The department shall furnish the board with the necessary facilities and employees to perform the duties required by this chapter but shall be reimbursed for all costs incurred by fee revenue generated from licensing activities and registration card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154.45(6)</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board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641—154.46</w:t>
      </w:r>
      <w:r>
        <w:rPr>
          <w:rFonts w:ascii="Times New Roman" w:hAnsi="Times New Roman"/>
          <w:b/>
          <w:i w:val="false"/>
          <w:color w:val="000000"/>
          <w:sz w:val="22"/>
        </w:rPr>
        <w:t xml:space="preserve">(124E) </w:t>
      </w:r>
      <w:r>
        <w:rPr>
          <w:rFonts w:ascii="Times New Roman" w:hAnsi="Times New Roman"/>
          <w:b/>
          <w:i w:val="false"/>
          <w:color w:val="000000"/>
          <w:sz w:val="22"/>
        </w:rPr>
        <w:t xml:space="preserve">Petitions for the addition or removal of medical conditions, medical treatments or debilitating diseases. </w:t>
      </w:r>
      <w:r>
        <w:rPr>
          <w:rFonts w:ascii="Times New Roman" w:hAnsi="Times New Roman"/>
          <w:b w:val="false"/>
          <w:i w:val="false"/>
          <w:color w:val="000000"/>
          <w:sz w:val="22"/>
        </w:rPr>
        <w:t xml:space="preserve">Pursuant to Iowa Code section </w:t>
      </w:r>
      <w:hyperlink r:id="rId66">
        <w:r>
          <w:rPr>
            <w:rStyle w:val="Hyperlink"/>
            <w:rFonts w:ascii="Times New Roman" w:hAnsi="Times New Roman"/>
            <w:b w:val="false"/>
            <w:i w:val="false"/>
            <w:color w:val="000000"/>
            <w:sz w:val="22"/>
          </w:rPr>
          <w:t>124E.5(3)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shall accept and review petitions to modify the list of debilitating medical conditions for the medical use of cannabidiol. The petition shall be in accordance with </w:t>
      </w:r>
      <w:hyperlink r:id="rId67">
        <w:r>
          <w:rPr>
            <w:rStyle w:val="Hyperlink"/>
            <w:rFonts w:ascii="Times New Roman" w:hAnsi="Times New Roman"/>
            <w:b w:val="false"/>
            <w:i w:val="false"/>
            <w:color w:val="000000"/>
            <w:sz w:val="22"/>
          </w:rPr>
          <w:t>441—Chapter 4</w:t>
        </w:r>
      </w:hyperlink>
      <w:r>
        <w:rPr>
          <w:rFonts w:ascii="Times New Roman" w:hAnsi="Times New Roman"/>
          <w:b w:val="false"/>
          <w:i w:val="false"/>
          <w:color w:val="000000"/>
          <w:sz w:val="22"/>
        </w:rPr>
        <w:t>, except that the caption should read “Petition for Addition or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154.46(1)</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petition may be made to the bureau of cannabis regulation at the department’s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board may request that the petitioner submit additional information concerning the petition. The board may also solicit comments from any person on the substance of the petition.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154.46(3)</w:t>
      </w:r>
      <w:r>
        <w:rPr>
          <w:rFonts w:ascii="Times New Roman" w:hAnsi="Times New Roman"/>
          <w:b w:val="false"/>
          <w:i w:val="false"/>
          <w:color w:val="000000"/>
          <w:sz w:val="22"/>
        </w:rPr>
        <w:t> </w:t>
      </w:r>
      <w:r>
        <w:rPr>
          <w:rFonts w:ascii="Times New Roman" w:hAnsi="Times New Roman"/>
          <w:b w:val="false"/>
          <w:i/>
          <w:color w:val="000000"/>
          <w:sz w:val="22"/>
        </w:rPr>
        <w:t xml:space="preserve">Presentation to the board. </w:t>
      </w:r>
      <w:r>
        <w:rPr>
          <w:rFonts w:ascii="Times New Roman" w:hAnsi="Times New Roman"/>
          <w:b w:val="false"/>
          <w:i w:val="false"/>
          <w:color w:val="000000"/>
          <w:sz w:val="22"/>
        </w:rPr>
        <w:t>The board may request or allow the petitioner to make an oral presentation of the contents of a petition at a board meeting following submission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154.46(4)</w:t>
      </w:r>
      <w:r>
        <w:rPr>
          <w:rFonts w:ascii="Times New Roman" w:hAnsi="Times New Roman"/>
          <w:b w:val="false"/>
          <w:i w:val="false"/>
          <w:color w:val="000000"/>
          <w:sz w:val="22"/>
        </w:rPr>
        <w:t> </w:t>
      </w:r>
      <w:r>
        <w:rPr>
          <w:rFonts w:ascii="Times New Roman" w:hAnsi="Times New Roman"/>
          <w:b w:val="false"/>
          <w:i/>
          <w:color w:val="000000"/>
          <w:sz w:val="22"/>
        </w:rPr>
        <w:t xml:space="preserve">Board response. </w:t>
      </w:r>
      <w:r>
        <w:rPr>
          <w:rFonts w:ascii="Times New Roman" w:hAnsi="Times New Roman"/>
          <w:b w:val="false"/>
          <w:i w:val="false"/>
          <w:color w:val="000000"/>
          <w:sz w:val="22"/>
        </w:rPr>
        <w:t xml:space="preserve">The board shall notify the petitioner in writing of the decision within six months after the filing, unless the petitioner agrees to a time extension. If the petition is granted, the board will recommend addition or removal of the medical condition, medical treatment or debilitating disease to the board of medicine. If the petition is denied, the board will provide the rationale for the denial. Notification occurs when the board mails the writing to the petitioner.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LABORATORY TESTING</w:t>
      </w:r>
    </w:p>
    <w:p>
      <w:pPr>
        <w:spacing w:before="0" w:after="0"/>
        <w:ind w:left="120"/>
        <w:jc w:val="both"/>
      </w:pPr>
      <w:r>
        <w:rPr>
          <w:rFonts w:ascii="Times New Roman" w:hAnsi="Times New Roman"/>
          <w:b/>
          <w:i w:val="false"/>
          <w:color w:val="000000"/>
          <w:sz w:val="22"/>
        </w:rPr>
        <w:t>641—154.47</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154.47(1)</w:t>
      </w:r>
      <w:r>
        <w:rPr>
          <w:rFonts w:ascii="Times New Roman" w:hAnsi="Times New Roman"/>
          <w:b w:val="false"/>
          <w:i w:val="false"/>
          <w:color w:val="000000"/>
          <w:sz w:val="22"/>
        </w:rPr>
        <w:t> </w:t>
      </w:r>
      <w:r>
        <w:rPr>
          <w:rFonts w:ascii="Times New Roman" w:hAnsi="Times New Roman"/>
          <w:b w:val="false"/>
          <w:i/>
          <w:color w:val="000000"/>
          <w:sz w:val="22"/>
        </w:rPr>
        <w:t xml:space="preserve">Laboratory testing requirements and acceptance criteria. </w:t>
      </w:r>
      <w:r>
        <w:rPr>
          <w:rFonts w:ascii="Times New Roman" w:hAnsi="Times New Roman"/>
          <w:b w:val="false"/>
          <w:i w:val="false"/>
          <w:color w:val="000000"/>
          <w:sz w:val="22"/>
        </w:rPr>
        <w:t>The department shall work with manufacturers and laboratories to create and maintain a document describing required sampling methodology, acceptance criteria, stability-testing procedures, and other guidance for manufacturers and laboratories on testing procedures. The department shall provide manufacturers and laboratories no less than 14 days in which to comment on proposed revisions to the document, and the department shall provide no less than 30 days’ notice before a revision takes effect. The document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minimum number of sample units and reserve samples required for testing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 option for manufacturers to reduce the amount of testing conducted by allowing compositing of sample units or other techniques that reduce the number of tests required without compromising the safety of the products once a manufacturer has satisfactorily completed a control study for a specific extraction or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minimum requirements for sample size and testing intervals for stability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available on the department’s website (</w:t>
      </w:r>
      <w:hyperlink r:id="rId68">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154.47(2)</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sampling protocols. </w:t>
      </w:r>
      <w:r>
        <w:rPr>
          <w:rFonts w:ascii="Times New Roman" w:hAnsi="Times New Roman"/>
          <w:b w:val="false"/>
          <w:i w:val="false"/>
          <w:color w:val="000000"/>
          <w:sz w:val="22"/>
        </w:rPr>
        <w:t>The department shall have two weeks to review and approve or request revisions to a manufacturer’s sampling protocols.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154.47(3)</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stability-testing procedures. </w:t>
      </w:r>
      <w:r>
        <w:rPr>
          <w:rFonts w:ascii="Times New Roman" w:hAnsi="Times New Roman"/>
          <w:b w:val="false"/>
          <w:i w:val="false"/>
          <w:color w:val="000000"/>
          <w:sz w:val="22"/>
        </w:rPr>
        <w:t xml:space="preserve">The department shall have two weeks to review and approve or request revisions to a manufacturer’s stability-testing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154.47(4)</w:t>
      </w:r>
      <w:r>
        <w:rPr>
          <w:rFonts w:ascii="Times New Roman" w:hAnsi="Times New Roman"/>
          <w:b w:val="false"/>
          <w:i w:val="false"/>
          <w:color w:val="000000"/>
          <w:sz w:val="22"/>
        </w:rPr>
        <w:t> </w:t>
      </w:r>
      <w:r>
        <w:rPr>
          <w:rFonts w:ascii="Times New Roman" w:hAnsi="Times New Roman"/>
          <w:b w:val="false"/>
          <w:i/>
          <w:color w:val="000000"/>
          <w:sz w:val="22"/>
        </w:rPr>
        <w:t xml:space="preserve">Establish a laboratory review committee. </w:t>
      </w:r>
      <w:r>
        <w:rPr>
          <w:rFonts w:ascii="Times New Roman" w:hAnsi="Times New Roman"/>
          <w:b w:val="false"/>
          <w:i w:val="false"/>
          <w:color w:val="000000"/>
          <w:sz w:val="22"/>
        </w:rPr>
        <w:t>The department shall establish a laboratory review committee to assist with the review of applications by laboratories and the establishment of accepted laboratory testing standards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154.47(5)</w:t>
      </w:r>
      <w:r>
        <w:rPr>
          <w:rFonts w:ascii="Times New Roman" w:hAnsi="Times New Roman"/>
          <w:b w:val="false"/>
          <w:i w:val="false"/>
          <w:color w:val="000000"/>
          <w:sz w:val="22"/>
        </w:rPr>
        <w:t> </w:t>
      </w:r>
      <w:r>
        <w:rPr>
          <w:rFonts w:ascii="Times New Roman" w:hAnsi="Times New Roman"/>
          <w:b w:val="false"/>
          <w:i/>
          <w:color w:val="000000"/>
          <w:sz w:val="22"/>
        </w:rPr>
        <w:t xml:space="preserve">Review of laboratory applications. </w:t>
      </w:r>
      <w:r>
        <w:rPr>
          <w:rFonts w:ascii="Times New Roman" w:hAnsi="Times New Roman"/>
          <w:b w:val="false"/>
          <w:i w:val="false"/>
          <w:color w:val="000000"/>
          <w:sz w:val="22"/>
        </w:rPr>
        <w:t xml:space="preserve">The department shall establish a process to review applications from prospective medical cannabidiol testing laboratories. Prospective laboratories shall apply on a form created by the department. The department will determine whether the laboratory meets the criteria for an independent medical cannabidiol testing facility as set forth in the definition of “laboratory” in Iowa Code section </w:t>
      </w:r>
      <w:hyperlink r:id="rId69">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 xml:space="preserve"> in addition to determining whether the laboratory meets laboratory requirements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154.47(6)</w:t>
      </w:r>
      <w:r>
        <w:rPr>
          <w:rFonts w:ascii="Times New Roman" w:hAnsi="Times New Roman"/>
          <w:b w:val="false"/>
          <w:i w:val="false"/>
          <w:color w:val="000000"/>
          <w:sz w:val="22"/>
        </w:rPr>
        <w:t> </w:t>
      </w:r>
      <w:r>
        <w:rPr>
          <w:rFonts w:ascii="Times New Roman" w:hAnsi="Times New Roman"/>
          <w:b w:val="false"/>
          <w:i/>
          <w:color w:val="000000"/>
          <w:sz w:val="22"/>
        </w:rPr>
        <w:t xml:space="preserve">Regulation of independent laboratories. </w:t>
      </w:r>
      <w:r>
        <w:rPr>
          <w:rFonts w:ascii="Times New Roman" w:hAnsi="Times New Roman"/>
          <w:b w:val="false"/>
          <w:i w:val="false"/>
          <w:color w:val="000000"/>
          <w:sz w:val="22"/>
        </w:rPr>
        <w:t xml:space="preserve">The department shall determine on an annual basis whether any approved independent laboratory continues to meet the application criteria of this rule. The department shall establish a process for the annual review of approved independent laboratories. An independent laboratory is subject to reasonable inspection by the department, a department-approved consultant, or another agency pursuant to Iowa Code chapter </w:t>
      </w:r>
      <w:hyperlink r:id="rId7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641—154.48</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154.48(1)</w:t>
      </w:r>
      <w:r>
        <w:rPr>
          <w:rFonts w:ascii="Times New Roman" w:hAnsi="Times New Roman"/>
          <w:b w:val="false"/>
          <w:i w:val="false"/>
          <w:color w:val="000000"/>
          <w:sz w:val="22"/>
        </w:rPr>
        <w:t> </w:t>
      </w:r>
      <w:r>
        <w:rPr>
          <w:rFonts w:ascii="Times New Roman" w:hAnsi="Times New Roman"/>
          <w:b w:val="false"/>
          <w:i/>
          <w:color w:val="000000"/>
          <w:sz w:val="22"/>
        </w:rPr>
        <w:t xml:space="preserve">Minimum testing requirements. </w:t>
      </w:r>
      <w:r>
        <w:rPr>
          <w:rFonts w:ascii="Times New Roman" w:hAnsi="Times New Roman"/>
          <w:b w:val="false"/>
          <w:i w:val="false"/>
          <w:color w:val="000000"/>
          <w:sz w:val="22"/>
        </w:rPr>
        <w:t xml:space="preserve">A laboratory shall establish and implement test methods and corresponding standard operating procedures for the analyses of cannabinoids, residual solvents and processing chemicals, pesticides, microbiological impurities, and metals and other analyses as requested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154.48(2)</w:t>
      </w:r>
      <w:r>
        <w:rPr>
          <w:rFonts w:ascii="Times New Roman" w:hAnsi="Times New Roman"/>
          <w:b w:val="false"/>
          <w:i w:val="false"/>
          <w:color w:val="000000"/>
          <w:sz w:val="22"/>
        </w:rPr>
        <w:t> </w:t>
      </w:r>
      <w:r>
        <w:rPr>
          <w:rFonts w:ascii="Times New Roman" w:hAnsi="Times New Roman"/>
          <w:b w:val="false"/>
          <w:i/>
          <w:color w:val="000000"/>
          <w:sz w:val="22"/>
        </w:rPr>
        <w:t xml:space="preserve">Level of quantitation. </w:t>
      </w:r>
      <w:r>
        <w:rPr>
          <w:rFonts w:ascii="Times New Roman" w:hAnsi="Times New Roman"/>
          <w:b w:val="false"/>
          <w:i w:val="false"/>
          <w:color w:val="000000"/>
          <w:sz w:val="22"/>
        </w:rPr>
        <w:t>A laboratory shall be able to demonstrate that its level of quantitation (LOQ) is below any action level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w:t>
      </w:r>
      <w:r>
        <w:rPr>
          <w:rFonts w:ascii="Times New Roman" w:hAnsi="Times New Roman"/>
          <w:b w:val="false"/>
          <w:i w:val="false"/>
          <w:color w:val="000000"/>
          <w:sz w:val="22"/>
        </w:rPr>
        <w:t>A laboratory shall record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receipt of medical cannabidiol from a manufacturer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return of medical cannabidiol or waste to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154.48(4)</w:t>
      </w:r>
      <w:r>
        <w:rPr>
          <w:rFonts w:ascii="Times New Roman" w:hAnsi="Times New Roman"/>
          <w:b w:val="false"/>
          <w:i w:val="false"/>
          <w:color w:val="000000"/>
          <w:sz w:val="22"/>
        </w:rPr>
        <w:t> </w:t>
      </w:r>
      <w:r>
        <w:rPr>
          <w:rFonts w:ascii="Times New Roman" w:hAnsi="Times New Roman"/>
          <w:b w:val="false"/>
          <w:i/>
          <w:color w:val="000000"/>
          <w:sz w:val="22"/>
        </w:rPr>
        <w:t xml:space="preserve">Hazardous waste disposal. </w:t>
      </w:r>
      <w:r>
        <w:rPr>
          <w:rFonts w:ascii="Times New Roman" w:hAnsi="Times New Roman"/>
          <w:b w:val="false"/>
          <w:i w:val="false"/>
          <w:color w:val="000000"/>
          <w:sz w:val="22"/>
        </w:rPr>
        <w:t>A laboratory shall do the following when dealing with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Discard hazardous waste, including hazardous waste containing medical cannabis goods, in accordance with federal and state hazardous waste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 the waste disposal procedures followed for each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641—154.49</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154.49(1)</w:t>
      </w:r>
      <w:r>
        <w:rPr>
          <w:rFonts w:ascii="Times New Roman" w:hAnsi="Times New Roman"/>
          <w:b w:val="false"/>
          <w:i w:val="false"/>
          <w:color w:val="000000"/>
          <w:sz w:val="22"/>
        </w:rPr>
        <w:t> </w:t>
      </w:r>
      <w:r>
        <w:rPr>
          <w:rFonts w:ascii="Times New Roman" w:hAnsi="Times New Roman"/>
          <w:b w:val="false"/>
          <w:i/>
          <w:color w:val="000000"/>
          <w:sz w:val="22"/>
        </w:rPr>
        <w:t xml:space="preserve">Assuming costs. </w:t>
      </w:r>
      <w:r>
        <w:rPr>
          <w:rFonts w:ascii="Times New Roman" w:hAnsi="Times New Roman"/>
          <w:b w:val="false"/>
          <w:i w:val="false"/>
          <w:color w:val="000000"/>
          <w:sz w:val="22"/>
        </w:rPr>
        <w:t>A manufacturer shall assume the costs for all laboratory testing pertaining to verification studies on new products, the cost of standard testing protocols as outlined in a Laboratory Acceptance and Criteria Document and other tests as requested by the department. A manufacturer shall provide any necessary reference materials to the laboratory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154.49(2)</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sampling protocols. </w:t>
      </w:r>
      <w:r>
        <w:rPr>
          <w:rFonts w:ascii="Times New Roman" w:hAnsi="Times New Roman"/>
          <w:b w:val="false"/>
          <w:i w:val="false"/>
          <w:color w:val="000000"/>
          <w:sz w:val="22"/>
        </w:rPr>
        <w:t>A manufacturer shall obtain approval from the department for the manufacturer’s sampling protocols prior to submitting samples for laboratory testing related to content and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154.49(3)</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stability-testing procedures. </w:t>
      </w:r>
      <w:r>
        <w:rPr>
          <w:rFonts w:ascii="Times New Roman" w:hAnsi="Times New Roman"/>
          <w:b w:val="false"/>
          <w:i w:val="false"/>
          <w:color w:val="000000"/>
          <w:sz w:val="22"/>
        </w:rPr>
        <w:t>A manufacturer shall obtain approval from the department for the manufacturer’s stability-testing procedures prior to submitting samples for laboratory testing related to stability testing and product-expiration-date studies.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641—154.50</w:t>
      </w:r>
      <w:r>
        <w:rPr>
          <w:rFonts w:ascii="Times New Roman" w:hAnsi="Times New Roman"/>
          <w:b/>
          <w:i w:val="false"/>
          <w:color w:val="000000"/>
          <w:sz w:val="22"/>
        </w:rPr>
        <w:t xml:space="preserve">(124E) </w:t>
      </w:r>
      <w:r>
        <w:rPr>
          <w:rFonts w:ascii="Times New Roman" w:hAnsi="Times New Roman"/>
          <w:b/>
          <w:i w:val="false"/>
          <w:color w:val="000000"/>
          <w:sz w:val="22"/>
        </w:rPr>
        <w:t xml:space="preserve">Content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154.50(1)</w:t>
      </w:r>
      <w:r>
        <w:rPr>
          <w:rFonts w:ascii="Times New Roman" w:hAnsi="Times New Roman"/>
          <w:b w:val="false"/>
          <w:i w:val="false"/>
          <w:color w:val="000000"/>
          <w:sz w:val="22"/>
        </w:rPr>
        <w:t> </w:t>
      </w:r>
      <w:r>
        <w:rPr>
          <w:rFonts w:ascii="Times New Roman" w:hAnsi="Times New Roman"/>
          <w:b w:val="false"/>
          <w:i/>
          <w:color w:val="000000"/>
          <w:sz w:val="22"/>
        </w:rPr>
        <w:t xml:space="preserve">Cannabinoids.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unique lot of medical cannabidiol, and if asked to do so by a requester for other medical cannabis goods, a laboratory shall, at minimum, test for and report measurements for the following cannabinoid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CBD;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CBDA.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laboratory shall report that the primary sample passed or failed THC and CBD potency testing according to guidance in the Laboratory Acceptance and Criteria Document described in subrule </w:t>
      </w:r>
      <w:hyperlink r:id="rId71">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cannabinoid analyte test, a laboratory shall issue a certificate of analysis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Concentrations of cannabinoid analytes in mg/ml for liquids and mg/g for solids, or other measures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primary sample passed or failed the test in accordance with paragraph </w:t>
      </w:r>
      <w:hyperlink r:id="rId72">
        <w:r>
          <w:rPr>
            <w:rStyle w:val="Hyperlink"/>
            <w:rFonts w:ascii="Times New Roman" w:hAnsi="Times New Roman"/>
            <w:b w:val="false"/>
            <w:i w:val="false"/>
            <w:color w:val="000000"/>
            <w:sz w:val="22"/>
          </w:rPr>
          <w:t>154.50(1)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for and provide test results for additional cannabinoid analytes if asked to do so by a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154.50(2)</w:t>
      </w:r>
      <w:r>
        <w:rPr>
          <w:rFonts w:ascii="Times New Roman" w:hAnsi="Times New Roman"/>
          <w:b w:val="false"/>
          <w:i w:val="false"/>
          <w:color w:val="000000"/>
          <w:sz w:val="22"/>
        </w:rPr>
        <w:t> </w:t>
      </w:r>
      <w:r>
        <w:rPr>
          <w:rFonts w:ascii="Times New Roman" w:hAnsi="Times New Roman"/>
          <w:b w:val="false"/>
          <w:i/>
          <w:color w:val="000000"/>
          <w:sz w:val="22"/>
        </w:rPr>
        <w:t xml:space="preserve">Contaminants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unique lot of medical cannabidiol, unless otherwise referenced in the laboratory testing requirements and acceptance criteria document described in subrule </w:t>
      </w:r>
      <w:hyperlink r:id="rId73">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a laboratory shall conduct contaminants testing for the following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Residual solvents and processing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Microbiological impurities.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Heavy metals.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and provide test results for additional contaminants if asked to do so by a requestor.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list of contaminants for which primary samples are to be tested with corresponding action levels on the department’s website (</w:t>
      </w:r>
      <w:hyperlink r:id="rId74">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each contaminant for which a laboratory tests, the laboratory shall report that the primary sample passed the testing if the concentration of contaminant is at or below the action level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each contaminant for which a laboratory tests, the laboratory shall report that the primary sample failed the testing if the concentration of contaminants is above the action level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laboratory is using gas chromatography-mass spectrometry instrumentation to analyze primary samples for contaminants and the laboratory determines that a primary sample contains contaminants or chemical analytes that are not included in the department-approved list of required tests, the laboratory shall attempt to achieve tentative identification and semiquantitative results of the contaminant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for and provide test results for additional contaminants or processing chemicals if asked to do so by a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each primary sample tested, a laboratory shall issue a certificate of analysis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contaminant for which the primary sample was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concentrations shall be listed in parts per million (ppm) or other units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laboratory shall report a result of “detected but not quantified” for any contaminant that falls below the LOQ, has a signal-to-noise ratio of greater than 3:1, and meets identification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primary sample passed or failed the test in accordance with paragraphs </w:t>
      </w:r>
      <w:hyperlink r:id="rId75">
        <w:r>
          <w:rPr>
            <w:rStyle w:val="Hyperlink"/>
            <w:rFonts w:ascii="Times New Roman" w:hAnsi="Times New Roman"/>
            <w:b w:val="false"/>
            <w:i w:val="false"/>
            <w:color w:val="000000"/>
            <w:sz w:val="22"/>
          </w:rPr>
          <w:t>154.50(2)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and amounts of any additional contaminants identified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primary sample fails testing for residual solvents and processing chemicals, the lot fails laboratory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a laboratory identifies additional contaminants in a primary sample, the laboratory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the additional contaminants and the amounts detected,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Refrain from issuing a final certificate of analysis until given approval to do so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641—154.51</w:t>
      </w:r>
      <w:r>
        <w:rPr>
          <w:rFonts w:ascii="Times New Roman" w:hAnsi="Times New Roman"/>
          <w:b/>
          <w:i w:val="false"/>
          <w:color w:val="000000"/>
          <w:sz w:val="22"/>
        </w:rPr>
        <w:t xml:space="preserve">(124E)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154.51(1)</w:t>
      </w:r>
      <w:r>
        <w:rPr>
          <w:rFonts w:ascii="Times New Roman" w:hAnsi="Times New Roman"/>
          <w:b w:val="false"/>
          <w:i w:val="false"/>
          <w:color w:val="000000"/>
          <w:sz w:val="22"/>
        </w:rPr>
        <w:t> </w:t>
      </w:r>
      <w:r>
        <w:rPr>
          <w:rFonts w:ascii="Times New Roman" w:hAnsi="Times New Roman"/>
          <w:b w:val="false"/>
          <w:i/>
          <w:color w:val="000000"/>
          <w:sz w:val="22"/>
        </w:rPr>
        <w:t xml:space="preserve">Reporting test results. </w:t>
      </w:r>
      <w:r>
        <w:rPr>
          <w:rFonts w:ascii="Times New Roman" w:hAnsi="Times New Roman"/>
          <w:b w:val="false"/>
          <w:i w:val="false"/>
          <w:color w:val="000000"/>
          <w:sz w:val="22"/>
        </w:rPr>
        <w:t>The laboratory shall generate a certificate of analysis for each primary sample that it tests and make the certificate of analysis available to the manufacturer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154.51(2)</w:t>
      </w:r>
      <w:r>
        <w:rPr>
          <w:rFonts w:ascii="Times New Roman" w:hAnsi="Times New Roman"/>
          <w:b w:val="false"/>
          <w:i w:val="false"/>
          <w:color w:val="000000"/>
          <w:sz w:val="22"/>
        </w:rPr>
        <w:t> </w:t>
      </w:r>
      <w:r>
        <w:rPr>
          <w:rFonts w:ascii="Times New Roman" w:hAnsi="Times New Roman"/>
          <w:b w:val="false"/>
          <w:i/>
          <w:color w:val="000000"/>
          <w:sz w:val="22"/>
        </w:rPr>
        <w:t xml:space="preserve">Tentatively identified analytes. </w:t>
      </w:r>
      <w:r>
        <w:rPr>
          <w:rFonts w:ascii="Times New Roman" w:hAnsi="Times New Roman"/>
          <w:b w:val="false"/>
          <w:i w:val="false"/>
          <w:color w:val="000000"/>
          <w:sz w:val="22"/>
        </w:rPr>
        <w:t>A laboratory shall report on the certificate of analysis any tentatively identified analytes detected during the analysis of the primary sample. When a laboratory identifies additional analytes in a primary sample, the laboratory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the additional analytes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Refrain from issuing a final certificate of analysis until given approval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154.51(3)</w:t>
      </w:r>
      <w:r>
        <w:rPr>
          <w:rFonts w:ascii="Times New Roman" w:hAnsi="Times New Roman"/>
          <w:b w:val="false"/>
          <w:i w:val="false"/>
          <w:color w:val="000000"/>
          <w:sz w:val="22"/>
        </w:rPr>
        <w:t> </w:t>
      </w:r>
      <w:r>
        <w:rPr>
          <w:rFonts w:ascii="Times New Roman" w:hAnsi="Times New Roman"/>
          <w:b w:val="false"/>
          <w:i/>
          <w:color w:val="000000"/>
          <w:sz w:val="22"/>
        </w:rPr>
        <w:t xml:space="preserve">Additional reporting requirements. </w:t>
      </w:r>
      <w:r>
        <w:rPr>
          <w:rFonts w:ascii="Times New Roman" w:hAnsi="Times New Roman"/>
          <w:b w:val="false"/>
          <w:i w:val="false"/>
          <w:color w:val="000000"/>
          <w:sz w:val="22"/>
        </w:rPr>
        <w:t xml:space="preserve">In addition to the requirements described in rule </w:t>
      </w:r>
      <w:hyperlink r:id="rId76">
        <w:r>
          <w:rPr>
            <w:rStyle w:val="Hyperlink"/>
            <w:rFonts w:ascii="Times New Roman" w:hAnsi="Times New Roman"/>
            <w:b w:val="false"/>
            <w:i w:val="false"/>
            <w:color w:val="000000"/>
            <w:sz w:val="22"/>
          </w:rPr>
          <w:t>641—154.50</w:t>
        </w:r>
      </w:hyperlink>
      <w:r>
        <w:rPr>
          <w:rFonts w:ascii="Times New Roman" w:hAnsi="Times New Roman"/>
          <w:b w:val="false"/>
          <w:i w:val="false"/>
          <w:color w:val="000000"/>
          <w:sz w:val="22"/>
        </w:rPr>
        <w:t>(124E), the certificate of analysis shall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requirements of ISO/IEC 17025 dated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primary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primary sample was received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each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LOQ and action level for each analyte,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primary sample and lot passed or failed laboratory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signature by the laboratory quality officer or delegate and the date the certificate of analysis was validated as being accurate by the laboratory quality officer or delegate.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154.51(4)</w:t>
      </w:r>
      <w:r>
        <w:rPr>
          <w:rFonts w:ascii="Times New Roman" w:hAnsi="Times New Roman"/>
          <w:b w:val="false"/>
          <w:i w:val="false"/>
          <w:color w:val="000000"/>
          <w:sz w:val="22"/>
        </w:rPr>
        <w:t> </w:t>
      </w:r>
      <w:r>
        <w:rPr>
          <w:rFonts w:ascii="Times New Roman" w:hAnsi="Times New Roman"/>
          <w:b w:val="false"/>
          <w:i/>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test result that is not covered under the laboratory’s ISO/IEC 17025 scope of accreditation shall be clearly identified on the certificate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Measurements below a method’s limit of detection shall be reported as “&lt;” (less than) or “not detected” and reference the reportable limit. The reporting of zero concentration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Measurements greater than or equal to LOD but less than LOQ shall be reported as “detected but not quantified.”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significant figures reported shall reflect the precision of the analysis.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641—154.52</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154.52(1)</w:t>
      </w:r>
      <w:r>
        <w:rPr>
          <w:rFonts w:ascii="Times New Roman" w:hAnsi="Times New Roman"/>
          <w:b w:val="false"/>
          <w:i w:val="false"/>
          <w:color w:val="000000"/>
          <w:sz w:val="22"/>
        </w:rPr>
        <w:t> </w:t>
      </w:r>
      <w:r>
        <w:rPr>
          <w:rFonts w:ascii="Times New Roman" w:hAnsi="Times New Roman"/>
          <w:b w:val="false"/>
          <w:i/>
          <w:color w:val="000000"/>
          <w:sz w:val="22"/>
        </w:rPr>
        <w:t xml:space="preserve">Data package. </w:t>
      </w:r>
      <w:r>
        <w:rPr>
          <w:rFonts w:ascii="Times New Roman" w:hAnsi="Times New Roman"/>
          <w:b w:val="false"/>
          <w:i w:val="false"/>
          <w:color w:val="000000"/>
          <w:sz w:val="22"/>
        </w:rPr>
        <w:t>A laboratory shall create a data package for each analytical batch of primary samples that the laboratory analyzes. The data package shall contain at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laboratory that performed the analytical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names, functions, and signatures (electronic or handwritten) of the laboratory personnel who performed the primary sample preparation, analyzed the primary samples, and reviewed and approved the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primary sample and analytical batch quality control sample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Raw data for each primary sample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Instrument raw data, if any was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Instrument test method with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Instrument tune report, if one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instrument standard calibration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Test-method worksheets or forms used for primary sample identification, characterization, and calculations, including chromatograms, sample-preparation worksheets, and final datasheets;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quality control report with worksheets, forms, or copies of laboratory notebook pages containing pertinent information related to the identification and traceability of all reagents, reference materials, and standards used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analytical batch sample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field sample log;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chain-of-custody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154.52(2)</w:t>
      </w:r>
      <w:r>
        <w:rPr>
          <w:rFonts w:ascii="Times New Roman" w:hAnsi="Times New Roman"/>
          <w:b w:val="false"/>
          <w:i w:val="false"/>
          <w:color w:val="000000"/>
          <w:sz w:val="22"/>
        </w:rPr>
        <w:t> </w:t>
      </w:r>
      <w:r>
        <w:rPr>
          <w:rFonts w:ascii="Times New Roman" w:hAnsi="Times New Roman"/>
          <w:b w:val="false"/>
          <w:i/>
          <w:color w:val="000000"/>
          <w:sz w:val="22"/>
        </w:rPr>
        <w:t xml:space="preserve">Review of data package. </w:t>
      </w:r>
      <w:r>
        <w:rPr>
          <w:rFonts w:ascii="Times New Roman" w:hAnsi="Times New Roman"/>
          <w:b w:val="false"/>
          <w:i w:val="false"/>
          <w:color w:val="000000"/>
          <w:sz w:val="22"/>
        </w:rPr>
        <w:t>After the laboratory has compiled a data package, an individual at the laboratory who was not previously involved in the creation of the data package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the analytical results for technical correctness and completeness;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the results of each analysis carried out by the laboratory are reported accurately, clearly, unambiguously, and objectively;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Verify that the measurements can be traced back;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Approve the measurement results by signing and dating the data package prior to release of the certificate of analysis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154.52(3)</w:t>
      </w:r>
      <w:r>
        <w:rPr>
          <w:rFonts w:ascii="Times New Roman" w:hAnsi="Times New Roman"/>
          <w:b w:val="false"/>
          <w:i w:val="false"/>
          <w:color w:val="000000"/>
          <w:sz w:val="22"/>
        </w:rPr>
        <w:t> </w:t>
      </w:r>
      <w:r>
        <w:rPr>
          <w:rFonts w:ascii="Times New Roman" w:hAnsi="Times New Roman"/>
          <w:b w:val="false"/>
          <w:i/>
          <w:color w:val="000000"/>
          <w:sz w:val="22"/>
        </w:rPr>
        <w:t xml:space="preserve">Data package record retention. </w:t>
      </w:r>
      <w:r>
        <w:rPr>
          <w:rFonts w:ascii="Times New Roman" w:hAnsi="Times New Roman"/>
          <w:b w:val="false"/>
          <w:i w:val="false"/>
          <w:color w:val="000000"/>
          <w:sz w:val="22"/>
        </w:rPr>
        <w:t>The entire data package shall be stored by a laboratory for a minimum of five years and shall be made available upon request by the department or the requester of the laboratory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154.52(4)</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 laboratory shall maintain all documents, forms, records, and standard operating procedures associated with the testing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laboratory shall maintain analytical testing laboratory records in such a manner that the analyst, the date the analysis was performed, the approver of the certificate of analysis, the reviewer and approver of the data package, the test method, and the materials that were used can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stored in such a way that the data may be readily retrieved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testing laboratory records shall be kept for a minimum of five years, unless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allowed access to all electronic data, including standards records, calibration records, extraction logs, and laboratory notebooks.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laboratory shall keep and make available to the department the following records related to the testing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Personnel qualification, training, and competency documentation, including but not limited to résumés, training records, continuing education records, analytical proficiency testing records, and demonstration of competency records for laboratory work. These records shall be kept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verification and validation records, including method modification records, method detection limit and quantitation limit determination records, ongoing verification records such as proficiency test records and reference material analysis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Quality control and quality assurance records, including the laboratory’s quality assurance manual and control charts with control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Chain-of-custody records, including chain-of-custody forms, field sample logs, sample-receipt records, sample-description records, sample-rejection records, laboratory information management system records, sample-storage records, sample-retention records, and disposal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Purchasing and supply records, equipment-services records, and other equipment records, including purchase requisition records, packing slips, supplier records, and certificates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 equipment installation records, maintenance records, and calibration records. These records shall include the date and name of the person performing the installation of, calibration of, or maintenance on the equipment, with a description of the work performed, maintenance logs, pipette calibration records, balance calibration records, working and reference mass calibration records, and daily verification-of-calibration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Customer service records, including customer contracts, customer requests, certificates of analysis, customer transactions, customer feedback, records related to the handling of complaints and nonconformities, and corrective action pertaining to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Nonconforming work and corrective action records, including corrective action, nonconformance, nonconformities resolved by correction, customer notification of nonconformities, internal investigations, implementation of corrective action, and resumption-of-work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Internal-audit and external-audit records, including audit checklists, standard operating procedures, and audit observation and findings reports. These records shall include the date and name of the person performing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Management review records, including technical data review reports and final management-review reports. These records shall include the review date and the name of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Laboratory data reports, data review, and data approval records, including instrument and equipment identification records, records with unique sample identifiers, analysts’ laboratory notebooks and logbooks, traceability records, test-method worksheets and forms, instrumentation-calibration data, and test-method raw data. These records shall include the analysis date and the name of the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 Proficiency testing records, including the proficiency test schedule, proficiency tests, data-review records, data-reporting records, nonconforming work and corrective actions, and quality control and quality assurance records related to proficiency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Electronic data, backed up data, records regarding the protection of data, including unprocessed instrument output data files and processed quantitation output files, electronic data protocols and records, and authorized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Security data, including laboratory-security records and laboratory-access records, surveillance-equipment records, and security-equipment records. These records shall be stored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Traceability, raw data, standards records, calibration records, extraction logs, reference materials records, analysts’ laboratory notebooks and logbooks, supplier records, and certificates of analysis, and all other data-related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Laboratory contamination and cleaning records, including autoclave records, acid-wash logs and records, and general laboratory-safety and chemical-hygiene protocols.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control. </w:t>
      </w:r>
      <w:r>
        <w:rPr>
          <w:rFonts w:ascii="Times New Roman" w:hAnsi="Times New Roman"/>
          <w:b w:val="false"/>
          <w:i w:val="false"/>
          <w:color w:val="000000"/>
          <w:sz w:val="22"/>
        </w:rPr>
        <w:t>The laboratory shall have quality control protocols that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samples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laboratory shall run quality control samples with every analytical batch of samples for chemical and microbiological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microbiological analysis, the laboratory shall develop procedures for quality control requirements for each analytical batch of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shall analyze the quality control samples in exactly the same manner as the test samples to validate the laboratory testing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154.53(2)</w:t>
      </w:r>
      <w:r>
        <w:rPr>
          <w:rFonts w:ascii="Times New Roman" w:hAnsi="Times New Roman"/>
          <w:b w:val="false"/>
          <w:i w:val="false"/>
          <w:color w:val="000000"/>
          <w:sz w:val="22"/>
        </w:rPr>
        <w:t> </w:t>
      </w:r>
      <w:r>
        <w:rPr>
          <w:rFonts w:ascii="Times New Roman" w:hAnsi="Times New Roman"/>
          <w:b w:val="false"/>
          <w:i/>
          <w:color w:val="000000"/>
          <w:sz w:val="22"/>
        </w:rPr>
        <w:t xml:space="preserve">Types of quality control samples. </w:t>
      </w:r>
      <w:r>
        <w:rPr>
          <w:rFonts w:ascii="Times New Roman" w:hAnsi="Times New Roman"/>
          <w:b w:val="false"/>
          <w:i w:val="false"/>
          <w:color w:val="000000"/>
          <w:sz w:val="22"/>
        </w:rPr>
        <w:t>At a minimum, a laboratory shall have the following quality control samples as part of every analytical batch tested for chemical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Negative control (method blank). A laboratory shall prepare and run at least one method blank sample with an analytical batch of samples along with and under the same conditions, including all sample preparation steps, as the other samples in the analytical batch, to demonstrate that the analytical process did not introduce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control (laboratory control sample). A laboratory shall prepare and run at least one laboratory control sample with an analytical batch of samples along with and under the same conditions, including all sample preparation steps, as the other samples in the analytical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Matrix spike sample. A laboratory shall prepare and run one or more matrix spike samples for each analytical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laboratory shall calculate the percent recovery for quantitative chemical analysis by dividing the sample result by the expected result and multiplying that by 100. All quality control measures shall be assessed and evaluated on an ongoing basis, and quality control acceptance criteria shall be used. When necessary, the department may establish acceptance criteria on the department’s website (</w:t>
      </w:r>
      <w:hyperlink r:id="rId77">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quality control acceptance criteria are not acceptable, a laboratory shall investigate the cause, correct the problem, and rerun the analytical batch of samples. If the problem persists, the laboratory shall reprepare the samples and run the analysis again,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duplicate sample. A laboratory shall prepare and run a duplicate sample as described in the laboratory testing requirements and acceptance criteria document in subrule </w:t>
      </w:r>
      <w:hyperlink r:id="rId78">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The acceptance criterion between the primary sample and the duplicate sample is less than or equal to 20 percent relative percent difference.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154.53(3)</w:t>
      </w:r>
      <w:r>
        <w:rPr>
          <w:rFonts w:ascii="Times New Roman" w:hAnsi="Times New Roman"/>
          <w:b w:val="false"/>
          <w:i w:val="false"/>
          <w:color w:val="000000"/>
          <w:sz w:val="22"/>
        </w:rPr>
        <w:t> </w:t>
      </w:r>
      <w:r>
        <w:rPr>
          <w:rFonts w:ascii="Times New Roman" w:hAnsi="Times New Roman"/>
          <w:b w:val="false"/>
          <w:i/>
          <w:color w:val="000000"/>
          <w:sz w:val="22"/>
        </w:rPr>
        <w:t xml:space="preserve">Certified reference material for chemical analysis. </w:t>
      </w:r>
      <w:r>
        <w:rPr>
          <w:rFonts w:ascii="Times New Roman" w:hAnsi="Times New Roman"/>
          <w:b w:val="false"/>
          <w:i w:val="false"/>
          <w:color w:val="000000"/>
          <w:sz w:val="22"/>
        </w:rPr>
        <w:t>The laboratory shall use a reference material for each analytical batch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reference material should be certified and obtained from an outside source, if possible. If a reference material is not available from an outside source, the laboratory shall make its own in-house reference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material made in-house should be made from a different source of standards than the source from which the calibration standards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test result for the reference material shall fall within the quality control acceptance criteria. If it does not, the laboratory shall document and correct the problem and run the analytical batch again.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154.53(4)</w:t>
      </w:r>
      <w:r>
        <w:rPr>
          <w:rFonts w:ascii="Times New Roman" w:hAnsi="Times New Roman"/>
          <w:b w:val="false"/>
          <w:i w:val="false"/>
          <w:color w:val="000000"/>
          <w:sz w:val="22"/>
        </w:rPr>
        <w:t> </w:t>
      </w:r>
      <w:r>
        <w:rPr>
          <w:rFonts w:ascii="Times New Roman" w:hAnsi="Times New Roman"/>
          <w:b w:val="false"/>
          <w:i/>
          <w:color w:val="000000"/>
          <w:sz w:val="22"/>
        </w:rPr>
        <w:t xml:space="preserve">Calibration standards. </w:t>
      </w:r>
      <w:r>
        <w:rPr>
          <w:rFonts w:ascii="Times New Roman" w:hAnsi="Times New Roman"/>
          <w:b w:val="false"/>
          <w:i w:val="false"/>
          <w:color w:val="000000"/>
          <w:sz w:val="22"/>
        </w:rPr>
        <w:t>The laboratory shall prepare calibration standards by serially diluting a standard solution to produce working standards used for calibration of an instrument and quantitation of analyses in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154.53(5)</w:t>
      </w:r>
      <w:r>
        <w:rPr>
          <w:rFonts w:ascii="Times New Roman" w:hAnsi="Times New Roman"/>
          <w:b w:val="false"/>
          <w:i w:val="false"/>
          <w:color w:val="000000"/>
          <w:sz w:val="22"/>
        </w:rPr>
        <w:t> </w:t>
      </w:r>
      <w:r>
        <w:rPr>
          <w:rFonts w:ascii="Times New Roman" w:hAnsi="Times New Roman"/>
          <w:b w:val="false"/>
          <w:i/>
          <w:color w:val="000000"/>
          <w:sz w:val="22"/>
        </w:rPr>
        <w:t xml:space="preserve">Quality control-sample report. </w:t>
      </w:r>
      <w:r>
        <w:rPr>
          <w:rFonts w:ascii="Times New Roman" w:hAnsi="Times New Roman"/>
          <w:b w:val="false"/>
          <w:i w:val="false"/>
          <w:color w:val="000000"/>
          <w:sz w:val="22"/>
        </w:rPr>
        <w:t>A laboratory shall generate a quality control-sample report that includes quality control parameters and measurements, analysis date, and type of matrix.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154.53(6)</w:t>
      </w:r>
      <w:r>
        <w:rPr>
          <w:rFonts w:ascii="Times New Roman" w:hAnsi="Times New Roman"/>
          <w:b w:val="false"/>
          <w:i w:val="false"/>
          <w:color w:val="000000"/>
          <w:sz w:val="22"/>
        </w:rPr>
        <w:t> </w:t>
      </w:r>
      <w:r>
        <w:rPr>
          <w:rFonts w:ascii="Times New Roman" w:hAnsi="Times New Roman"/>
          <w:b w:val="false"/>
          <w:i/>
          <w:color w:val="000000"/>
          <w:sz w:val="22"/>
        </w:rPr>
        <w:t xml:space="preserve">Limit-of-detection and limit-of-quantitation calculations. </w:t>
      </w:r>
      <w:r>
        <w:rPr>
          <w:rFonts w:ascii="Times New Roman" w:hAnsi="Times New Roman"/>
          <w:b w:val="false"/>
          <w:i w:val="false"/>
          <w:color w:val="000000"/>
          <w:sz w:val="22"/>
        </w:rPr>
        <w:t>For chemical method analysis, a laboratory shall calculate the limit of detection and limit of quantitation using generally accepted methodology.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641—154.54</w:t>
      </w:r>
      <w:r>
        <w:rPr>
          <w:rFonts w:ascii="Times New Roman" w:hAnsi="Times New Roman"/>
          <w:b/>
          <w:i w:val="false"/>
          <w:color w:val="000000"/>
          <w:sz w:val="22"/>
        </w:rPr>
        <w:t xml:space="preserve">(124E) </w:t>
      </w:r>
      <w:r>
        <w:rPr>
          <w:rFonts w:ascii="Times New Roman" w:hAnsi="Times New Roman"/>
          <w:b/>
          <w:i w:val="false"/>
          <w:color w:val="000000"/>
          <w:sz w:val="22"/>
        </w:rPr>
        <w:t xml:space="preserve">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154.54(1)</w:t>
      </w:r>
      <w:r>
        <w:rPr>
          <w:rFonts w:ascii="Times New Roman" w:hAnsi="Times New Roman"/>
          <w:b w:val="false"/>
          <w:i w:val="false"/>
          <w:color w:val="000000"/>
          <w:sz w:val="22"/>
        </w:rPr>
        <w:t> </w:t>
      </w:r>
      <w:r>
        <w:rPr>
          <w:rFonts w:ascii="Times New Roman" w:hAnsi="Times New Roman"/>
          <w:b w:val="false"/>
          <w:i/>
          <w:color w:val="000000"/>
          <w:sz w:val="22"/>
        </w:rPr>
        <w:t xml:space="preserve">Security policy requirement. </w:t>
      </w:r>
      <w:r>
        <w:rPr>
          <w:rFonts w:ascii="Times New Roman" w:hAnsi="Times New Roman"/>
          <w:b w:val="false"/>
          <w:i w:val="false"/>
          <w:color w:val="000000"/>
          <w:sz w:val="22"/>
        </w:rPr>
        <w:t>A laboratory shall maintain a security policy to prevent the loss, theft, or diversion of medical cannabidiol samples. The security policy shall apply to all staff and visitors at a laboratory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154.54(2)</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laboratory shall limit entrance to all restricted areas by completing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controlled access system shall do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 access to 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log of individuals with approved access, including dates of approvals and revocations;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Track when personnel enter and exit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Track times of personnel movement between restricted access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Store data for retrieval for a minimum of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Remain operable in the event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shall promptly, but no later than five business days after receipt of request, submit stored controlled access system data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154.54(3)</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laboratory shall use a personnel identification system that controls and monitors individual employee access to restricted access areas within the laboratory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identification card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alphanumeric identification number that is unique to the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photographic image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employee shall keep the identification card visible at all times when the employee is in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termination or resignation of an employee, a laboratory shall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Revoke the employee’s access to the laboratory;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and destroy the employee’s identification card,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154.54(4)</w:t>
      </w:r>
      <w:r>
        <w:rPr>
          <w:rFonts w:ascii="Times New Roman" w:hAnsi="Times New Roman"/>
          <w:b w:val="false"/>
          <w:i w:val="false"/>
          <w:color w:val="000000"/>
          <w:sz w:val="22"/>
        </w:rPr>
        <w:t> </w:t>
      </w:r>
      <w:r>
        <w:rPr>
          <w:rFonts w:ascii="Times New Roman" w:hAnsi="Times New Roman"/>
          <w:b w:val="false"/>
          <w:i/>
          <w:color w:val="000000"/>
          <w:sz w:val="22"/>
        </w:rPr>
        <w:t xml:space="preserve">Video monitoring and surveillance. </w:t>
      </w:r>
      <w:r>
        <w:rPr>
          <w:rFonts w:ascii="Times New Roman" w:hAnsi="Times New Roman"/>
          <w:b w:val="false"/>
          <w:i w:val="false"/>
          <w:color w:val="000000"/>
          <w:sz w:val="22"/>
        </w:rPr>
        <w:t>A laboratory shall operate and maintain in good working order a video surveillance system for its premises that operates 24 hours per day, seven days a week, and visually records all areas where medical cannabis goods are stored or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Capture clear and certain identification of any person entering or exiting a restricted access area containing medical cannabis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Produce a clear, color still photograph live or from a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Export still images in an industry standard image format, such as .jpg, .bmp, or .gif.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Archive in a format that ensures authentication and guarantees that the recorded image has not been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recordings shall be erased or destroyed at the end of the retention period and prior to disposal of any storage medium.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 laboratory shall maintain all security system equipment and recordings in a secure location to prevent theft, loss, destruction, corruption, and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 laboratory shall ensure that 24-hour recordings from all video cameras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Available for viewing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Retained for a minimum of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Maintained free of alteration or corruption;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Retained longer, as needed, if a laboratory is given actual notice of a pending criminal, civil, or administrative investigation, or other legal proceeding for which the recording may contain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154.54(5)</w:t>
      </w:r>
      <w:r>
        <w:rPr>
          <w:rFonts w:ascii="Times New Roman" w:hAnsi="Times New Roman"/>
          <w:b w:val="false"/>
          <w:i w:val="false"/>
          <w:color w:val="000000"/>
          <w:sz w:val="22"/>
        </w:rPr>
        <w:t> </w:t>
      </w:r>
      <w:r>
        <w:rPr>
          <w:rFonts w:ascii="Times New Roman" w:hAnsi="Times New Roman"/>
          <w:b w:val="false"/>
          <w:i/>
          <w:color w:val="000000"/>
          <w:sz w:val="22"/>
        </w:rPr>
        <w:t xml:space="preserve">Chain-of-custody policy and procedures. </w:t>
      </w:r>
      <w:r>
        <w:rPr>
          <w:rFonts w:ascii="Times New Roman" w:hAnsi="Times New Roman"/>
          <w:b w:val="false"/>
          <w:i w:val="false"/>
          <w:color w:val="000000"/>
          <w:sz w:val="22"/>
        </w:rPr>
        <w:t>A laboratory shall maintain a current chain-of-custody policy and procedures. The policy should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Chain of custody is maintained for samples that may have probable forensic evidentiary value;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training is available for individuals who will be involved with testing medical cannabis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154.54(6)</w:t>
      </w: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systems security. </w:t>
      </w:r>
      <w:r>
        <w:rPr>
          <w:rFonts w:ascii="Times New Roman" w:hAnsi="Times New Roman"/>
          <w:b w:val="false"/>
          <w:i w:val="false"/>
          <w:color w:val="000000"/>
          <w:sz w:val="22"/>
        </w:rPr>
        <w:t>A laboratory shall maintain information technology systems protection by employing comprehensive security controls that include security firewall protection, antivirus protection, network and desktop password protection, and security patch management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1640C</w:t>
      </w:r>
      <w:r>
        <w:rPr>
          <w:rFonts w:ascii="Times New Roman" w:hAnsi="Times New Roman"/>
          <w:b w:val="false"/>
          <w:i w:val="false"/>
          <w:color w:val="000000"/>
          <w:sz w:val="21"/>
        </w:rPr>
        <w:t xml:space="preserve"> (Notice ARC 1571C, IAB 8/6/14)</w:t>
      </w:r>
      <w:r>
        <w:rPr>
          <w:rFonts w:ascii="Times New Roman" w:hAnsi="Times New Roman"/>
          <w:b w:val="false"/>
          <w:i w:val="false"/>
          <w:color w:val="000000"/>
          <w:sz w:val="21"/>
        </w:rPr>
        <w:t>, IAB 10/1/14, effective 1/30/15]</w:t>
      </w:r>
    </w:p>
    <w:p>
      <w:pPr>
        <w:spacing w:before="0" w:after="0"/>
        <w:ind w:left="120"/>
        <w:jc w:val="center"/>
      </w:pPr>
      <w:r>
        <w:rPr>
          <w:rFonts w:ascii="Times New Roman" w:hAnsi="Times New Roman"/>
          <w:b w:val="false"/>
          <w:i w:val="false"/>
          <w:color w:val="000000"/>
          <w:sz w:val="21"/>
        </w:rPr>
        <w:t>[Filed Emergency ARC 3150C, IAB 7/5/17, effective 6/13/17]</w:t>
      </w:r>
    </w:p>
    <w:p>
      <w:pPr>
        <w:spacing w:before="0" w:after="0"/>
        <w:ind w:left="120"/>
        <w:jc w:val="center"/>
      </w:pPr>
      <w:r>
        <w:rPr>
          <w:rFonts w:ascii="Times New Roman" w:hAnsi="Times New Roman"/>
          <w:b w:val="false"/>
          <w:i w:val="false"/>
          <w:color w:val="000000"/>
          <w:sz w:val="21"/>
        </w:rPr>
        <w:t>[Filed ARC 3606C</w:t>
      </w:r>
      <w:r>
        <w:rPr>
          <w:rFonts w:ascii="Times New Roman" w:hAnsi="Times New Roman"/>
          <w:b w:val="false"/>
          <w:i w:val="false"/>
          <w:color w:val="000000"/>
          <w:sz w:val="21"/>
        </w:rPr>
        <w:t xml:space="preserve"> (Notice ARC 3420C, IAB 10/25/17)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3836C</w:t>
      </w:r>
      <w:r>
        <w:rPr>
          <w:rFonts w:ascii="Times New Roman" w:hAnsi="Times New Roman"/>
          <w:b w:val="false"/>
          <w:i w:val="false"/>
          <w:color w:val="000000"/>
          <w:sz w:val="21"/>
        </w:rPr>
        <w:t xml:space="preserve"> (Notice ARC 3707C,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4078C</w:t>
      </w:r>
      <w:r>
        <w:rPr>
          <w:rFonts w:ascii="Times New Roman" w:hAnsi="Times New Roman"/>
          <w:b w:val="false"/>
          <w:i w:val="false"/>
          <w:color w:val="000000"/>
          <w:sz w:val="21"/>
        </w:rPr>
        <w:t xml:space="preserve"> (Notice ARC 3899C, IAB 7/18/18)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4399C</w:t>
      </w:r>
      <w:r>
        <w:rPr>
          <w:rFonts w:ascii="Times New Roman" w:hAnsi="Times New Roman"/>
          <w:b w:val="false"/>
          <w:i w:val="false"/>
          <w:color w:val="000000"/>
          <w:sz w:val="21"/>
        </w:rPr>
        <w:t xml:space="preserve"> (Notice ARC 4240C, IAB 1/16/19)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4489C</w:t>
      </w:r>
      <w:r>
        <w:rPr>
          <w:rFonts w:ascii="Times New Roman" w:hAnsi="Times New Roman"/>
          <w:b w:val="false"/>
          <w:i w:val="false"/>
          <w:color w:val="000000"/>
          <w:sz w:val="21"/>
        </w:rPr>
        <w:t xml:space="preserve"> (Notice ARC 4363C, IAB 3/27/19)</w:t>
      </w:r>
      <w:r>
        <w:rPr>
          <w:rFonts w:ascii="Times New Roman" w:hAnsi="Times New Roman"/>
          <w:b w:val="false"/>
          <w:i w:val="false"/>
          <w:color w:val="000000"/>
          <w:sz w:val="21"/>
        </w:rPr>
        <w:t>, IAB 6/5/19, effective 7/10/19]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4928C</w:t>
      </w:r>
      <w:r>
        <w:rPr>
          <w:rFonts w:ascii="Times New Roman" w:hAnsi="Times New Roman"/>
          <w:b w:val="false"/>
          <w:i w:val="false"/>
          <w:color w:val="000000"/>
          <w:sz w:val="21"/>
        </w:rPr>
        <w:t xml:space="preserve"> (Notice ARC 4772C, IAB 11/20/19)</w:t>
      </w:r>
      <w:r>
        <w:rPr>
          <w:rFonts w:ascii="Times New Roman" w:hAnsi="Times New Roman"/>
          <w:b w:val="false"/>
          <w:i w:val="false"/>
          <w:color w:val="000000"/>
          <w:sz w:val="21"/>
        </w:rPr>
        <w:t>, IAB 2/12/20, effective 6/1/20]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5200C</w:t>
      </w:r>
      <w:r>
        <w:rPr>
          <w:rFonts w:ascii="Times New Roman" w:hAnsi="Times New Roman"/>
          <w:b w:val="false"/>
          <w:i w:val="false"/>
          <w:color w:val="000000"/>
          <w:sz w:val="21"/>
        </w:rPr>
        <w:t xml:space="preserve"> (Notice ARC 5082C,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6343C</w:t>
      </w:r>
      <w:r>
        <w:rPr>
          <w:rFonts w:ascii="Times New Roman" w:hAnsi="Times New Roman"/>
          <w:b w:val="false"/>
          <w:i w:val="false"/>
          <w:color w:val="000000"/>
          <w:sz w:val="21"/>
        </w:rPr>
        <w:t xml:space="preserve"> (Notice ARC 6159C, IAB 1/26/22)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8124C</w:t>
      </w:r>
      <w:r>
        <w:rPr>
          <w:rFonts w:ascii="Times New Roman" w:hAnsi="Times New Roman"/>
          <w:b w:val="false"/>
          <w:i w:val="false"/>
          <w:color w:val="000000"/>
          <w:sz w:val="21"/>
        </w:rPr>
        <w:t xml:space="preserve"> (Notice ARC 7360C, IAB 1/24/24)</w:t>
      </w:r>
      <w:r>
        <w:rPr>
          <w:rFonts w:ascii="Times New Roman" w:hAnsi="Times New Roman"/>
          <w:b w:val="false"/>
          <w:i w:val="false"/>
          <w:color w:val="000000"/>
          <w:sz w:val="21"/>
        </w:rPr>
        <w:t>, IAB 7/10/24, effective 8/14/24]</w:t>
      </w:r>
    </w:p>
    <w:p>
      <w:pPr>
        <w:spacing w:before="0" w:after="0"/>
        <w:ind w:left="120"/>
        <w:jc w:val="both"/>
      </w:pPr>
      <w:r>
        <w:rPr>
          <w:rFonts w:ascii="Times New Roman" w:hAnsi="Times New Roman"/>
          <w:b w:val="false"/>
          <w:i w:val="false"/>
          <w:color w:val="000000"/>
          <w:sz w:val="22"/>
        </w:rPr>
        <w:t xml:space="preserve">July 10, 2019, effective date of Items 1, 4, 7, 10, 11, 12, 13, 15, 21, 22, and 24 of </w:t>
      </w:r>
      <w:r>
        <w:rPr>
          <w:rFonts w:ascii="Times New Roman" w:hAnsi="Times New Roman"/>
          <w:b/>
          <w:i w:val="false"/>
          <w:color w:val="000000"/>
          <w:sz w:val="22"/>
        </w:rPr>
        <w:t>ARC 4489C</w:t>
      </w:r>
      <w:r>
        <w:rPr>
          <w:rFonts w:ascii="Times New Roman" w:hAnsi="Times New Roman"/>
          <w:b w:val="false"/>
          <w:i w:val="false"/>
          <w:color w:val="000000"/>
          <w:sz w:val="22"/>
        </w:rPr>
        <w:t xml:space="preserve"> delayed until the adjournment of the 2020 session of the General Assembly by the Administrative Rules Review Committee at its meeting held July 9, 2019.</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4928C</w:t>
      </w:r>
      <w:r>
        <w:rPr>
          <w:rFonts w:ascii="Times New Roman" w:hAnsi="Times New Roman"/>
          <w:b w:val="false"/>
          <w:i w:val="false"/>
          <w:color w:val="000000"/>
          <w:sz w:val="22"/>
        </w:rPr>
        <w:t xml:space="preserve"> was corrected to June 1, 2020, in the March 11, 2020,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4.14A.pdf" Type="http://schemas.openxmlformats.org/officeDocument/2006/relationships/hyperlink" Id="rId5"/>
    <Relationship TargetMode="External" Target="https://www.legis.iowa.gov/docs/ico/chapter/141A.1.pdf" Type="http://schemas.openxmlformats.org/officeDocument/2006/relationships/hyperlink" Id="rId6"/>
    <Relationship TargetMode="External" Target="https://www.legis.iowa.gov/docs/ico/chapter/124E.5.pdf" Type="http://schemas.openxmlformats.org/officeDocument/2006/relationships/hyperlink" Id="rId7"/>
    <Relationship TargetMode="External" Target="https://www.legis.iowa.gov/docs/iac/rule/653.13.15.pdf" Type="http://schemas.openxmlformats.org/officeDocument/2006/relationships/hyperlink" Id="rId8"/>
    <Relationship TargetMode="External" Target="https://www.legis.iowa.gov/docs/ico/chapter/124E.pdf" Type="http://schemas.openxmlformats.org/officeDocument/2006/relationships/hyperlink" Id="rId9"/>
    <Relationship TargetMode="External" Target="https://www.legis.iowa.gov/docs/ico/chapter/124E.pdf" Type="http://schemas.openxmlformats.org/officeDocument/2006/relationships/hyperlink" Id="rId10"/>
    <Relationship TargetMode="External" Target="https://www.legis.iowa.gov/docs/ico/chapter/124E.2.pdf" Type="http://schemas.openxmlformats.org/officeDocument/2006/relationships/hyperlink" Id="rId11"/>
    <Relationship TargetMode="External" Target="https://www.legis.iowa.gov/docs/ico/chapter/124E.2.pdf" Type="http://schemas.openxmlformats.org/officeDocument/2006/relationships/hyperlink" Id="rId12"/>
    <Relationship TargetMode="External" Target="https://www.legis.iowa.gov/docs/ico/chapter/124E.2.pdf" Type="http://schemas.openxmlformats.org/officeDocument/2006/relationships/hyperlink" Id="rId13"/>
    <Relationship TargetMode="External" Target="https://www.legis.iowa.gov/docs/ico/chapter/124E.pdf" Type="http://schemas.openxmlformats.org/officeDocument/2006/relationships/hyperlink" Id="rId14"/>
    <Relationship TargetMode="External" Target="https://www.legis.iowa.gov/docs/ico/chapter/124E.2.pdf" Type="http://schemas.openxmlformats.org/officeDocument/2006/relationships/hyperlink" Id="rId15"/>
    <Relationship TargetMode="External" Target="https://www.legis.iowa.gov/docs/ico/chapter/124E.pdf" Type="http://schemas.openxmlformats.org/officeDocument/2006/relationships/hyperlink" Id="rId16"/>
    <Relationship TargetMode="External" Target="https://www.legis.iowa.gov/docs/ico/chapter/124E.2.pdf" Type="http://schemas.openxmlformats.org/officeDocument/2006/relationships/hyperlink" Id="rId17"/>
    <Relationship TargetMode="External" Target="https://www.legis.iowa.gov/docs/iac/rule/661.277.2.pdf" Type="http://schemas.openxmlformats.org/officeDocument/2006/relationships/hyperlink" Id="rId18"/>
    <Relationship TargetMode="External" Target="https://www.legis.iowa.gov/docs/iac/chapter/641.154.pdf" Type="http://schemas.openxmlformats.org/officeDocument/2006/relationships/hyperlink" Id="rId19"/>
    <Relationship TargetMode="External" Target="https://www.legis.iowa.gov/docs/ico/chapter/124E.3.pdf" Type="http://schemas.openxmlformats.org/officeDocument/2006/relationships/hyperlink" Id="rId20"/>
    <Relationship TargetMode="External" Target="https://www.legis.iowa.gov/docs/ico/chapter/124E.3.pdf" Type="http://schemas.openxmlformats.org/officeDocument/2006/relationships/hyperlink" Id="rId21"/>
    <Relationship TargetMode="External" Target="https://www.legis.iowa.gov/docs/ico/chapter/124E.3.pdf" Type="http://schemas.openxmlformats.org/officeDocument/2006/relationships/hyperlink" Id="rId22"/>
    <Relationship TargetMode="External" Target="https://www.legis.iowa.gov/docs/ico/chapter/124E.pdf" Type="http://schemas.openxmlformats.org/officeDocument/2006/relationships/hyperlink" Id="rId23"/>
    <Relationship TargetMode="External" Target="https://www.legis.iowa.gov/docs/ico/chapter/124E.4.pdf" Type="http://schemas.openxmlformats.org/officeDocument/2006/relationships/hyperlink" Id="rId24"/>
    <Relationship TargetMode="External" Target="https://www.legis.iowa.gov/docs/ico/chapter/124E.pdf" Type="http://schemas.openxmlformats.org/officeDocument/2006/relationships/hyperlink" Id="rId25"/>
    <Relationship TargetMode="External" Target="https://www.legis.iowa.gov/docs/ico/chapter/124E.18.pdf" Type="http://schemas.openxmlformats.org/officeDocument/2006/relationships/hyperlink" Id="rId26"/>
    <Relationship TargetMode="External" Target="https://www.legis.iowa.gov/docs/ico/chapter/124E.4.pdf" Type="http://schemas.openxmlformats.org/officeDocument/2006/relationships/hyperlink" Id="rId27"/>
    <Relationship TargetMode="External" Target="https://www.legis.iowa.gov/docs/ico/chapter/124E.pdf" Type="http://schemas.openxmlformats.org/officeDocument/2006/relationships/hyperlink" Id="rId28"/>
    <Relationship TargetMode="External" Target="https://www.legis.iowa.gov/docs/ico/chapter/124E.pdf" Type="http://schemas.openxmlformats.org/officeDocument/2006/relationships/hyperlink" Id="rId29"/>
    <Relationship TargetMode="External" Target="https://www.legis.iowa.gov/docs/ico/chapter/124E.12.pdf" Type="http://schemas.openxmlformats.org/officeDocument/2006/relationships/hyperlink" Id="rId30"/>
    <Relationship TargetMode="External" Target="https://www.legis.iowa.gov/docs/iac/chapter/441.7.pdf" Type="http://schemas.openxmlformats.org/officeDocument/2006/relationships/hyperlink" Id="rId31"/>
    <Relationship TargetMode="External" Target="https://www.legis.iowa.gov/docs/iac/rule/641.154.5.pdf" Type="http://schemas.openxmlformats.org/officeDocument/2006/relationships/hyperlink" Id="rId32"/>
    <Relationship TargetMode="External" Target="https://www.legis.iowa.gov/docs/ico/chapter/124E.11.pdf" Type="http://schemas.openxmlformats.org/officeDocument/2006/relationships/hyperlink" Id="rId33"/>
    <Relationship TargetMode="External" Target="https://www.legis.iowa.gov/docs/ico/chapter/124E.11.pdf" Type="http://schemas.openxmlformats.org/officeDocument/2006/relationships/hyperlink" Id="rId34"/>
    <Relationship TargetMode="External" Target="https://www.legis.iowa.gov/docs/ico/chapter/124E.4.pdf" Type="http://schemas.openxmlformats.org/officeDocument/2006/relationships/hyperlink" Id="rId35"/>
    <Relationship TargetMode="External" Target="https://www.legis.iowa.gov/docs/ico/chapter/124E.12.pdf" Type="http://schemas.openxmlformats.org/officeDocument/2006/relationships/hyperlink" Id="rId36"/>
    <Relationship TargetMode="External" Target="https://www.legis.iowa.gov/docs/ico/chapter/123.46.pdf" Type="http://schemas.openxmlformats.org/officeDocument/2006/relationships/hyperlink" Id="rId37"/>
    <Relationship TargetMode="External" Target="https://www.legis.iowa.gov/docs/ico/chapter/321J.pdf" Type="http://schemas.openxmlformats.org/officeDocument/2006/relationships/hyperlink" Id="rId38"/>
    <Relationship TargetMode="External" Target="https://www.legis.iowa.gov/docs/ico/chapter/124E.19.pdf" Type="http://schemas.openxmlformats.org/officeDocument/2006/relationships/hyperlink" Id="rId39"/>
    <Relationship TargetMode="External" Target="https://www.legis.iowa.gov/docs/ico/chapter/124E.pdf" Type="http://schemas.openxmlformats.org/officeDocument/2006/relationships/hyperlink" Id="rId40"/>
    <Relationship TargetMode="External" Target="https://www.legis.iowa.gov/docs/ico/chapter/8.2.pdf" Type="http://schemas.openxmlformats.org/officeDocument/2006/relationships/hyperlink" Id="rId41"/>
    <Relationship TargetMode="External" Target="https://www.legis.iowa.gov/docs/ico/chapter/124E.6.pdf" Type="http://schemas.openxmlformats.org/officeDocument/2006/relationships/hyperlink" Id="rId42"/>
    <Relationship TargetMode="External" Target="https://www.legis.iowa.gov/docs/ico/chapter/124E.8.pdf" Type="http://schemas.openxmlformats.org/officeDocument/2006/relationships/hyperlink" Id="rId43"/>
    <Relationship TargetMode="External" Target="https://www.legis.iowa.gov/docs/ico/chapter/124E.pdf" Type="http://schemas.openxmlformats.org/officeDocument/2006/relationships/hyperlink" Id="rId44"/>
    <Relationship TargetMode="External" Target="https://www.legis.iowa.gov/docs/ico/chapter/17A.12.pdf" Type="http://schemas.openxmlformats.org/officeDocument/2006/relationships/hyperlink" Id="rId45"/>
    <Relationship TargetMode="External" Target="https://www.legis.iowa.gov/docs/ico/chapter/17A.18.pdf" Type="http://schemas.openxmlformats.org/officeDocument/2006/relationships/hyperlink" Id="rId46"/>
    <Relationship TargetMode="External" Target="https://www.legis.iowa.gov/docs/iac/chapter/441.7.pdf" Type="http://schemas.openxmlformats.org/officeDocument/2006/relationships/hyperlink" Id="rId47"/>
    <Relationship TargetMode="External" Target="https://www.legis.iowa.gov/docs/ico/chapter/124E.pdf" Type="http://schemas.openxmlformats.org/officeDocument/2006/relationships/hyperlink" Id="rId48"/>
    <Relationship TargetMode="External" Target="https://www.legis.iowa.gov/docs/ico/chapter/204.pdf" Type="http://schemas.openxmlformats.org/officeDocument/2006/relationships/hyperlink" Id="rId49"/>
    <Relationship TargetMode="External" Target="https://www.legis.iowa.gov/docs/iac/chapter/641.156.pdf" Type="http://schemas.openxmlformats.org/officeDocument/2006/relationships/hyperlink" Id="rId50"/>
    <Relationship TargetMode="External" Target="https://www.legis.iowa.gov/docs/ico/chapter/124E.pdf" Type="http://schemas.openxmlformats.org/officeDocument/2006/relationships/hyperlink" Id="rId51"/>
    <Relationship TargetMode="External" Target="https://www.legis.iowa.gov/docs/ico/chapter/124E.7.pdf" Type="http://schemas.openxmlformats.org/officeDocument/2006/relationships/hyperlink" Id="rId52"/>
    <Relationship TargetMode="External" Target="https://www.legis.iowa.gov/docs/ico/chapter/124E.pdf" Type="http://schemas.openxmlformats.org/officeDocument/2006/relationships/hyperlink" Id="rId53"/>
    <Relationship TargetMode="External" Target="https://www.legis.iowa.gov/docs/iac/rule/641.154.22.pdf" Type="http://schemas.openxmlformats.org/officeDocument/2006/relationships/hyperlink" Id="rId54"/>
    <Relationship TargetMode="External" Target="http://hhs.iowa.gov" Type="http://schemas.openxmlformats.org/officeDocument/2006/relationships/hyperlink" Id="rId55"/>
    <Relationship TargetMode="External" Target="https://www.legis.iowa.gov/docs/iac/rule/641.154.47.pdf" Type="http://schemas.openxmlformats.org/officeDocument/2006/relationships/hyperlink" Id="rId56"/>
    <Relationship TargetMode="External" Target="https://www.legis.iowa.gov/docs/iac/rule/641.154.30.pdf" Type="http://schemas.openxmlformats.org/officeDocument/2006/relationships/hyperlink" Id="rId57"/>
    <Relationship TargetMode="External" Target="https://www.legis.iowa.gov/docs/iac/rule/641.154.22.pdf" Type="http://schemas.openxmlformats.org/officeDocument/2006/relationships/hyperlink" Id="rId58"/>
    <Relationship TargetMode="External" Target="https://www.legis.iowa.gov/docs/ico/chapter/124E.pdf" Type="http://schemas.openxmlformats.org/officeDocument/2006/relationships/hyperlink" Id="rId59"/>
    <Relationship TargetMode="External" Target="https://www.legis.iowa.gov/docs/iac/rule/641.154.21.pdf" Type="http://schemas.openxmlformats.org/officeDocument/2006/relationships/hyperlink" Id="rId60"/>
    <Relationship TargetMode="External" Target="https://www.legis.iowa.gov/docs/ico/chapter/124E.7.pdf" Type="http://schemas.openxmlformats.org/officeDocument/2006/relationships/hyperlink" Id="rId61"/>
    <Relationship TargetMode="External" Target="https://www.legis.iowa.gov/docs/iac/rule/641.154.38.pdf" Type="http://schemas.openxmlformats.org/officeDocument/2006/relationships/hyperlink" Id="rId62"/>
    <Relationship TargetMode="External" Target="https://www.legis.iowa.gov/docs/ico/chapter/124E.5.pdf" Type="http://schemas.openxmlformats.org/officeDocument/2006/relationships/hyperlink" Id="rId63"/>
    <Relationship TargetMode="External" Target="https://www.legis.iowa.gov/docs/ico/chapter/124E.5.pdf" Type="http://schemas.openxmlformats.org/officeDocument/2006/relationships/hyperlink" Id="rId64"/>
    <Relationship TargetMode="External" Target="https://www.legis.iowa.gov/docs/ico/chapter/21.pdf" Type="http://schemas.openxmlformats.org/officeDocument/2006/relationships/hyperlink" Id="rId65"/>
    <Relationship TargetMode="External" Target="https://www.legis.iowa.gov/docs/ico/chapter/124E.5.pdf" Type="http://schemas.openxmlformats.org/officeDocument/2006/relationships/hyperlink" Id="rId66"/>
    <Relationship TargetMode="External" Target="https://www.legis.iowa.gov/docs/iac/chapter/441.4.pdf" Type="http://schemas.openxmlformats.org/officeDocument/2006/relationships/hyperlink" Id="rId67"/>
    <Relationship TargetMode="External" Target="http://hhs.iowa.gov" Type="http://schemas.openxmlformats.org/officeDocument/2006/relationships/hyperlink" Id="rId68"/>
    <Relationship TargetMode="External" Target="https://www.legis.iowa.gov/docs/ico/chapter/124E.2.pdf" Type="http://schemas.openxmlformats.org/officeDocument/2006/relationships/hyperlink" Id="rId69"/>
    <Relationship TargetMode="External" Target="https://www.legis.iowa.gov/docs/ico/chapter/124E.pdf" Type="http://schemas.openxmlformats.org/officeDocument/2006/relationships/hyperlink" Id="rId70"/>
    <Relationship TargetMode="External" Target="https://www.legis.iowa.gov/docs/iac/rule/641.154.47.pdf" Type="http://schemas.openxmlformats.org/officeDocument/2006/relationships/hyperlink" Id="rId71"/>
    <Relationship TargetMode="External" Target="https://www.legis.iowa.gov/docs/iac/rule/641.154.50.pdf" Type="http://schemas.openxmlformats.org/officeDocument/2006/relationships/hyperlink" Id="rId72"/>
    <Relationship TargetMode="External" Target="https://www.legis.iowa.gov/docs/iac/rule/641.154.47.pdf" Type="http://schemas.openxmlformats.org/officeDocument/2006/relationships/hyperlink" Id="rId73"/>
    <Relationship TargetMode="External" Target="http://hhs.iowa.gov" Type="http://schemas.openxmlformats.org/officeDocument/2006/relationships/hyperlink" Id="rId74"/>
    <Relationship TargetMode="External" Target="https://www.legis.iowa.gov/docs/iac/rule/641.154.50.pdf" Type="http://schemas.openxmlformats.org/officeDocument/2006/relationships/hyperlink" Id="rId75"/>
    <Relationship TargetMode="External" Target="https://www.legis.iowa.gov/docs/iac/rule/641.154.50.pdf" Type="http://schemas.openxmlformats.org/officeDocument/2006/relationships/hyperlink" Id="rId76"/>
    <Relationship TargetMode="External" Target="http://hhs.iowa.gov" Type="http://schemas.openxmlformats.org/officeDocument/2006/relationships/hyperlink" Id="rId77"/>
    <Relationship TargetMode="External" Target="https://www.legis.iowa.gov/docs/iac/rule/641.154.47.pdf" Type="http://schemas.openxmlformats.org/officeDocument/2006/relationships/hyperlink" Id="rId78"/>
    <Relationship TargetMode="External" Target="https://www.legis.iowa.gov/docs/ico/chapter/124E.pdf" Type="http://schemas.openxmlformats.org/officeDocument/2006/relationships/hyperlink"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