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151</w:t>
      </w:r>
    </w:p>
    <w:p>
      <w:pPr>
        <w:spacing w:before="0" w:after="0"/>
        <w:ind w:left="120"/>
        <w:jc w:val="center"/>
      </w:pPr>
      <w:r>
        <w:rPr>
          <w:rFonts w:ascii="Times New Roman" w:hAnsi="Times New Roman"/>
          <w:b w:val="false"/>
          <w:i w:val="false"/>
          <w:color w:val="000000"/>
          <w:sz w:val="21"/>
        </w:rPr>
        <w:t>TOBACCO USE PREVENTION AND CONTROL</w:t>
      </w:r>
      <w:r>
        <w:br/>
      </w:r>
      <w:r>
        <w:rPr>
          <w:rFonts w:ascii="Times New Roman" w:hAnsi="Times New Roman"/>
          <w:b w:val="false"/>
          <w:i w:val="false"/>
          <w:color w:val="000000"/>
          <w:sz w:val="21"/>
        </w:rPr>
        <w:t>COMMUNITY PARTNERSHIP INITIATIVE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641—151.1</w:t>
      </w:r>
      <w:r>
        <w:rPr>
          <w:rFonts w:ascii="Times New Roman" w:hAnsi="Times New Roman"/>
          <w:b/>
          <w:i w:val="false"/>
          <w:color w:val="000000"/>
          <w:sz w:val="22"/>
        </w:rPr>
        <w:t xml:space="preserve">(142A)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These rules apply to community partnerships established under Iowa Code chapter </w:t>
      </w:r>
      <w:hyperlink r:id="rId5">
        <w:r>
          <w:rPr>
            <w:rStyle w:val="Hyperlink"/>
            <w:rFonts w:ascii="Times New Roman" w:hAnsi="Times New Roman"/>
            <w:b w:val="false"/>
            <w:i w:val="false"/>
            <w:color w:val="000000"/>
            <w:sz w:val="22"/>
          </w:rPr>
          <w:t>142A</w:t>
        </w:r>
      </w:hyperlink>
      <w:r>
        <w:rPr>
          <w:rFonts w:ascii="Times New Roman" w:hAnsi="Times New Roman"/>
          <w:b w:val="false"/>
          <w:i w:val="false"/>
          <w:color w:val="000000"/>
          <w:sz w:val="22"/>
        </w:rPr>
        <w:t xml:space="preserve"> as part of a comprehensive tobacco use prevention and control initiative to reduce tobacco use by youth and pregnant women, to promote compliance by minors and retailers with tobacco sales laws and ordinances, to enhance the capacity of youth to make healthy choices and to foster a social and legal climate in which tobacco use becomes undesirable and unacceptable.</w:t>
      </w:r>
    </w:p>
    <w:p>
      <w:pPr>
        <w:spacing w:before="0" w:after="0"/>
        <w:ind w:left="120"/>
        <w:jc w:val="both"/>
      </w:pPr>
      <w:r>
        <w:rPr>
          <w:rFonts w:ascii="Times New Roman" w:hAnsi="Times New Roman"/>
          <w:b/>
          <w:i w:val="false"/>
          <w:color w:val="000000"/>
          <w:sz w:val="22"/>
        </w:rPr>
        <w:t>641—151.2</w:t>
      </w:r>
      <w:r>
        <w:rPr>
          <w:rFonts w:ascii="Times New Roman" w:hAnsi="Times New Roman"/>
          <w:b/>
          <w:i w:val="false"/>
          <w:color w:val="000000"/>
          <w:sz w:val="22"/>
        </w:rPr>
        <w:t xml:space="preserve">(142A) </w:t>
      </w:r>
      <w:r>
        <w:rPr>
          <w:rFonts w:ascii="Times New Roman" w:hAnsi="Times New Roman"/>
          <w:b/>
          <w:i w:val="false"/>
          <w:color w:val="000000"/>
          <w:sz w:val="22"/>
        </w:rPr>
        <w:t xml:space="preserve">Community partnership areas. </w:t>
      </w:r>
      <w:r>
        <w:rPr>
          <w:rFonts w:ascii="Times New Roman" w:hAnsi="Times New Roman"/>
          <w:b w:val="false"/>
          <w:i w:val="false"/>
          <w:color w:val="000000"/>
          <w:sz w:val="22"/>
        </w:rPr>
        <w:t xml:space="preserve">It is the goal of the commission on tobacco use prevention and control that the entire state be divided into multiple community partnership areas, so that all portions of the state are included in a community partnership area and no portion of the state is without the services of a community partnership. Toward this goal, the commission will encourage formation of community partnership areas that incorporate surrounding communities in a manner that does not isolate any geographic region of the state, and encourages optimal use of resources. In addition to the requirements of Iowa Code section </w:t>
      </w:r>
      <w:hyperlink r:id="rId6">
        <w:r>
          <w:rPr>
            <w:rStyle w:val="Hyperlink"/>
            <w:rFonts w:ascii="Times New Roman" w:hAnsi="Times New Roman"/>
            <w:b w:val="false"/>
            <w:i w:val="false"/>
            <w:color w:val="000000"/>
            <w:sz w:val="22"/>
          </w:rPr>
          <w:t>142A.8(1)</w:t>
        </w:r>
      </w:hyperlink>
      <w:r>
        <w:rPr>
          <w:rFonts w:ascii="Times New Roman" w:hAnsi="Times New Roman"/>
          <w:b w:val="false"/>
          <w:i w:val="false"/>
          <w:color w:val="000000"/>
          <w:sz w:val="22"/>
        </w:rPr>
        <w:t>, a community partnership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151.2(1)</w:t>
      </w:r>
      <w:r>
        <w:rPr>
          <w:rFonts w:ascii="Times New Roman" w:hAnsi="Times New Roman"/>
          <w:b w:val="false"/>
          <w:i w:val="false"/>
          <w:color w:val="000000"/>
          <w:sz w:val="22"/>
        </w:rPr>
        <w:t> </w:t>
      </w:r>
      <w:r>
        <w:rPr>
          <w:rFonts w:ascii="Times New Roman" w:hAnsi="Times New Roman"/>
          <w:b w:val="false"/>
          <w:i w:val="false"/>
          <w:color w:val="000000"/>
          <w:sz w:val="22"/>
        </w:rPr>
        <w:t>Shall be composed of one or more counties, school districts, economic development enterprise zones, or community empowerment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151.2(2)</w:t>
      </w:r>
      <w:r>
        <w:rPr>
          <w:rFonts w:ascii="Times New Roman" w:hAnsi="Times New Roman"/>
          <w:b w:val="false"/>
          <w:i w:val="false"/>
          <w:color w:val="000000"/>
          <w:sz w:val="22"/>
        </w:rPr>
        <w:t> </w:t>
      </w:r>
      <w:r>
        <w:rPr>
          <w:rFonts w:ascii="Times New Roman" w:hAnsi="Times New Roman"/>
          <w:b w:val="false"/>
          <w:i w:val="false"/>
          <w:color w:val="000000"/>
          <w:sz w:val="22"/>
        </w:rPr>
        <w:t>Shall follow existing boundaries of one or more counties, school districts, economic development enterprise zones, or community empowerment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151.2(3)</w:t>
      </w:r>
      <w:r>
        <w:rPr>
          <w:rFonts w:ascii="Times New Roman" w:hAnsi="Times New Roman"/>
          <w:b w:val="false"/>
          <w:i w:val="false"/>
          <w:color w:val="000000"/>
          <w:sz w:val="22"/>
        </w:rPr>
        <w:t> </w:t>
      </w:r>
      <w:r>
        <w:rPr>
          <w:rFonts w:ascii="Times New Roman" w:hAnsi="Times New Roman"/>
          <w:b w:val="false"/>
          <w:i w:val="false"/>
          <w:color w:val="000000"/>
          <w:sz w:val="22"/>
        </w:rPr>
        <w:t>Shall serve a population of at least 4,000, including a minimum school-age population of 500.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151.2(4)</w:t>
      </w:r>
      <w:r>
        <w:rPr>
          <w:rFonts w:ascii="Times New Roman" w:hAnsi="Times New Roman"/>
          <w:b w:val="false"/>
          <w:i w:val="false"/>
          <w:color w:val="000000"/>
          <w:sz w:val="22"/>
        </w:rPr>
        <w:t> </w:t>
      </w:r>
      <w:r>
        <w:rPr>
          <w:rFonts w:ascii="Times New Roman" w:hAnsi="Times New Roman"/>
          <w:b w:val="false"/>
          <w:i w:val="false"/>
          <w:color w:val="000000"/>
          <w:sz w:val="22"/>
        </w:rPr>
        <w:t>Shall serve a minimum geographic area of one county.</w:t>
      </w:r>
    </w:p>
    <w:p>
      <w:pPr>
        <w:spacing w:before="210" w:after="0"/>
        <w:ind w:left="120"/>
        <w:jc w:val="both"/>
      </w:pPr>
      <w:r>
        <w:rPr>
          <w:rFonts w:ascii="Times New Roman" w:hAnsi="Times New Roman"/>
          <w:b/>
          <w:i w:val="false"/>
          <w:color w:val="000000"/>
          <w:sz w:val="22"/>
        </w:rPr>
        <w:t>641—151.3</w:t>
      </w:r>
      <w:r>
        <w:rPr>
          <w:rFonts w:ascii="Times New Roman" w:hAnsi="Times New Roman"/>
          <w:b/>
          <w:i w:val="false"/>
          <w:color w:val="000000"/>
          <w:sz w:val="22"/>
        </w:rPr>
        <w:t xml:space="preserve">(142A) </w:t>
      </w:r>
      <w:r>
        <w:rPr>
          <w:rFonts w:ascii="Times New Roman" w:hAnsi="Times New Roman"/>
          <w:b/>
          <w:i w:val="false"/>
          <w:color w:val="000000"/>
          <w:sz w:val="22"/>
        </w:rPr>
        <w:t xml:space="preserve">Community partnerships. </w:t>
      </w:r>
      <w:r>
        <w:rPr>
          <w:rFonts w:ascii="Times New Roman" w:hAnsi="Times New Roman"/>
          <w:b w:val="false"/>
          <w:i w:val="false"/>
          <w:color w:val="000000"/>
          <w:sz w:val="22"/>
        </w:rPr>
        <w:t>A community partnership is a public agency or nonprofit organization which utilizes broad community involvement and represents a broad coalition of community groups, organizations, and interests. Community partnerships shall promote a wide range of activities that discourage tobacco use and support smoke-free environments. Some of these activities include developing coalitions with local organizations, conducting educational programs and encouraging policies that support tobacco use prevention and cessation.</w:t>
      </w:r>
    </w:p>
    <w:p>
      <w:pPr>
        <w:spacing w:before="0" w:after="0"/>
        <w:ind w:left="120"/>
        <w:jc w:val="both"/>
      </w:pPr>
      <w:r>
        <w:rPr>
          <w:rFonts w:ascii="Times New Roman" w:hAnsi="Times New Roman"/>
          <w:b/>
          <w:i w:val="false"/>
          <w:color w:val="000000"/>
          <w:sz w:val="22"/>
        </w:rPr>
        <w:t>641—151.4</w:t>
      </w:r>
      <w:r>
        <w:rPr>
          <w:rFonts w:ascii="Times New Roman" w:hAnsi="Times New Roman"/>
          <w:b/>
          <w:i w:val="false"/>
          <w:color w:val="000000"/>
          <w:sz w:val="22"/>
        </w:rPr>
        <w:t xml:space="preserve">(142A) </w:t>
      </w:r>
      <w:r>
        <w:rPr>
          <w:rFonts w:ascii="Times New Roman" w:hAnsi="Times New Roman"/>
          <w:b/>
          <w:i w:val="false"/>
          <w:color w:val="000000"/>
          <w:sz w:val="22"/>
        </w:rPr>
        <w:t xml:space="preserve">Application requirements for community partnerships. </w:t>
      </w:r>
      <w:r>
        <w:rPr>
          <w:rFonts w:ascii="Times New Roman" w:hAnsi="Times New Roman"/>
          <w:b w:val="false"/>
          <w:i w:val="false"/>
          <w:color w:val="000000"/>
          <w:sz w:val="22"/>
        </w:rPr>
        <w:t>In order to qualify for funding through the tobacco use prevention and control program, a public agency or nonprofit organization seeking to be designated as a community partnership must apply to, and be approved by, the department of public health. Only one application per community partnership will be accepted. An application must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151.4(1)</w:t>
      </w:r>
      <w:r>
        <w:rPr>
          <w:rFonts w:ascii="Times New Roman" w:hAnsi="Times New Roman"/>
          <w:b w:val="false"/>
          <w:i w:val="false"/>
          <w:color w:val="000000"/>
          <w:sz w:val="22"/>
        </w:rPr>
        <w:t> </w:t>
      </w:r>
      <w:r>
        <w:rPr>
          <w:rFonts w:ascii="Times New Roman" w:hAnsi="Times New Roman"/>
          <w:b w:val="false"/>
          <w:i w:val="false"/>
          <w:color w:val="000000"/>
          <w:sz w:val="22"/>
        </w:rPr>
        <w:t>A description of the community partnership area to be served by the community partnership,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geographic boundaries of the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Population, including both general population and school-age population, of the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151.4(2)</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applicant, including a description of the governing structure of the agency or organization, a table of organization, and the applicant’s mission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151.4(3)</w:t>
      </w:r>
      <w:r>
        <w:rPr>
          <w:rFonts w:ascii="Times New Roman" w:hAnsi="Times New Roman"/>
          <w:b w:val="false"/>
          <w:i w:val="false"/>
          <w:color w:val="000000"/>
          <w:sz w:val="22"/>
        </w:rPr>
        <w:t> </w:t>
      </w:r>
      <w:r>
        <w:rPr>
          <w:rFonts w:ascii="Times New Roman" w:hAnsi="Times New Roman"/>
          <w:b w:val="false"/>
          <w:i w:val="false"/>
          <w:color w:val="000000"/>
          <w:sz w:val="22"/>
        </w:rPr>
        <w:t>A description of the tobacco use prevention and control services currently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151.4(4)</w:t>
      </w:r>
      <w:r>
        <w:rPr>
          <w:rFonts w:ascii="Times New Roman" w:hAnsi="Times New Roman"/>
          <w:b w:val="false"/>
          <w:i w:val="false"/>
          <w:color w:val="000000"/>
          <w:sz w:val="22"/>
        </w:rPr>
        <w:t> </w:t>
      </w:r>
      <w:r>
        <w:rPr>
          <w:rFonts w:ascii="Times New Roman" w:hAnsi="Times New Roman"/>
          <w:b w:val="false"/>
          <w:i w:val="false"/>
          <w:color w:val="000000"/>
          <w:sz w:val="22"/>
        </w:rPr>
        <w:t>A description of the community outreach and educational programming services currently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151.4(5)</w:t>
      </w:r>
      <w:r>
        <w:rPr>
          <w:rFonts w:ascii="Times New Roman" w:hAnsi="Times New Roman"/>
          <w:b w:val="false"/>
          <w:i w:val="false"/>
          <w:color w:val="000000"/>
          <w:sz w:val="22"/>
        </w:rPr>
        <w:t> </w:t>
      </w:r>
      <w:r>
        <w:rPr>
          <w:rFonts w:ascii="Times New Roman" w:hAnsi="Times New Roman"/>
          <w:b w:val="false"/>
          <w:i w:val="false"/>
          <w:color w:val="000000"/>
          <w:sz w:val="22"/>
        </w:rPr>
        <w:t>A description of the number of years the applicant has provided tobacco use prevention and control services and the number of clients served annually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151.4(6)</w:t>
      </w:r>
      <w:r>
        <w:rPr>
          <w:rFonts w:ascii="Times New Roman" w:hAnsi="Times New Roman"/>
          <w:b w:val="false"/>
          <w:i w:val="false"/>
          <w:color w:val="000000"/>
          <w:sz w:val="22"/>
        </w:rPr>
        <w:t> </w:t>
      </w:r>
      <w:r>
        <w:rPr>
          <w:rFonts w:ascii="Times New Roman" w:hAnsi="Times New Roman"/>
          <w:b w:val="false"/>
          <w:i w:val="false"/>
          <w:color w:val="000000"/>
          <w:sz w:val="22"/>
        </w:rPr>
        <w:t>A description of the funds currently received by the applicant which are targeted to provide tobacco use prevention and control services, including the source of funds, the dollar amount, and the period of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151.4(7)</w:t>
      </w:r>
      <w:r>
        <w:rPr>
          <w:rFonts w:ascii="Times New Roman" w:hAnsi="Times New Roman"/>
          <w:b w:val="false"/>
          <w:i w:val="false"/>
          <w:color w:val="000000"/>
          <w:sz w:val="22"/>
        </w:rPr>
        <w:t> </w:t>
      </w:r>
      <w:r>
        <w:rPr>
          <w:rFonts w:ascii="Times New Roman" w:hAnsi="Times New Roman"/>
          <w:b w:val="false"/>
          <w:i w:val="false"/>
          <w:color w:val="000000"/>
          <w:sz w:val="22"/>
        </w:rPr>
        <w:t>A list of the other agencies, organizations, and entities currently providing tobacco use prevention and control services in the proposed community partnership area and a description of the tobacco use prevention and control services currently provided by the other agencies, organizations, or entities;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151.4(8)</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the collaborative efforts the applicant has undertaken with the agencies, organizations, and entities described in subrule </w:t>
      </w:r>
      <w:hyperlink r:id="rId7">
        <w:r>
          <w:rPr>
            <w:rStyle w:val="Hyperlink"/>
            <w:rFonts w:ascii="Times New Roman" w:hAnsi="Times New Roman"/>
            <w:b w:val="false"/>
            <w:i w:val="false"/>
            <w:color w:val="000000"/>
            <w:sz w:val="22"/>
          </w:rPr>
          <w:t>151.4(6)</w:t>
        </w:r>
      </w:hyperlink>
      <w:r>
        <w:rPr>
          <w:rFonts w:ascii="Times New Roman" w:hAnsi="Times New Roman"/>
          <w:b w:val="false"/>
          <w:i w:val="false"/>
          <w:color w:val="000000"/>
          <w:sz w:val="22"/>
        </w:rPr>
        <w:t xml:space="preserve"> and an action plan describing anticipated collaborative efforts during the funding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151.4(9)</w:t>
      </w:r>
      <w:r>
        <w:rPr>
          <w:rFonts w:ascii="Times New Roman" w:hAnsi="Times New Roman"/>
          <w:b w:val="false"/>
          <w:i w:val="false"/>
          <w:color w:val="000000"/>
          <w:sz w:val="22"/>
        </w:rPr>
        <w:t> </w:t>
      </w:r>
      <w:r>
        <w:rPr>
          <w:rFonts w:ascii="Times New Roman" w:hAnsi="Times New Roman"/>
          <w:b w:val="false"/>
          <w:i w:val="false"/>
          <w:color w:val="000000"/>
          <w:sz w:val="22"/>
        </w:rPr>
        <w:t>An assessment of the needs of the community partnership area which incorporates, but is not limited to, the following information for each county in the community partnership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Tobacco-related information from the community health needs assessment and health improvement plan (CHNA and HIP, Healthy Iowans);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Tobacco-related information from the most recent Iowa youth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Relevant data regarding tobacco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Relevant Synar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or data received from other service providers, organizations, or law enforcement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151.4(10)</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how the applicant intends to implement the initiative’s goals described in Iowa Code section </w:t>
      </w:r>
      <w:hyperlink r:id="rId8">
        <w:r>
          <w:rPr>
            <w:rStyle w:val="Hyperlink"/>
            <w:rFonts w:ascii="Times New Roman" w:hAnsi="Times New Roman"/>
            <w:b w:val="false"/>
            <w:i w:val="false"/>
            <w:color w:val="000000"/>
            <w:sz w:val="22"/>
          </w:rPr>
          <w:t>142A.6(2)</w:t>
        </w:r>
      </w:hyperlink>
      <w:r>
        <w:rPr>
          <w:rFonts w:ascii="Times New Roman" w:hAnsi="Times New Roman"/>
          <w:b w:val="false"/>
          <w:i w:val="false"/>
          <w:color w:val="000000"/>
          <w:sz w:val="22"/>
        </w:rPr>
        <w:t xml:space="preserve"> in light of the community needs identified in subrule </w:t>
      </w:r>
      <w:hyperlink r:id="rId9">
        <w:r>
          <w:rPr>
            <w:rStyle w:val="Hyperlink"/>
            <w:rFonts w:ascii="Times New Roman" w:hAnsi="Times New Roman"/>
            <w:b w:val="false"/>
            <w:i w:val="false"/>
            <w:color w:val="000000"/>
            <w:sz w:val="22"/>
          </w:rPr>
          <w:t>151.4(11)</w:t>
        </w:r>
      </w:hyperlink>
      <w:r>
        <w:rPr>
          <w:rFonts w:ascii="Times New Roman" w:hAnsi="Times New Roman"/>
          <w:b w:val="false"/>
          <w:i w:val="false"/>
          <w:color w:val="000000"/>
          <w:sz w:val="22"/>
        </w:rPr>
        <w:t>, including a proposed budget and a description of how performance measures shall be developed and utilized;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151.4(11)</w:t>
      </w:r>
      <w:r>
        <w:rPr>
          <w:rFonts w:ascii="Times New Roman" w:hAnsi="Times New Roman"/>
          <w:b w:val="false"/>
          <w:i w:val="false"/>
          <w:color w:val="000000"/>
          <w:sz w:val="22"/>
        </w:rPr>
        <w:t> </w:t>
      </w:r>
      <w:r>
        <w:rPr>
          <w:rFonts w:ascii="Times New Roman" w:hAnsi="Times New Roman"/>
          <w:b w:val="false"/>
          <w:i w:val="false"/>
          <w:color w:val="000000"/>
          <w:sz w:val="22"/>
        </w:rPr>
        <w:t>Identification of the source and amount of local matching funds, services, or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151.4(12)</w:t>
      </w:r>
      <w:r>
        <w:rPr>
          <w:rFonts w:ascii="Times New Roman" w:hAnsi="Times New Roman"/>
          <w:b w:val="false"/>
          <w:i w:val="false"/>
          <w:color w:val="000000"/>
          <w:sz w:val="22"/>
        </w:rPr>
        <w:t> </w:t>
      </w:r>
      <w:r>
        <w:rPr>
          <w:rFonts w:ascii="Times New Roman" w:hAnsi="Times New Roman"/>
          <w:b w:val="false"/>
          <w:i w:val="false"/>
          <w:color w:val="000000"/>
          <w:sz w:val="22"/>
        </w:rPr>
        <w:t>A description of how youth (aged 5 to 24 years) will be involved in the community partnership.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1225C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641—151.5</w:t>
      </w:r>
      <w:r>
        <w:rPr>
          <w:rFonts w:ascii="Times New Roman" w:hAnsi="Times New Roman"/>
          <w:b/>
          <w:i w:val="false"/>
          <w:color w:val="000000"/>
          <w:sz w:val="22"/>
        </w:rPr>
        <w:t xml:space="preserve">(142A) </w:t>
      </w:r>
      <w:r>
        <w:rPr>
          <w:rFonts w:ascii="Times New Roman" w:hAnsi="Times New Roman"/>
          <w:b/>
          <w:i w:val="false"/>
          <w:color w:val="000000"/>
          <w:sz w:val="22"/>
        </w:rPr>
        <w:t xml:space="preserve">Performance indicators. </w:t>
      </w:r>
      <w:r>
        <w:rPr>
          <w:rFonts w:ascii="Times New Roman" w:hAnsi="Times New Roman"/>
          <w:b w:val="false"/>
          <w:i w:val="false"/>
          <w:color w:val="000000"/>
          <w:sz w:val="22"/>
        </w:rPr>
        <w:t>Periodic reports shall be submitted to the department by the community partnerships. These required reports shall be based on the degree to which the partnerships have achieved goals set out in the application and shall include information such as how many events/meetings were held and how many participants were in attendance.</w:t>
      </w:r>
    </w:p>
    <w:p>
      <w:pPr>
        <w:spacing w:before="0" w:after="0"/>
        <w:ind w:left="120"/>
        <w:jc w:val="both"/>
      </w:pPr>
      <w:r>
        <w:rPr>
          <w:rFonts w:ascii="Times New Roman" w:hAnsi="Times New Roman"/>
          <w:b/>
          <w:i w:val="false"/>
          <w:color w:val="000000"/>
          <w:sz w:val="22"/>
        </w:rPr>
        <w:t>641—151.6</w:t>
      </w:r>
      <w:r>
        <w:rPr>
          <w:rFonts w:ascii="Times New Roman" w:hAnsi="Times New Roman"/>
          <w:b/>
          <w:i w:val="false"/>
          <w:color w:val="000000"/>
          <w:sz w:val="22"/>
        </w:rPr>
        <w:t xml:space="preserve">(142A) </w:t>
      </w:r>
      <w:r>
        <w:rPr>
          <w:rFonts w:ascii="Times New Roman" w:hAnsi="Times New Roman"/>
          <w:b/>
          <w:i w:val="false"/>
          <w:color w:val="000000"/>
          <w:sz w:val="22"/>
        </w:rPr>
        <w:t xml:space="preserve">Application deadline. </w:t>
      </w:r>
      <w:r>
        <w:rPr>
          <w:rFonts w:ascii="Times New Roman" w:hAnsi="Times New Roman"/>
          <w:b w:val="false"/>
          <w:i w:val="false"/>
          <w:color w:val="000000"/>
          <w:sz w:val="22"/>
        </w:rPr>
        <w:t>An applicant seeking to be approved as a community partnership for distribution of funds during the current fiscal year may apply once the RFA/RFP has been posted.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151.6(1)</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12/11/13</w:t>
      </w:r>
      <w:r>
        <w:rPr>
          <w:rFonts w:ascii="Times New Roman" w:hAnsi="Times New Roman"/>
          <w:b w:val="false"/>
          <w:i w:val="false"/>
          <w:color w:val="000000"/>
          <w:sz w:val="22"/>
        </w:rPr>
        <w:t>, effective 1/15/14.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151.6(2)</w:t>
      </w:r>
      <w:r>
        <w:rPr>
          <w:rFonts w:ascii="Times New Roman" w:hAnsi="Times New Roman"/>
          <w:b w:val="false"/>
          <w:i w:val="false"/>
          <w:color w:val="000000"/>
          <w:sz w:val="22"/>
        </w:rPr>
        <w:t> </w:t>
      </w:r>
      <w:r>
        <w:rPr>
          <w:rFonts w:ascii="Times New Roman" w:hAnsi="Times New Roman"/>
          <w:b w:val="false"/>
          <w:i w:val="false"/>
          <w:color w:val="000000"/>
          <w:sz w:val="22"/>
        </w:rPr>
        <w:t xml:space="preserve">Any change in the geographic boundaries of a community partnership area after a community partnership has been approved must be submitted to the tobacco use prevention and control division as a request to amend the application. The request shall describe the boundary change, explain the reason for the boundary change and describe any impact the boundary change will have on the information provided in response to rule </w:t>
      </w:r>
      <w:hyperlink r:id="rId10">
        <w:r>
          <w:rPr>
            <w:rStyle w:val="Hyperlink"/>
            <w:rFonts w:ascii="Times New Roman" w:hAnsi="Times New Roman"/>
            <w:b w:val="false"/>
            <w:i w:val="false"/>
            <w:color w:val="000000"/>
            <w:sz w:val="22"/>
          </w:rPr>
          <w:t>641—151.4(142A)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1225C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641—151.7</w:t>
      </w:r>
      <w:r>
        <w:rPr>
          <w:rFonts w:ascii="Times New Roman" w:hAnsi="Times New Roman"/>
          <w:b/>
          <w:i w:val="false"/>
          <w:color w:val="000000"/>
          <w:sz w:val="22"/>
        </w:rPr>
        <w:t xml:space="preserve">(142A) </w:t>
      </w:r>
      <w:r>
        <w:rPr>
          <w:rFonts w:ascii="Times New Roman" w:hAnsi="Times New Roman"/>
          <w:b/>
          <w:i w:val="false"/>
          <w:color w:val="000000"/>
          <w:sz w:val="22"/>
        </w:rPr>
        <w:t xml:space="preserve">Distribution of funding.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151.7(1)</w:t>
      </w:r>
      <w:r>
        <w:rPr>
          <w:rFonts w:ascii="Times New Roman" w:hAnsi="Times New Roman"/>
          <w:b w:val="false"/>
          <w:i w:val="false"/>
          <w:color w:val="000000"/>
          <w:sz w:val="22"/>
        </w:rPr>
        <w:t> </w:t>
      </w:r>
      <w:r>
        <w:rPr>
          <w:rFonts w:ascii="Times New Roman" w:hAnsi="Times New Roman"/>
          <w:b w:val="false"/>
          <w:i w:val="false"/>
          <w:color w:val="000000"/>
          <w:sz w:val="22"/>
        </w:rPr>
        <w:t>Applications submitted in accordance with these rules will be evaluated by the administrator of the division of tobacco use prevention and control, or the administrator’s designee, to determine whether the application meets the requirements for funding as designated in these rules. The administrator or designee may request additional information from any applicant regarding the content of the application and may condition funding based on an applicant’s submission of additional information or based on an applicant’s willingness to change any term of the application, including geographic boundaries of the community partnership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151.7(2)</w:t>
      </w:r>
      <w:r>
        <w:rPr>
          <w:rFonts w:ascii="Times New Roman" w:hAnsi="Times New Roman"/>
          <w:b w:val="false"/>
          <w:i w:val="false"/>
          <w:color w:val="000000"/>
          <w:sz w:val="22"/>
        </w:rPr>
        <w:t> </w:t>
      </w:r>
      <w:r>
        <w:rPr>
          <w:rFonts w:ascii="Times New Roman" w:hAnsi="Times New Roman"/>
          <w:b w:val="false"/>
          <w:i w:val="false"/>
          <w:color w:val="000000"/>
          <w:sz w:val="22"/>
        </w:rPr>
        <w:t>The department in consultation with the commission shall allocate funding to the community partnerships from the total moneys appropriated to the tobacco use prevention and control initiative. If sufficient funds are available, the department shall distribute the funding allocated to the community partnerships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151.7(3)</w:t>
      </w:r>
      <w:r>
        <w:rPr>
          <w:rFonts w:ascii="Times New Roman" w:hAnsi="Times New Roman"/>
          <w:b w:val="false"/>
          <w:i w:val="false"/>
          <w:color w:val="000000"/>
          <w:sz w:val="22"/>
        </w:rPr>
        <w:t> </w:t>
      </w:r>
      <w:r>
        <w:rPr>
          <w:rFonts w:ascii="Times New Roman" w:hAnsi="Times New Roman"/>
          <w:b w:val="false"/>
          <w:i w:val="false"/>
          <w:color w:val="000000"/>
          <w:sz w:val="22"/>
        </w:rPr>
        <w:t>The department shall fund one community partnership per community partnership area. Funds shall be distributed equitably among the state’s community partnership areas based on general population, school-age population, and designation of county or counties which comprise the community partnership area as a rural county or an urban county as defined by the Office of Management and Budget. Available funds will be distributed under the following formulas, using United States Census Bureau annual population estimates: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Rural counties:</w:t>
      </w:r>
    </w:p>
    <w:p>
      <w:pPr>
        <w:spacing w:before="0" w:after="0"/>
        <w:ind w:left="120"/>
        <w:jc w:val="both"/>
      </w:pPr>
      <w:r>
        <w:rPr>
          <w:rFonts w:ascii="Times New Roman" w:hAnsi="Times New Roman"/>
          <w:b w:val="false"/>
          <w:i w:val="false"/>
          <w:color w:val="000000"/>
          <w:sz w:val="22"/>
        </w:rPr>
        <w:t>$.84 per school-age youth plus an additional $.84 per non-school-age county resident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Urban counties:</w:t>
      </w:r>
    </w:p>
    <w:p>
      <w:pPr>
        <w:spacing w:before="0" w:after="0"/>
        <w:ind w:left="120"/>
        <w:jc w:val="both"/>
      </w:pPr>
      <w:r>
        <w:rPr>
          <w:rFonts w:ascii="Times New Roman" w:hAnsi="Times New Roman"/>
          <w:b w:val="false"/>
          <w:i w:val="false"/>
          <w:color w:val="000000"/>
          <w:sz w:val="22"/>
        </w:rPr>
        <w:t>$.52 per school-age youth plus an additional $.52 per non-school-age county resident; provided that application of the funding formula results in distribution to a community partnership of a minimum amount per county included in each community partnership area as determined annually by the department in consultation with the commission.</w:t>
      </w:r>
    </w:p>
    <w:p>
      <w:pPr>
        <w:spacing w:before="0" w:after="0"/>
        <w:ind w:left="120"/>
        <w:jc w:val="both"/>
      </w:pPr>
      <w:r>
        <w:rPr>
          <w:rFonts w:ascii="Times New Roman" w:hAnsi="Times New Roman"/>
          <w:b w:val="false"/>
          <w:i w:val="false"/>
          <w:color w:val="000000"/>
          <w:sz w:val="22"/>
        </w:rPr>
        <w:t>If application of the funding formula would result in distribution of less than the minimum established amount, the department shall distribute to such community partnership no less than the minimum established amount per county included in the community partnership area.</w:t>
      </w:r>
    </w:p>
    <w:p>
      <w:pPr>
        <w:spacing w:before="0" w:after="0"/>
        <w:ind w:left="120"/>
        <w:jc w:val="both"/>
      </w:pPr>
      <w:r>
        <w:rPr>
          <w:rFonts w:ascii="Times New Roman" w:hAnsi="Times New Roman"/>
          <w:b w:val="false"/>
          <w:i w:val="false"/>
          <w:color w:val="000000"/>
          <w:sz w:val="22"/>
        </w:rPr>
        <w:t>As sufficient funds become available, the department in consultation with the commission may also distribute to community partnerships funds for special or pilot projects within a community partnership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151.7(4)</w:t>
      </w:r>
      <w:r>
        <w:rPr>
          <w:rFonts w:ascii="Times New Roman" w:hAnsi="Times New Roman"/>
          <w:b w:val="false"/>
          <w:i w:val="false"/>
          <w:color w:val="000000"/>
          <w:sz w:val="22"/>
        </w:rPr>
        <w:t> </w:t>
      </w:r>
      <w:r>
        <w:rPr>
          <w:rFonts w:ascii="Times New Roman" w:hAnsi="Times New Roman"/>
          <w:b w:val="false"/>
          <w:i w:val="false"/>
          <w:color w:val="000000"/>
          <w:sz w:val="22"/>
        </w:rPr>
        <w:t>Funding received by a community partnership shall be matched on a one-to-four basis. The match may include in-kind services, office support, or other tangible support or offset of costs.</w:t>
      </w:r>
    </w:p>
    <w:p>
      <w:pPr>
        <w:spacing w:before="0" w:after="0"/>
        <w:ind w:left="120"/>
        <w:jc w:val="both"/>
      </w:pPr>
      <w:r>
        <w:rPr>
          <w:rFonts w:ascii="Times New Roman" w:hAnsi="Times New Roman"/>
          <w:b w:val="false"/>
          <w:i w:val="false"/>
          <w:color w:val="000000"/>
          <w:sz w:val="22"/>
        </w:rPr>
        <w:t>Any offers to assist the applicant in reaching the match must be disclosed to the department in writing. In regard to any cash offers that are declined, the applicant must disclose reasons and rationale as to why these offers were declined.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151.7(5)</w:t>
      </w:r>
      <w:r>
        <w:rPr>
          <w:rFonts w:ascii="Times New Roman" w:hAnsi="Times New Roman"/>
          <w:b w:val="false"/>
          <w:i w:val="false"/>
          <w:color w:val="000000"/>
          <w:sz w:val="22"/>
        </w:rPr>
        <w:t> </w:t>
      </w:r>
      <w:r>
        <w:rPr>
          <w:rFonts w:ascii="Times New Roman" w:hAnsi="Times New Roman"/>
          <w:b w:val="false"/>
          <w:i w:val="false"/>
          <w:color w:val="000000"/>
          <w:sz w:val="22"/>
        </w:rPr>
        <w:t>Prior to receiving funding, a community partnership shall be required to execute a contract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151.7(6)</w:t>
      </w:r>
      <w:r>
        <w:rPr>
          <w:rFonts w:ascii="Times New Roman" w:hAnsi="Times New Roman"/>
          <w:b w:val="false"/>
          <w:i w:val="false"/>
          <w:color w:val="000000"/>
          <w:sz w:val="22"/>
        </w:rPr>
        <w:t> </w:t>
      </w:r>
      <w:r>
        <w:rPr>
          <w:rFonts w:ascii="Times New Roman" w:hAnsi="Times New Roman"/>
          <w:b w:val="false"/>
          <w:i w:val="false"/>
          <w:color w:val="000000"/>
          <w:sz w:val="22"/>
        </w:rPr>
        <w:t>Funding may be denied on grounds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from more than one entity have been received covering the same, or portions of the same, geographic area and another application more closely satisfies application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is incomplete, untimely, or includes misleading or inaccurate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Program funds are no longer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Local matching funds, services, or support is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refuses to execute a contract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applicant fails to comply with the statute or administrative rules governing this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1225C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641—151.8</w:t>
      </w:r>
      <w:r>
        <w:rPr>
          <w:rFonts w:ascii="Times New Roman" w:hAnsi="Times New Roman"/>
          <w:b/>
          <w:i w:val="false"/>
          <w:color w:val="000000"/>
          <w:sz w:val="22"/>
        </w:rPr>
        <w:t xml:space="preserve">(142A) </w:t>
      </w:r>
      <w:r>
        <w:rPr>
          <w:rFonts w:ascii="Times New Roman" w:hAnsi="Times New Roman"/>
          <w:b/>
          <w:i w:val="false"/>
          <w:color w:val="000000"/>
          <w:sz w:val="22"/>
        </w:rPr>
        <w:t xml:space="preserve">Gifts. </w:t>
      </w:r>
      <w:r>
        <w:rPr>
          <w:rFonts w:ascii="Times New Roman" w:hAnsi="Times New Roman"/>
          <w:b w:val="false"/>
          <w:i w:val="false"/>
          <w:color w:val="000000"/>
          <w:sz w:val="22"/>
        </w:rPr>
        <w:t>The commission shall solicit and accept gifts of money or services or property from governmental or private sources for use in support of the comprehensive tobacco use prevention and control initiative.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151.8(1)</w:t>
      </w:r>
      <w:r>
        <w:rPr>
          <w:rFonts w:ascii="Times New Roman" w:hAnsi="Times New Roman"/>
          <w:b w:val="false"/>
          <w:i w:val="false"/>
          <w:color w:val="000000"/>
          <w:sz w:val="22"/>
        </w:rPr>
        <w:t> </w:t>
      </w:r>
      <w:r>
        <w:rPr>
          <w:rFonts w:ascii="Times New Roman" w:hAnsi="Times New Roman"/>
          <w:b w:val="false"/>
          <w:i w:val="false"/>
          <w:color w:val="000000"/>
          <w:sz w:val="22"/>
        </w:rPr>
        <w:t>The commission shall not accept gifts of money or services or property from a manufacturer of tobacco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gift means a rendering of anything of value in return for which legal consideration of equal or greater value is not given and received. A gift does not include funds deposited by any manufacturer of tobacco products into the tobacco settlement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manufacturer of tobacco products means every person who ships cigarettes or other tobacco products as defined in Iowa Code section </w:t>
      </w:r>
      <w:hyperlink r:id="rId11">
        <w:r>
          <w:rPr>
            <w:rStyle w:val="Hyperlink"/>
            <w:rFonts w:ascii="Times New Roman" w:hAnsi="Times New Roman"/>
            <w:b w:val="false"/>
            <w:i w:val="false"/>
            <w:color w:val="000000"/>
            <w:sz w:val="22"/>
          </w:rPr>
          <w:t>453A.1</w:t>
        </w:r>
      </w:hyperlink>
      <w:r>
        <w:rPr>
          <w:rFonts w:ascii="Times New Roman" w:hAnsi="Times New Roman"/>
          <w:b w:val="false"/>
          <w:i w:val="false"/>
          <w:color w:val="000000"/>
          <w:sz w:val="22"/>
        </w:rPr>
        <w:t xml:space="preserve"> into this state from outside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151.8(2)</w:t>
      </w:r>
      <w:r>
        <w:rPr>
          <w:rFonts w:ascii="Times New Roman" w:hAnsi="Times New Roman"/>
          <w:b w:val="false"/>
          <w:i w:val="false"/>
          <w:color w:val="000000"/>
          <w:sz w:val="22"/>
        </w:rPr>
        <w:t> </w:t>
      </w:r>
      <w:r>
        <w:rPr>
          <w:rFonts w:ascii="Times New Roman" w:hAnsi="Times New Roman"/>
          <w:b w:val="false"/>
          <w:i w:val="false"/>
          <w:color w:val="000000"/>
          <w:sz w:val="22"/>
        </w:rPr>
        <w:t>The commission shall not accept a gift of money or services or property from a corporation or other private legal entity which is controlled by a manufacturer of tobacco products. A manufacturer of tobacco products controls a corporation or other private legal entity when the manufacturer possesses, directly or indirectly, the power to direct or cause the direction of the management and policies of a corporation or other private legal entity, whether through the ownership of voting rights, by contract, or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151.8(3)</w:t>
      </w:r>
      <w:r>
        <w:rPr>
          <w:rFonts w:ascii="Times New Roman" w:hAnsi="Times New Roman"/>
          <w:b w:val="false"/>
          <w:i w:val="false"/>
          <w:color w:val="000000"/>
          <w:sz w:val="22"/>
        </w:rPr>
        <w:t> </w:t>
      </w:r>
      <w:r>
        <w:rPr>
          <w:rFonts w:ascii="Times New Roman" w:hAnsi="Times New Roman"/>
          <w:b w:val="false"/>
          <w:i w:val="false"/>
          <w:color w:val="000000"/>
          <w:sz w:val="22"/>
        </w:rPr>
        <w:t>The commission may not accept a gift of money or services or property from a corporation or other private legal entity in which a manufacturer of tobacco products has a noncontrolling interest. A manufacturer of tobacco products has a noncontrolling interest in a corporation or other private legal entity when the manufacturer has a commercial contract for goods or nonmanagement services, or holds the power to vote, or holds proxies representing less than 10 percent of the voting rights of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151.8(4)</w:t>
      </w:r>
      <w:r>
        <w:rPr>
          <w:rFonts w:ascii="Times New Roman" w:hAnsi="Times New Roman"/>
          <w:b w:val="false"/>
          <w:i w:val="false"/>
          <w:color w:val="000000"/>
          <w:sz w:val="22"/>
        </w:rPr>
        <w:t> </w:t>
      </w:r>
      <w:r>
        <w:rPr>
          <w:rFonts w:ascii="Times New Roman" w:hAnsi="Times New Roman"/>
          <w:b w:val="false"/>
          <w:i w:val="false"/>
          <w:color w:val="000000"/>
          <w:sz w:val="22"/>
        </w:rPr>
        <w:t>The commission, in its discretion, may require any corporation or other private legal entity from which it solicits, or which offers to it, a gift of money or services or property for use in support of the comprehensive tobacco use prevention and control initiative to submit a statement describing the relationship, if any, between the corporation or other private legal entity and a manufacturer of tobacco products.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151.8(5)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commission accepts a gift from a corporation or other private legal entity under the circumstances described in subrule </w:t>
      </w:r>
      <w:hyperlink r:id="rId12">
        <w:r>
          <w:rPr>
            <w:rStyle w:val="Hyperlink"/>
            <w:rFonts w:ascii="Times New Roman" w:hAnsi="Times New Roman"/>
            <w:b w:val="false"/>
            <w:i w:val="false"/>
            <w:color w:val="000000"/>
            <w:sz w:val="22"/>
          </w:rPr>
          <w:t>151.8(3)</w:t>
        </w:r>
      </w:hyperlink>
      <w:r>
        <w:rPr>
          <w:rFonts w:ascii="Times New Roman" w:hAnsi="Times New Roman"/>
          <w:b w:val="false"/>
          <w:i w:val="false"/>
          <w:color w:val="000000"/>
          <w:sz w:val="22"/>
        </w:rPr>
        <w:t>, the commission may require the gift to be contingent on a waiver by the manufacturer of tobacco products of any right to advertise with regard to, claim responsibility for, or otherwise publicize the gift.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3">
        <w:r>
          <w:rPr>
            <w:rStyle w:val="Hyperlink"/>
            <w:rFonts w:ascii="Times New Roman" w:hAnsi="Times New Roman"/>
            <w:b w:val="false"/>
            <w:i w:val="false"/>
            <w:color w:val="000000"/>
            <w:sz w:val="22"/>
          </w:rPr>
          <w:t>142A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10/13/00—published 11/1/00, effective 10/13/00]</w:t>
      </w:r>
    </w:p>
    <w:p>
      <w:pPr>
        <w:spacing w:before="0" w:after="0"/>
        <w:ind w:left="120"/>
        <w:jc w:val="center"/>
      </w:pPr>
      <w:r>
        <w:rPr>
          <w:rFonts w:ascii="Times New Roman" w:hAnsi="Times New Roman"/>
          <w:b w:val="false"/>
          <w:i w:val="false"/>
          <w:color w:val="000000"/>
          <w:sz w:val="21"/>
        </w:rPr>
        <w:t>[Filed emergency 5/25/01—published 6/13/01, effective 5/25/01]</w:t>
      </w:r>
    </w:p>
    <w:p>
      <w:pPr>
        <w:spacing w:before="0" w:after="0"/>
        <w:ind w:left="120"/>
        <w:jc w:val="center"/>
      </w:pPr>
      <w:r>
        <w:rPr>
          <w:rFonts w:ascii="Times New Roman" w:hAnsi="Times New Roman"/>
          <w:b w:val="false"/>
          <w:i w:val="false"/>
          <w:color w:val="000000"/>
          <w:sz w:val="21"/>
        </w:rPr>
        <w:t>[Filed ARC 1225C</w:t>
      </w:r>
      <w:r>
        <w:rPr>
          <w:rFonts w:ascii="Times New Roman" w:hAnsi="Times New Roman"/>
          <w:b w:val="false"/>
          <w:i w:val="false"/>
          <w:color w:val="000000"/>
          <w:sz w:val="21"/>
        </w:rPr>
        <w:t xml:space="preserve"> (Notice ARC 0973C, IAB 8/21/13)</w:t>
      </w:r>
      <w:r>
        <w:rPr>
          <w:rFonts w:ascii="Times New Roman" w:hAnsi="Times New Roman"/>
          <w:b w:val="false"/>
          <w:i w:val="false"/>
          <w:color w:val="000000"/>
          <w:sz w:val="21"/>
        </w:rPr>
        <w:t>, IAB 12/11/13, effective 1/15/14]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2A.pdf" Type="http://schemas.openxmlformats.org/officeDocument/2006/relationships/hyperlink" Id="rId5"/>
    <Relationship TargetMode="External" Target="https://www.legis.iowa.gov/docs/ico/chapter/142A.8.pdf" Type="http://schemas.openxmlformats.org/officeDocument/2006/relationships/hyperlink" Id="rId6"/>
    <Relationship TargetMode="External" Target="https://www.legis.iowa.gov/docs/iac/rule/641.151.4.pdf" Type="http://schemas.openxmlformats.org/officeDocument/2006/relationships/hyperlink" Id="rId7"/>
    <Relationship TargetMode="External" Target="https://www.legis.iowa.gov/docs/ico/chapter/142A.6.pdf" Type="http://schemas.openxmlformats.org/officeDocument/2006/relationships/hyperlink" Id="rId8"/>
    <Relationship TargetMode="External" Target="https://www.legis.iowa.gov/docs/iac/rule/641.151.4.pdf" Type="http://schemas.openxmlformats.org/officeDocument/2006/relationships/hyperlink" Id="rId9"/>
    <Relationship TargetMode="External" Target="https://www.legis.iowa.gov/docs/iac/rule/641.151.4.pdf" Type="http://schemas.openxmlformats.org/officeDocument/2006/relationships/hyperlink" Id="rId10"/>
    <Relationship TargetMode="External" Target="https://www.legis.iowa.gov/docs/ico/chapter/453A.1.pdf" Type="http://schemas.openxmlformats.org/officeDocument/2006/relationships/hyperlink" Id="rId11"/>
    <Relationship TargetMode="External" Target="https://www.legis.iowa.gov/docs/iac/rule/641.151.8.pdf" Type="http://schemas.openxmlformats.org/officeDocument/2006/relationships/hyperlink" Id="rId12"/>
    <Relationship TargetMode="External" Target="https://www.legis.iowa.gov/docs/ico/chapter/142A.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