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OUT-OF-HOSPITAL DO-NOT-RESUSCITATE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641—142.1</w:t>
      </w:r>
      <w:r>
        <w:rPr>
          <w:rFonts w:ascii="Times New Roman" w:hAnsi="Times New Roman"/>
          <w:b/>
          <w:i w:val="false"/>
          <w:color w:val="000000"/>
          <w:sz w:val="22"/>
        </w:rPr>
        <w:t xml:space="preserve">(144A)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physician” </w:t>
      </w:r>
      <w:r>
        <w:rPr>
          <w:rFonts w:ascii="Times New Roman" w:hAnsi="Times New Roman"/>
          <w:b w:val="false"/>
          <w:i w:val="false"/>
          <w:color w:val="000000"/>
          <w:sz w:val="22"/>
        </w:rPr>
        <w:t>means a physician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physician assistant” </w:t>
      </w:r>
      <w:r>
        <w:rPr>
          <w:rFonts w:ascii="Times New Roman" w:hAnsi="Times New Roman"/>
          <w:b w:val="false"/>
          <w:i w:val="false"/>
          <w:color w:val="000000"/>
          <w:sz w:val="22"/>
        </w:rPr>
        <w:t>means the physician assistant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“Comfort care” </w:t>
      </w:r>
      <w:r>
        <w:rPr>
          <w:rFonts w:ascii="Times New Roman" w:hAnsi="Times New Roman"/>
          <w:b w:val="false"/>
          <w:i w:val="false"/>
          <w:color w:val="000000"/>
          <w:sz w:val="22"/>
        </w:rPr>
        <w:t>means care within the scope of the health care provider’s training and certification to alleviate pain and suffering but does not include resuscitative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means such medical procedures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intravenous solutions.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Intubation.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Performance of cardiac defibrillation and synchronized cardioversion.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Administration of emergency drugs as provided by rule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medical procedure approved by the department, by rule, as appropriate to be performed by emergency medical care providers who have been certified in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provider” </w:t>
      </w:r>
      <w:r>
        <w:rPr>
          <w:rFonts w:ascii="Times New Roman" w:hAnsi="Times New Roman"/>
          <w:b w:val="false"/>
          <w:i w:val="false"/>
          <w:color w:val="000000"/>
          <w:sz w:val="22"/>
        </w:rPr>
        <w:t xml:space="preserve">means an emergency medical care provider as defined in Iowa Code section </w:t>
      </w:r>
      <w:hyperlink r:id="rId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person, including an emergency medical care provider, who is licensed, certified, or otherwise authorized or permitted by the law of this state to administer health care in the ordinary course of business or in the practice of a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section </w:t>
      </w:r>
      <w:hyperlink r:id="rId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“Life-sustaining procedure” </w:t>
      </w:r>
      <w:r>
        <w:rPr>
          <w:rFonts w:ascii="Times New Roman" w:hAnsi="Times New Roman"/>
          <w:b w:val="false"/>
          <w:i w:val="false"/>
          <w:color w:val="000000"/>
          <w:sz w:val="22"/>
        </w:rPr>
        <w:t>means 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or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any physician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medical direction” </w:t>
      </w:r>
      <w:r>
        <w:rPr>
          <w:rFonts w:ascii="Times New Roman" w:hAnsi="Times New Roman"/>
          <w:b w:val="false"/>
          <w:i w:val="false"/>
          <w:color w:val="000000"/>
          <w:sz w:val="22"/>
        </w:rPr>
        <w:t>means immediate medical direction provided directly to service program emergency medical care providers, in accordance with written parameters and protocols, by the medical director or supervising physician, either on scene or by any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identifier”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identifier” </w:t>
      </w:r>
      <w:r>
        <w:rPr>
          <w:rFonts w:ascii="Times New Roman" w:hAnsi="Times New Roman"/>
          <w:b w:val="false"/>
          <w:i w:val="false"/>
          <w:color w:val="000000"/>
          <w:sz w:val="22"/>
        </w:rPr>
        <w:t>means a durable yet easily removable unique identification approved by the department and worn by a patient who has an out-of-hospital do-not-resuscitate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order”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order” </w:t>
      </w:r>
      <w:r>
        <w:rPr>
          <w:rFonts w:ascii="Times New Roman" w:hAnsi="Times New Roman"/>
          <w:b w:val="false"/>
          <w:i w:val="false"/>
          <w:color w:val="000000"/>
          <w:sz w:val="22"/>
        </w:rPr>
        <w:t xml:space="preserve">means a written order on a form approved by the department, signed by an attending physician, executed in accordance with the requirements of Iowa Code section </w:t>
      </w:r>
      <w:hyperlink r:id="rId8">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issued consistent with Iowa Code section </w:t>
      </w:r>
      <w:hyperlink r:id="rId9">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 that directs the withholding or withdrawal of resuscitation when an adult patient in a terminal condition is outside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protocol”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means the statewide protocol approved by the department and intended to avoid unwarranted resuscitation by emergency medical care providers when a valid out-of-hospital do-not-resuscitate order or identifier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any individual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patient” </w:t>
      </w:r>
      <w:r>
        <w:rPr>
          <w:rFonts w:ascii="Times New Roman" w:hAnsi="Times New Roman"/>
          <w:b w:val="false"/>
          <w:i w:val="false"/>
          <w:color w:val="000000"/>
          <w:sz w:val="22"/>
        </w:rPr>
        <w:t xml:space="preserve">means any patient who is an adult as defined in Iowa Code section </w:t>
      </w:r>
      <w:hyperlink r:id="rId12">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“Resuscitation” </w:t>
      </w:r>
      <w:r>
        <w:rPr>
          <w:rFonts w:ascii="Times New Roman" w:hAnsi="Times New Roman"/>
          <w:b w:val="false"/>
          <w:i w:val="false"/>
          <w:color w:val="000000"/>
          <w:sz w:val="22"/>
        </w:rPr>
        <w:t>means 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 xml:space="preserve">means any physician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condition” </w:t>
      </w:r>
      <w:r>
        <w:rPr>
          <w:rFonts w:ascii="Times New Roman" w:hAnsi="Times New Roman"/>
          <w:b w:val="false"/>
          <w:i w:val="false"/>
          <w:color w:val="000000"/>
          <w:sz w:val="22"/>
        </w:rPr>
        <w:t>means 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641—142.2</w:t>
      </w:r>
      <w:r>
        <w:rPr>
          <w:rFonts w:ascii="Times New Roman" w:hAnsi="Times New Roman"/>
          <w:b/>
          <w:i w:val="false"/>
          <w:color w:val="000000"/>
          <w:sz w:val="22"/>
        </w:rPr>
        <w:t xml:space="preserve">(144A,147A) </w:t>
      </w:r>
      <w:r>
        <w:rPr>
          <w:rFonts w:ascii="Times New Roman" w:hAnsi="Times New Roman"/>
          <w:b/>
          <w:i w:val="false"/>
          <w:color w:val="000000"/>
          <w:sz w:val="22"/>
        </w:rPr>
        <w:t xml:space="preserve">Responsibilities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color w:val="000000"/>
          <w:sz w:val="22"/>
        </w:rPr>
        <w:t xml:space="preserve">OOH DNR physician or physician assistant order. </w:t>
      </w:r>
      <w:r>
        <w:rPr>
          <w:rFonts w:ascii="Times New Roman" w:hAnsi="Times New Roman"/>
          <w:b w:val="false"/>
          <w:i w:val="false"/>
          <w:color w:val="000000"/>
          <w:sz w:val="22"/>
        </w:rPr>
        <w:t>The department designates the OOH DNR order form contained in Appendix A as the uniform OOH DNR order form to be used statewide. If an attending physician or attending physician assistant issues an OOH DNR order for a qualified patient, the physician or physician assistant must use the form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color w:val="000000"/>
          <w:sz w:val="22"/>
        </w:rPr>
        <w:t xml:space="preserve">OOH DNR personal identifier. </w:t>
      </w:r>
      <w:r>
        <w:rPr>
          <w:rFonts w:ascii="Times New Roman" w:hAnsi="Times New Roman"/>
          <w:b w:val="false"/>
          <w:i w:val="false"/>
          <w:color w:val="000000"/>
          <w:sz w:val="22"/>
        </w:rPr>
        <w:t>The department designates the identifier supplied by MedicAlert® as the uniform personal identifier to be used for mobile qualified patients statewide. Instructions for obtaining a uniform personal identifier are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The department designates the OOH DNR protocol contained in Appendix B as the uniform protocol to be used by EMS providers in implementing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142.2(4)</w:t>
      </w:r>
      <w:r>
        <w:rPr>
          <w:rFonts w:ascii="Times New Roman" w:hAnsi="Times New Roman"/>
          <w:b w:val="false"/>
          <w:i w:val="false"/>
          <w:color w:val="000000"/>
          <w:sz w:val="22"/>
        </w:rPr>
        <w:t> </w:t>
      </w:r>
      <w:r>
        <w:rPr>
          <w:rFonts w:ascii="Times New Roman" w:hAnsi="Times New Roman"/>
          <w:b w:val="false"/>
          <w:i/>
          <w:color w:val="000000"/>
          <w:sz w:val="22"/>
        </w:rPr>
        <w:t xml:space="preserve">Appendix A and Appendix B forms. </w:t>
      </w:r>
      <w:r>
        <w:rPr>
          <w:rFonts w:ascii="Times New Roman" w:hAnsi="Times New Roman"/>
          <w:b w:val="false"/>
          <w:i w:val="false"/>
          <w:color w:val="000000"/>
          <w:sz w:val="22"/>
        </w:rPr>
        <w:t xml:space="preserve">Forms referenced in subrules </w:t>
      </w:r>
      <w:hyperlink r:id="rId15">
        <w:r>
          <w:rPr>
            <w:rStyle w:val="Hyperlink"/>
            <w:rFonts w:ascii="Times New Roman" w:hAnsi="Times New Roman"/>
            <w:b w:val="false"/>
            <w:i w:val="false"/>
            <w:color w:val="000000"/>
            <w:sz w:val="22"/>
          </w:rPr>
          <w:t>142.3(1)</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142.3(3)</w:t>
        </w:r>
      </w:hyperlink>
      <w:r>
        <w:rPr>
          <w:rFonts w:ascii="Times New Roman" w:hAnsi="Times New Roman"/>
          <w:b w:val="false"/>
          <w:i w:val="false"/>
          <w:color w:val="000000"/>
          <w:sz w:val="22"/>
        </w:rPr>
        <w:t xml:space="preserve"> are available through the department’s website or by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641—142.3</w:t>
      </w:r>
      <w:r>
        <w:rPr>
          <w:rFonts w:ascii="Times New Roman" w:hAnsi="Times New Roman"/>
          <w:b/>
          <w:i w:val="false"/>
          <w:color w:val="000000"/>
          <w:sz w:val="22"/>
        </w:rPr>
        <w:t xml:space="preserve">(144A,147A) </w:t>
      </w:r>
      <w:r>
        <w:rPr>
          <w:rFonts w:ascii="Times New Roman" w:hAnsi="Times New Roman"/>
          <w:b/>
          <w:i w:val="false"/>
          <w:color w:val="000000"/>
          <w:sz w:val="22"/>
        </w:rPr>
        <w:t xml:space="preserve">EMS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142.3(1)</w:t>
      </w:r>
      <w:r>
        <w:rPr>
          <w:rFonts w:ascii="Times New Roman" w:hAnsi="Times New Roman"/>
          <w:b w:val="false"/>
          <w:i w:val="false"/>
          <w:color w:val="000000"/>
          <w:sz w:val="22"/>
        </w:rPr>
        <w:t> </w:t>
      </w:r>
      <w:r>
        <w:rPr>
          <w:rFonts w:ascii="Times New Roman" w:hAnsi="Times New Roman"/>
          <w:b w:val="false"/>
          <w:i/>
          <w:color w:val="000000"/>
          <w:sz w:val="22"/>
        </w:rPr>
        <w:t xml:space="preserve">Uniform protocol. </w:t>
      </w:r>
      <w:r>
        <w:rPr>
          <w:rFonts w:ascii="Times New Roman" w:hAnsi="Times New Roman"/>
          <w:b w:val="false"/>
          <w:i w:val="false"/>
          <w:color w:val="000000"/>
          <w:sz w:val="22"/>
        </w:rPr>
        <w:t xml:space="preserve">EMS providers shall act in accordance with the department’s OOH DNR protocol when implementing an OOH DNR order. EMS service programs shall incorporate the OOH DNR protocol as part of their service protocols and, using educational materials consistent with the curriculum developed and approved by the department, shall inform and educate EMS providers on the protocol’s requirements as well as the requirements of Iowa Code chapter </w:t>
      </w:r>
      <w:hyperlink r:id="rId17">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the EMS provider. </w:t>
      </w:r>
      <w:r>
        <w:rPr>
          <w:rFonts w:ascii="Times New Roman" w:hAnsi="Times New Roman"/>
          <w:b w:val="false"/>
          <w:i w:val="false"/>
          <w:color w:val="000000"/>
          <w:sz w:val="22"/>
        </w:rPr>
        <w:t>The EMS provider responding outside a hospital as a member of 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 the OOH DNR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on-line medical direction for further instructions as necessary to provide 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EMS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641—142.4</w:t>
      </w:r>
      <w:r>
        <w:rPr>
          <w:rFonts w:ascii="Times New Roman" w:hAnsi="Times New Roman"/>
          <w:b/>
          <w:i w:val="false"/>
          <w:color w:val="000000"/>
          <w:sz w:val="22"/>
        </w:rPr>
        <w:t xml:space="preserve">(144A) </w:t>
      </w:r>
      <w:r>
        <w:rPr>
          <w:rFonts w:ascii="Times New Roman" w:hAnsi="Times New Roman"/>
          <w:b/>
          <w:i w:val="false"/>
          <w:color w:val="000000"/>
          <w:sz w:val="22"/>
        </w:rPr>
        <w:t xml:space="preserve">Guidelines for non-EMS health care providers, patients, and organizations. </w:t>
      </w:r>
      <w:r>
        <w:rPr>
          <w:rFonts w:ascii="Times New Roman" w:hAnsi="Times New Roman"/>
          <w:b w:val="false"/>
          <w:i w:val="false"/>
          <w:color w:val="000000"/>
          <w:sz w:val="22"/>
        </w:rPr>
        <w:t xml:space="preserve">In order to encourage understanding and implementation of OOH DNR orders and protocols throughout Iowa and honor a qualified patient’s wishes and intent regarding the provision of life-sustaining procedures in an out-of-hospital setting consistent with the requirements of Iowa Code chapter </w:t>
      </w:r>
      <w:hyperlink r:id="rId18">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the following guidelines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142.4(1)</w:t>
      </w:r>
      <w:r>
        <w:rPr>
          <w:rFonts w:ascii="Times New Roman" w:hAnsi="Times New Roman"/>
          <w:b w:val="false"/>
          <w:i w:val="false"/>
          <w:color w:val="000000"/>
          <w:sz w:val="22"/>
        </w:rPr>
        <w:t> </w:t>
      </w:r>
      <w:r>
        <w:rPr>
          <w:rFonts w:ascii="Times New Roman" w:hAnsi="Times New Roman"/>
          <w:b w:val="false"/>
          <w:i/>
          <w:color w:val="000000"/>
          <w:sz w:val="22"/>
        </w:rPr>
        <w:t xml:space="preserve">Attending physicians or attending physician assistants who issue OOH DNR orders. </w:t>
      </w:r>
      <w:r>
        <w:rPr>
          <w:rFonts w:ascii="Times New Roman" w:hAnsi="Times New Roman"/>
          <w:b w:val="false"/>
          <w:i w:val="false"/>
          <w:color w:val="000000"/>
          <w:sz w:val="22"/>
        </w:rPr>
        <w:t>The attending physician or attending physician assistant should ensure that the following are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that the patient is qualified because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Explain to the patient or the individual legally authorized to act on the patient’s behalf the implications of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qualified patient or individual legally authorized to act on the patient’s behalf decides that the patient should not be resuscitated, the attending physician or attending physician assistant may issue the OOH DNR order on the prescribed uniform order form. The order will direct health care providers to withhold or withdraw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to the qualified patient or the individual legally authorized to act on the patient’s behalf how the OOH DNR order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copy of the order in the qualified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 copy of the order to the qualified patient or the individual legally authorized to act on the patient’s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142.4(2)</w:t>
      </w:r>
      <w:r>
        <w:rPr>
          <w:rFonts w:ascii="Times New Roman" w:hAnsi="Times New Roman"/>
          <w:b w:val="false"/>
          <w:i w:val="false"/>
          <w:color w:val="000000"/>
          <w:sz w:val="22"/>
        </w:rPr>
        <w:t> </w:t>
      </w:r>
      <w:r>
        <w:rPr>
          <w:rFonts w:ascii="Times New Roman" w:hAnsi="Times New Roman"/>
          <w:b w:val="false"/>
          <w:i/>
          <w:color w:val="000000"/>
          <w:sz w:val="22"/>
        </w:rPr>
        <w:t xml:space="preserve">Qualified patients or legally authorized persons. </w:t>
      </w:r>
      <w:r>
        <w:rPr>
          <w:rFonts w:ascii="Times New Roman" w:hAnsi="Times New Roman"/>
          <w:b w:val="false"/>
          <w:i w:val="false"/>
          <w:color w:val="000000"/>
          <w:sz w:val="22"/>
        </w:rPr>
        <w:t>A qualified patient or a person legally authorized to act on a qualified patient’s behalf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an informed decision concerning resuscitation in the face of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qualified patient’s family members are aware of this decision and inform them of the location of the OOH DNR order and the purpose of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 the process for revocation as described in rule </w:t>
      </w:r>
      <w:hyperlink r:id="rId19">
        <w:r>
          <w:rPr>
            <w:rStyle w:val="Hyperlink"/>
            <w:rFonts w:ascii="Times New Roman" w:hAnsi="Times New Roman"/>
            <w:b w:val="false"/>
            <w:i w:val="false"/>
            <w:color w:val="000000"/>
            <w:sz w:val="22"/>
          </w:rPr>
          <w:t>641—142.5</w:t>
        </w:r>
      </w:hyperlink>
      <w:r>
        <w:rPr>
          <w:rFonts w:ascii="Times New Roman" w:hAnsi="Times New Roman"/>
          <w:b w:val="false"/>
          <w:i w:val="false"/>
          <w:color w:val="000000"/>
          <w:sz w:val="22"/>
        </w:rPr>
        <w:t>(144A).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142.4(3)</w:t>
      </w:r>
      <w:r>
        <w:rPr>
          <w:rFonts w:ascii="Times New Roman" w:hAnsi="Times New Roman"/>
          <w:b w:val="false"/>
          <w:i w:val="false"/>
          <w:color w:val="000000"/>
          <w:sz w:val="22"/>
        </w:rPr>
        <w:t> </w:t>
      </w:r>
      <w:r>
        <w:rPr>
          <w:rFonts w:ascii="Times New Roman" w:hAnsi="Times New Roman"/>
          <w:b w:val="false"/>
          <w:i/>
          <w:color w:val="000000"/>
          <w:sz w:val="22"/>
        </w:rPr>
        <w:t xml:space="preserve">Non-EMS health care providers. </w:t>
      </w:r>
      <w:r>
        <w:rPr>
          <w:rFonts w:ascii="Times New Roman" w:hAnsi="Times New Roman"/>
          <w:b w:val="false"/>
          <w:i w:val="false"/>
          <w:color w:val="000000"/>
          <w:sz w:val="22"/>
        </w:rPr>
        <w:t>A non-EMS health care provider contemplating resuscitation for a patient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certification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that the presenting condition is within the scope of the patient’s terminal condition and is not the result of a motor vehicle collision, fire, mass casualty or other cause of a sudden accident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health care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 or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142.4(4)</w:t>
      </w:r>
      <w:r>
        <w:rPr>
          <w:rFonts w:ascii="Times New Roman" w:hAnsi="Times New Roman"/>
          <w:b w:val="false"/>
          <w:i w:val="false"/>
          <w:color w:val="000000"/>
          <w:sz w:val="22"/>
        </w:rPr>
        <w:t> </w:t>
      </w:r>
      <w:r>
        <w:rPr>
          <w:rFonts w:ascii="Times New Roman" w:hAnsi="Times New Roman"/>
          <w:b w:val="false"/>
          <w:i/>
          <w:color w:val="000000"/>
          <w:sz w:val="22"/>
        </w:rPr>
        <w:t xml:space="preserve">Hospitals. </w:t>
      </w:r>
      <w:r>
        <w:rPr>
          <w:rFonts w:ascii="Times New Roman" w:hAnsi="Times New Roman"/>
          <w:b w:val="false"/>
          <w:i w:val="false"/>
          <w:color w:val="000000"/>
          <w:sz w:val="22"/>
        </w:rPr>
        <w:t>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precluded from honoring an OOH DNR order entered in accordance with this chapter and in compliance with established hospital policies and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to avail itself of the immunities provided within Iowa Code chapter </w:t>
      </w:r>
      <w:hyperlink r:id="rId20">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establish such policies and protocols to address an OOH DNR order or identifier encountered on a person who presents to the emergency department or in any other area within the facility if the person presents as a patient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integrate policies and procedures with the OOH DNR protocol for hospital-based ambulance service programs, if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142.4(5)</w:t>
      </w:r>
      <w:r>
        <w:rPr>
          <w:rFonts w:ascii="Times New Roman" w:hAnsi="Times New Roman"/>
          <w:b w:val="false"/>
          <w:i w:val="false"/>
          <w:color w:val="000000"/>
          <w:sz w:val="22"/>
        </w:rPr>
        <w:t> </w:t>
      </w:r>
      <w:r>
        <w:rPr>
          <w:rFonts w:ascii="Times New Roman" w:hAnsi="Times New Roman"/>
          <w:b w:val="false"/>
          <w:i/>
          <w:color w:val="000000"/>
          <w:sz w:val="22"/>
        </w:rPr>
        <w:t xml:space="preserve">Other health care organizations. </w:t>
      </w:r>
      <w:r>
        <w:rPr>
          <w:rFonts w:ascii="Times New Roman" w:hAnsi="Times New Roman"/>
          <w:b w:val="false"/>
          <w:i w:val="false"/>
          <w:color w:val="000000"/>
          <w:sz w:val="22"/>
        </w:rPr>
        <w:t>A nursing home, home health care agency, hospice, or other health care organization should establish policies and protocols consistent with these rules to address admitted patients who have OOH DNR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641—142.5</w:t>
      </w:r>
      <w:r>
        <w:rPr>
          <w:rFonts w:ascii="Times New Roman" w:hAnsi="Times New Roman"/>
          <w:b/>
          <w:i w:val="false"/>
          <w:color w:val="000000"/>
          <w:sz w:val="22"/>
        </w:rPr>
        <w:t xml:space="preserve">(144A) </w:t>
      </w:r>
      <w:r>
        <w:rPr>
          <w:rFonts w:ascii="Times New Roman" w:hAnsi="Times New Roman"/>
          <w:b/>
          <w:i w:val="false"/>
          <w:color w:val="000000"/>
          <w:sz w:val="22"/>
        </w:rPr>
        <w:t xml:space="preserve">Revocation of the out-of-hospital do-not-resuscitate order. </w:t>
      </w:r>
      <w:r>
        <w:rPr>
          <w:rFonts w:ascii="Times New Roman" w:hAnsi="Times New Roman"/>
          <w:b w:val="false"/>
          <w:i w:val="false"/>
          <w:color w:val="000000"/>
          <w:sz w:val="22"/>
        </w:rPr>
        <w:t>An OOH DNR order is deemed revoked at any time that a patient, or an individual authorized to act on the patient’s behalf as designated on the OOH DNR order, is able to communicate in any manner the intent that the order be revoked, without regard to the mental or physical condition of the patient. A revocation is only effective as to the health care provider upon communication to that provider by the patient, an individual authorized to act on the patient’s behalf as designated in the OOH DNR order, or by another person to whom the revocation is communicated by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641—142.6</w:t>
      </w:r>
      <w:r>
        <w:rPr>
          <w:rFonts w:ascii="Times New Roman" w:hAnsi="Times New Roman"/>
          <w:b/>
          <w:i w:val="false"/>
          <w:color w:val="000000"/>
          <w:sz w:val="22"/>
        </w:rPr>
        <w:t xml:space="preserve">(144A) </w:t>
      </w:r>
      <w:r>
        <w:rPr>
          <w:rFonts w:ascii="Times New Roman" w:hAnsi="Times New Roman"/>
          <w:b/>
          <w:i w:val="false"/>
          <w:color w:val="000000"/>
          <w:sz w:val="22"/>
        </w:rPr>
        <w:t xml:space="preserve">Personal wishes of family members or other individuals who are not authorized to act on the patient’s behalf. </w:t>
      </w:r>
      <w:r>
        <w:rPr>
          <w:rFonts w:ascii="Times New Roman" w:hAnsi="Times New Roman"/>
          <w:b w:val="false"/>
          <w:i w:val="false"/>
          <w:color w:val="000000"/>
          <w:sz w:val="22"/>
        </w:rPr>
        <w:t>The personal wishes of family members or other individuals who are not authorized in the order to act on the patient’s behalf cannot supersede a valid OOH DNR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641—142.7</w:t>
      </w:r>
      <w:r>
        <w:rPr>
          <w:rFonts w:ascii="Times New Roman" w:hAnsi="Times New Roman"/>
          <w:b/>
          <w:i w:val="false"/>
          <w:color w:val="000000"/>
          <w:sz w:val="22"/>
        </w:rPr>
        <w:t xml:space="preserve">(144A) </w:t>
      </w:r>
      <w:r>
        <w:rPr>
          <w:rFonts w:ascii="Times New Roman" w:hAnsi="Times New Roman"/>
          <w:b/>
          <w:i w:val="false"/>
          <w:color w:val="000000"/>
          <w:sz w:val="22"/>
        </w:rPr>
        <w:t xml:space="preserve">Transfer of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attending physician or attending physician assistant who is unwilling to comply with an OOH DNR order or who is unwilling to comply with the provisions of Iowa Code section </w:t>
      </w:r>
      <w:hyperlink r:id="rId21">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shall take all reasonable steps to effect the transfer of the patient to another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policies of a hospital, nursing home, home health care agency, hospice or other health care organization preclude compliance with the OOH DNR order of a qualified patient, the provider shall take all reasonable steps to effect the transfer of the patient to an organization in which the provisions of Iowa Code section </w:t>
      </w:r>
      <w:hyperlink r:id="rId22">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can be carried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641—142.8</w:t>
      </w:r>
      <w:r>
        <w:rPr>
          <w:rFonts w:ascii="Times New Roman" w:hAnsi="Times New Roman"/>
          <w:b/>
          <w:i w:val="false"/>
          <w:color w:val="000000"/>
          <w:sz w:val="22"/>
        </w:rPr>
        <w:t xml:space="preserve">(144A) </w:t>
      </w:r>
      <w:r>
        <w:rPr>
          <w:rFonts w:ascii="Times New Roman" w:hAnsi="Times New Roman"/>
          <w:b/>
          <w:i w:val="false"/>
          <w:color w:val="000000"/>
          <w:sz w:val="22"/>
        </w:rPr>
        <w:t xml:space="preserve">Application to existing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val="false"/>
          <w:color w:val="000000"/>
          <w:sz w:val="22"/>
        </w:rPr>
        <w:t>An OOH DNR order or similar order executed prior to September 10, 2003, is valid and shall be honored in accordance with the then-applicable provisions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val="false"/>
          <w:color w:val="000000"/>
          <w:sz w:val="22"/>
        </w:rPr>
        <w:t>Health care providers may honor an OOH DNR order or identifier from another state if it can be validated and applied in a manner consistent with the OOH DNR order or identifier prescribed in these rules. In cases where there is uncertainty, clarification should be sought through on-line medical direction or resuscitation efforts should be initiated.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147A.4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OUT-OF-HOSPITAL DO-NOT-RESUSCITATE ORDER</w:t>
      </w:r>
    </w:p>
    <w:p>
      <w:pPr>
        <w:spacing w:before="0" w:after="0"/>
        <w:ind w:left="120"/>
        <w:jc w:val="center"/>
      </w:pPr>
      <w:r>
        <w:rPr>
          <w:rFonts w:ascii="Times New Roman" w:hAnsi="Times New Roman"/>
          <w:b/>
          <w:i w:val="false"/>
          <w:color w:val="000000"/>
          <w:sz w:val="22"/>
        </w:rPr>
        <w:t>(Please type or print)</w:t>
      </w:r>
    </w:p>
    <w:p>
      <w:pPr>
        <w:spacing w:before="0" w:after="0"/>
        <w:ind w:left="120"/>
        <w:jc w:val="both"/>
      </w:pPr>
      <w:r>
        <w:rPr>
          <w:rFonts w:ascii="Times New Roman" w:hAnsi="Times New Roman"/>
          <w:b w:val="false"/>
          <w:i w:val="false"/>
          <w:color w:val="000000"/>
          <w:sz w:val="22"/>
        </w:rPr>
        <w:t>Date of Order: _____/_____/_____</w:t>
      </w:r>
    </w:p>
    <w:p>
      <w:pPr>
        <w:spacing w:before="0" w:after="0"/>
        <w:ind w:left="120"/>
        <w:jc w:val="both"/>
      </w:pPr>
      <w:r>
        <w:rPr>
          <w:rFonts w:ascii="Times New Roman" w:hAnsi="Times New Roman"/>
          <w:b w:val="false"/>
          <w:i w:val="false"/>
          <w:color w:val="000000"/>
          <w:sz w:val="22"/>
        </w:rPr>
        <w:t>Patient Information:</w:t>
      </w:r>
    </w:p>
    <w:p>
      <w:pPr>
        <w:spacing w:before="0" w:after="0"/>
        <w:ind w:left="120"/>
        <w:jc w:val="both"/>
      </w:pPr>
      <w:r>
        <w:rPr>
          <w:rFonts w:ascii="Times New Roman" w:hAnsi="Times New Roman"/>
          <w:b w:val="false"/>
          <w:i w:val="false"/>
          <w:color w:val="000000"/>
          <w:sz w:val="22"/>
        </w:rPr>
        <w:t>Name: (Last)____________________(First)____________________(Middle)__________________</w:t>
      </w:r>
    </w:p>
    <w:p>
      <w:pPr>
        <w:spacing w:before="0" w:after="0"/>
        <w:ind w:left="120"/>
        <w:jc w:val="both"/>
      </w:pPr>
      <w:r>
        <w:rPr>
          <w:rFonts w:ascii="Times New Roman" w:hAnsi="Times New Roman"/>
          <w:b w:val="false"/>
          <w:i w:val="false"/>
          <w:color w:val="000000"/>
          <w:sz w:val="22"/>
        </w:rPr>
        <w:t>Address: _____________________________(City)___________________(Zip)____________</w:t>
      </w:r>
    </w:p>
    <w:p>
      <w:pPr>
        <w:spacing w:before="0" w:after="0"/>
        <w:ind w:left="120"/>
        <w:jc w:val="both"/>
      </w:pPr>
      <w:r>
        <w:rPr>
          <w:rFonts w:ascii="Times New Roman" w:hAnsi="Times New Roman"/>
          <w:b w:val="false"/>
          <w:i w:val="false"/>
          <w:color w:val="000000"/>
          <w:sz w:val="22"/>
        </w:rPr>
        <w:t xml:space="preserve">Date of Birth: _____/_____/_____ </w:t>
      </w:r>
      <w:r>
        <w:rPr>
          <w:rFonts w:ascii="Times New Roman" w:hAnsi="Times New Roman"/>
          <w:b w:val="false"/>
          <w:i w:val="false"/>
          <w:color w:val="000000"/>
          <w:sz w:val="22"/>
        </w:rPr>
        <w:t>Gender (Circle): M or F</w:t>
      </w:r>
    </w:p>
    <w:p>
      <w:pPr>
        <w:spacing w:before="0" w:after="0"/>
        <w:ind w:left="120"/>
        <w:jc w:val="both"/>
      </w:pPr>
      <w:r>
        <w:rPr>
          <w:rFonts w:ascii="Times New Roman" w:hAnsi="Times New Roman"/>
          <w:b w:val="false"/>
          <w:i w:val="false"/>
          <w:color w:val="000000"/>
          <w:sz w:val="22"/>
        </w:rPr>
        <w:t xml:space="preserve">Name of Hospice or Care Facility (if applicable): </w:t>
      </w:r>
    </w:p>
    <w:p>
      <w:pPr>
        <w:spacing w:before="0" w:after="0"/>
        <w:ind w:left="120"/>
        <w:jc w:val="both"/>
      </w:pPr>
    </w:p>
    <w:p>
      <w:pPr>
        <w:spacing w:before="0" w:after="0"/>
        <w:ind w:left="120"/>
        <w:jc w:val="center"/>
      </w:pPr>
      <w:r>
        <w:rPr>
          <w:rFonts w:ascii="Times New Roman" w:hAnsi="Times New Roman"/>
          <w:b/>
          <w:i w:val="false"/>
          <w:color w:val="000000"/>
          <w:sz w:val="22"/>
          <w:u w:val="single"/>
        </w:rPr>
        <w:t>Attending Physician or Physician Assistant Order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As the attending physician or attending physician assistant for the above-named patient, I certify that this individual is over 18 years of age and has a terminal diagnosis. After consultation with this patient (or the patient’s legal representative), I hereby direct any and all health care providers, including qualified emergency medical services (EMS) personnel, to withhold or withdraw the following life-sustaining procedures in accordance with Iowa law (Iowa Code chapter </w:t>
      </w:r>
      <w:hyperlink r:id="rId25">
        <w:r>
          <w:rPr>
            <w:rStyle w:val="Hyperlink"/>
            <w:rFonts w:ascii="Times New Roman" w:hAnsi="Times New Roman"/>
            <w:b w:val="false"/>
            <w:i w:val="false"/>
            <w:color w:val="000000"/>
            <w:sz w:val="22"/>
          </w:rPr>
          <w:t>142A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Cardiopulmonary Resuscitation/Cardiac Compression (Chest Compressions).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Endotracheal Intubation/Artificial or Mechanical Ventilation (Advance Airway Management).</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Defibrillation and Related Procedures.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Use of Resuscitation Drugs.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directive does NOT apply to other medical interventions for comfort care.</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Layout w:type="fixed"/>
      </w:tblPr>
      <w:tblGrid>
        <w:gridCol w:w="6267"/>
        <w:gridCol w:w="400"/>
        <w:gridCol w:w="4800"/>
      </w:tblGrid>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Signature of Attending Physician (MD, DO) or Attending Physician Assistant</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Date</w:t>
            </w:r>
          </w:p>
        </w:tc>
      </w:tr>
      <w:tr>
        <w:trPr>
          <w:trHeight w:val="270"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u w:val="single"/>
              </w:rPr>
              <w:t>Printed</w:t>
            </w:r>
            <w:r>
              <w:rPr>
                <w:rFonts w:ascii="Times New Roman" w:hAnsi="Times New Roman"/>
                <w:b/>
                <w:i w:val="false"/>
                <w:color w:val="000000"/>
                <w:sz w:val="21"/>
              </w:rPr>
              <w:t xml:space="preserve"> Name of Attending Physician or Attending Physician Assistant</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Physician’s or Physician Assistant’s Telephone (Emergency)</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To the extent that it is possible, a person designated by the patient may revoke this order on the patient’s behalf. If the patient wishes to authorize any other person(s) to revoke this order, the patient </w:t>
      </w:r>
      <w:r>
        <w:rPr>
          <w:rFonts w:ascii="Times New Roman" w:hAnsi="Times New Roman"/>
          <w:b/>
          <w:i w:val="false"/>
          <w:color w:val="000000"/>
          <w:sz w:val="22"/>
          <w:u w:val="single"/>
        </w:rPr>
        <w:t>MUST</w:t>
      </w:r>
      <w:r>
        <w:rPr>
          <w:rFonts w:ascii="Times New Roman" w:hAnsi="Times New Roman"/>
          <w:b/>
          <w:i w:val="false"/>
          <w:color w:val="000000"/>
          <w:sz w:val="22"/>
        </w:rPr>
        <w:t xml:space="preserve"> list those persons’ names below:</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Patients, please note</w:t>
      </w:r>
      <w:r>
        <w:rPr>
          <w:rFonts w:ascii="Times New Roman" w:hAnsi="Times New Roman"/>
          <w:b/>
          <w:i w:val="false"/>
          <w:color w:val="000000"/>
          <w:sz w:val="22"/>
        </w:rPr>
        <w:t xml:space="preserve">: </w:t>
      </w:r>
      <w:r>
        <w:rPr>
          <w:rFonts w:ascii="Times New Roman" w:hAnsi="Times New Roman"/>
          <w:b w:val="false"/>
          <w:i w:val="false"/>
          <w:color w:val="000000"/>
          <w:sz w:val="22"/>
        </w:rPr>
        <w:t>Directions for obtaining a uniform identifier are listed on the back of this form. The uniform identifier is the key way the health care provider and/or EMS personnel can quickly recognize that you have an Out-of-Hospital Do-Not-Resuscitate order. If you are not wearing an identifier, the health care provider and/or EMS personnel may not realize that you do not want to be resuscitated.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Physicians or physician assistants, please note</w:t>
      </w:r>
      <w:r>
        <w:rPr>
          <w:rFonts w:ascii="Times New Roman" w:hAnsi="Times New Roman"/>
          <w:b/>
          <w:i w:val="false"/>
          <w:color w:val="000000"/>
          <w:sz w:val="22"/>
        </w:rPr>
        <w:t>:</w:t>
      </w:r>
      <w:r>
        <w:rPr>
          <w:rFonts w:ascii="Times New Roman" w:hAnsi="Times New Roman"/>
          <w:b w:val="false"/>
          <w:i w:val="false"/>
          <w:color w:val="000000"/>
          <w:sz w:val="22"/>
        </w:rPr>
        <w:t xml:space="preserve"> Information regarding the completion of an Out-of-Hospital Do-Not-Resuscitate order is on the back of this form.</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APPENDIX 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Directions for obtaining a uniform identifier</w:t>
      </w:r>
      <w:r>
        <w:rPr>
          <w:rFonts w:ascii="Times New Roman" w:hAnsi="Times New Roman"/>
          <w:b/>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uniform identifier may be obtained through MedicAlert®</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which requires: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u w:val="single"/>
        </w:rPr>
        <w:t>A completed MedicAlert® application</w:t>
      </w:r>
      <w:r>
        <w:rPr>
          <w:rFonts w:ascii="Times New Roman" w:hAnsi="Times New Roman"/>
          <w:b w:val="false"/>
          <w:i w:val="false"/>
          <w:color w:val="000000"/>
          <w:sz w:val="22"/>
        </w:rPr>
        <w:t>, which is available in physician or physician assistant offices or through MedicAlert® by phoning (800)432-5378 or the website </w:t>
      </w:r>
      <w:hyperlink r:id="rId26">
        <w:r>
          <w:rPr>
            <w:rStyle w:val="Hyperlink"/>
            <w:rFonts w:ascii="Times New Roman" w:hAnsi="Times New Roman"/>
            <w:b w:val="false"/>
            <w:i w:val="false"/>
            <w:color w:val="000000"/>
            <w:sz w:val="22"/>
            <w:u w:val="single"/>
          </w:rPr>
          <w:t>www.medicalert.org</w:t>
        </w:r>
      </w:hyperlink>
      <w:r>
        <w:rPr>
          <w:rFonts w:ascii="Times New Roman" w:hAnsi="Times New Roman"/>
          <w:b w:val="false"/>
          <w:i w:val="false"/>
          <w:color w:val="000000"/>
          <w:sz w:val="22"/>
        </w:rPr>
        <w:t xml:space="preserve">, </w:t>
      </w:r>
      <w:r>
        <w:rPr>
          <w:rFonts w:ascii="Times New Roman" w:hAnsi="Times New Roman"/>
          <w:b w:val="false"/>
          <w:i w:val="false"/>
          <w:color w:val="000000"/>
          <w:sz w:val="22"/>
          <w:u w:val="single"/>
        </w:rPr>
        <w:t>and fee</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u w:val="single"/>
        </w:rPr>
        <w:t>A copy of this completed OOH DNR order</w:t>
      </w:r>
      <w:r>
        <w:rPr>
          <w:rFonts w:ascii="Times New Roman" w:hAnsi="Times New Roman"/>
          <w:b w:val="false"/>
          <w:i w:val="false"/>
          <w:color w:val="000000"/>
          <w:sz w:val="22"/>
        </w:rPr>
        <w:t xml:space="preserve">, which must accompany the </w:t>
      </w:r>
      <w:r>
        <w:rPr>
          <w:rFonts w:ascii="Times New Roman" w:hAnsi="Times New Roman"/>
          <w:b w:val="false"/>
          <w:i w:val="false"/>
          <w:color w:val="000000"/>
          <w:sz w:val="22"/>
          <w:u w:val="single"/>
        </w:rPr>
        <w:t>MedicAlert®</w:t>
      </w:r>
      <w:r>
        <w:rPr>
          <w:rFonts w:ascii="Times New Roman" w:hAnsi="Times New Roman"/>
          <w:b w:val="false"/>
          <w:i w:val="false"/>
          <w:color w:val="000000"/>
          <w:sz w:val="22"/>
        </w:rPr>
        <w:t xml:space="preserve"> application or be sent to MedicAlert® prior to the identifier’s being mailed.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18"/>
          <w:vertAlign w:val="superscript"/>
        </w:rPr>
        <w:t>1</w:t>
      </w:r>
      <w:r>
        <w:rPr>
          <w:rFonts w:ascii="Times New Roman" w:hAnsi="Times New Roman"/>
          <w:b w:val="false"/>
          <w:i/>
          <w:color w:val="000000"/>
          <w:sz w:val="22"/>
        </w:rPr>
        <w:t>MedicAlert® is a nonprofit 501C membership organization.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Suggested guidelines for physicians or physician assistants</w:t>
      </w:r>
      <w:r>
        <w:rPr>
          <w:rFonts w:ascii="Times New Roman" w:hAnsi="Times New Roman"/>
          <w:b/>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Please review the Iowa Out-of-Hospital Do-Not-Resuscitate order and related protocol with the patient/patient’s legal representative(s). The following points may be helpful:</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must understand the significance of this order, that in the event the patient’s heart or breathing stops or malfunctions, the anticipated result of this order is death.</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may revoke this directive at any time. However, the desire to revoke must be communicated to the EMS or other health care professionals at the scene.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It is important to emphasize that this order does not apply to medical interventions to make the patient more comfortable.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The importance of wearing the uniform identifier for those qualified patients who would benefit from the mobility this offers should be stressed. It is also helpful to walk patients through the process they must follow to acquire the identifier.</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Provide a copy of this order to the patient/patient’s legal representative(s) listed on this order and place the original in the patient’s medical records.</w:t>
      </w:r>
      <w:r>
        <w:br/>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The OOH DNR Order form is available through the department’s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7550B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EMS OUT-OF-HOSPITAL DO-NOT-RESUSCITATE PROTOCOL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Purpose:</w:t>
      </w:r>
      <w:r>
        <w:rPr>
          <w:rFonts w:ascii="Times New Roman" w:hAnsi="Times New Roman"/>
          <w:b w:val="false"/>
          <w:i w:val="false"/>
          <w:color w:val="000000"/>
          <w:sz w:val="22"/>
        </w:rPr>
        <w:t xml:space="preserve"> This protocol is intended to avoid unwarranted resuscitation by emergency care providers in the out-of-hospital setting for a </w:t>
      </w:r>
      <w:r>
        <w:rPr>
          <w:rFonts w:ascii="Times New Roman" w:hAnsi="Times New Roman"/>
          <w:b w:val="false"/>
          <w:i/>
          <w:color w:val="000000"/>
          <w:sz w:val="22"/>
        </w:rPr>
        <w:t>qualified patient</w:t>
      </w:r>
      <w:r>
        <w:rPr>
          <w:rFonts w:ascii="Times New Roman" w:hAnsi="Times New Roman"/>
          <w:b w:val="false"/>
          <w:i w:val="false"/>
          <w:color w:val="000000"/>
          <w:sz w:val="22"/>
        </w:rPr>
        <w:t>.</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There must be a valid Out-of-Hospital Do-Not-Resuscitate (OOH DNR) order signed by the qualified patient’s attending physician or physician assistant or the presence of the OOH DNR identifier indicating the existence of a valid OOH DNR order.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No resuscitation:</w:t>
      </w:r>
      <w:r>
        <w:rPr>
          <w:rFonts w:ascii="Times New Roman" w:hAnsi="Times New Roman"/>
          <w:b w:val="false"/>
          <w:i w:val="false"/>
          <w:color w:val="000000"/>
          <w:sz w:val="22"/>
        </w:rPr>
        <w:t xml:space="preserve"> Means withholding any medical intervention that utilizes mechanical or artificial means to sustain, restore, or supplant a spontaneous vital function, including but not limited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Chest compressions,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Defibrillation,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Esophageal/tracheal/double-lumen airway; endotracheal intubation, or</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Emergency drugs to alter cardiac or respiratory function or otherwise sustain life.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Patient criteria:</w:t>
      </w:r>
      <w:r>
        <w:rPr>
          <w:rFonts w:ascii="Times New Roman" w:hAnsi="Times New Roman"/>
          <w:b w:val="false"/>
          <w:i w:val="false"/>
          <w:color w:val="000000"/>
          <w:sz w:val="22"/>
        </w:rPr>
        <w:t xml:space="preserve"> The following patients are recognized as qualified patients to receive no resuscitation: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presence of the uniform OOH DNR order or uniform OOH DNR identifier,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presence of the attending physician or attending physician assistant to provide direct verbal orders for care of the patient.</w:t>
      </w:r>
    </w:p>
    <w:p>
      <w:pPr>
        <w:spacing w:before="0" w:after="0"/>
        <w:ind w:left="120"/>
        <w:jc w:val="left"/>
      </w:pPr>
      <w:r>
        <w:rPr>
          <w:rFonts w:ascii="Times New Roman" w:hAnsi="Times New Roman"/>
          <w:b w:val="false"/>
          <w:i w:val="false"/>
          <w:color w:val="000000"/>
          <w:sz w:val="22"/>
        </w:rPr>
        <w:t> </w:t>
      </w:r>
    </w:p>
    <w:p>
      <w:pPr>
        <w:spacing w:before="0" w:after="0"/>
        <w:ind w:left="324"/>
        <w:jc w:val="both"/>
      </w:pPr>
      <w:r>
        <w:rPr>
          <w:rFonts w:ascii="Times New Roman" w:hAnsi="Times New Roman"/>
          <w:b w:val="false"/>
          <w:i/>
          <w:color w:val="000000"/>
          <w:sz w:val="22"/>
        </w:rPr>
        <w:t>The presence of a signed physician or physician assistant order on a form other than the uniform OOH DNR order form approved by the department may be honored if approved by the service program EMS medical director. However, the immunities provided by law apply only in the presence of the uniform OOH DNR order or uniform OOH DNR identifier. When the uniform OOH DNR order or uniform OOH DNR identifier is not present, contact must be made with on-line medical control and on-line medical control must concur that no resuscitation is appropriate.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Revocation:</w:t>
      </w:r>
      <w:r>
        <w:rPr>
          <w:rFonts w:ascii="Times New Roman" w:hAnsi="Times New Roman"/>
          <w:b w:val="false"/>
          <w:i w:val="false"/>
          <w:color w:val="000000"/>
          <w:sz w:val="22"/>
        </w:rPr>
        <w:t xml:space="preserve"> An OOH DNR order is deemed revoked at any time that a patient, or an individual authorized to act on the patient’s behalf as listed on the OOH DNR order, is able to communicate in any manner the intent that the order be revoked. The personal wishes of family members or other individuals who are not authorized in the order to act on the patient’s behalf shall not supersede a valid OOH DNR order.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Comfort Care (♥):</w:t>
      </w:r>
      <w:r>
        <w:rPr>
          <w:rFonts w:ascii="Times New Roman" w:hAnsi="Times New Roman"/>
          <w:b w:val="false"/>
          <w:i w:val="false"/>
          <w:color w:val="000000"/>
          <w:sz w:val="22"/>
        </w:rPr>
        <w:t xml:space="preserve"> When a patient has met the criteria for no resuscitation under the foregoing information, the emergency care provider </w:t>
      </w:r>
      <w:r>
        <w:rPr>
          <w:rFonts w:ascii="Times New Roman" w:hAnsi="Times New Roman"/>
          <w:b w:val="false"/>
          <w:i w:val="false"/>
          <w:color w:val="000000"/>
          <w:sz w:val="22"/>
          <w:u w:val="single"/>
        </w:rPr>
        <w:t xml:space="preserve">should continue to provide that care which is intended to make the patient comfortable (a.k.a. </w:t>
      </w:r>
      <w:r>
        <w:rPr>
          <w:rFonts w:ascii="Times New Roman" w:hAnsi="Times New Roman"/>
          <w:b/>
          <w:i w:val="false"/>
          <w:color w:val="000000"/>
          <w:sz w:val="22"/>
        </w:rPr>
        <w:t>♥</w:t>
      </w:r>
      <w:r>
        <w:rPr>
          <w:rFonts w:ascii="Times New Roman" w:hAnsi="Times New Roman"/>
          <w:b/>
          <w:i w:val="false"/>
          <w:color w:val="000000"/>
          <w:sz w:val="22"/>
        </w:rPr>
        <w:t>Comfort Care</w:t>
      </w:r>
      <w:r>
        <w:rPr>
          <w:rFonts w:ascii="Times New Roman" w:hAnsi="Times New Roman"/>
          <w:b w:val="false"/>
          <w:i w:val="false"/>
          <w:color w:val="000000"/>
          <w:sz w:val="22"/>
          <w:u w:val="single"/>
        </w:rPr>
        <w:t>)</w:t>
      </w:r>
      <w:r>
        <w:rPr>
          <w:rFonts w:ascii="Times New Roman" w:hAnsi="Times New Roman"/>
          <w:b w:val="false"/>
          <w:i w:val="false"/>
          <w:color w:val="000000"/>
          <w:sz w:val="22"/>
        </w:rPr>
        <w:t>. Whether other types of care are indicated will depend upon individual circumstances for which medical control may be contacted by or through the responding ambulance service personnel.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w:t>
      </w:r>
      <w:r>
        <w:rPr>
          <w:rFonts w:ascii="Times New Roman" w:hAnsi="Times New Roman"/>
          <w:b/>
          <w:i/>
          <w:color w:val="000000"/>
          <w:sz w:val="22"/>
        </w:rPr>
        <w:t>Comfort Care</w:t>
      </w:r>
      <w:r>
        <w:rPr>
          <w:rFonts w:ascii="Times New Roman" w:hAnsi="Times New Roman"/>
          <w:b w:val="false"/>
          <w:i w:val="false"/>
          <w:color w:val="000000"/>
          <w:sz w:val="22"/>
          <w:u w:val="single"/>
        </w:rPr>
        <w:t> </w:t>
      </w:r>
      <w:r>
        <w:rPr>
          <w:rFonts w:ascii="Times New Roman" w:hAnsi="Times New Roman"/>
          <w:b w:val="false"/>
          <w:i/>
          <w:color w:val="000000"/>
          <w:sz w:val="22"/>
        </w:rPr>
        <w:t>may include but is not limited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color w:val="000000"/>
          <w:sz w:val="22"/>
        </w:rPr>
        <w:t>Pain medication.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color w:val="000000"/>
          <w:sz w:val="22"/>
        </w:rPr>
        <w:t>Fluid therapy.</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color w:val="000000"/>
          <w:sz w:val="22"/>
        </w:rPr>
        <w:t>Respiratory assistance (oxygen and suctioning).</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color w:val="000000"/>
          <w:sz w:val="22"/>
        </w:rPr>
        <w:t>Qualified patient</w:t>
      </w:r>
      <w:r>
        <w:rPr>
          <w:rFonts w:ascii="Times New Roman" w:hAnsi="Times New Roman"/>
          <w:b w:val="false"/>
          <w:i w:val="false"/>
          <w:color w:val="000000"/>
          <w:sz w:val="22"/>
        </w:rPr>
        <w:t xml:space="preserve"> means an adult patient determined by an attending physician or attending physician assistant to be in a terminal condition for which the attending physician or attending physician assistant has issued an Out-of-Hospital DNR order in accordance with the law. (Rule </w:t>
      </w:r>
      <w:hyperlink r:id="rId27">
        <w:r>
          <w:rPr>
            <w:rStyle w:val="Hyperlink"/>
            <w:rFonts w:ascii="Times New Roman" w:hAnsi="Times New Roman"/>
            <w:b w:val="false"/>
            <w:i w:val="false"/>
            <w:color w:val="000000"/>
            <w:sz w:val="22"/>
          </w:rPr>
          <w:t>641—142.1(144A)</w:t>
        </w:r>
      </w:hyperlink>
      <w:r>
        <w:rPr>
          <w:rFonts w:ascii="Times New Roman" w:hAnsi="Times New Roman"/>
          <w:b w:val="false"/>
          <w:i w:val="false"/>
          <w:color w:val="000000"/>
          <w:sz w:val="22"/>
        </w:rPr>
        <w:t>, definitions)</w:t>
      </w:r>
    </w:p>
    <w:p>
      <w:pPr>
        <w:spacing w:before="0" w:after="0"/>
        <w:ind w:left="120"/>
        <w:jc w:val="center"/>
      </w:pPr>
      <w:r>
        <w:rPr>
          <w:rFonts w:ascii="Times New Roman" w:hAnsi="Times New Roman"/>
          <w:b w:val="false"/>
          <w:i w:val="false"/>
          <w:color w:val="000000"/>
          <w:sz w:val="21"/>
        </w:rPr>
        <w:t>[Filed 7/18/03, Notice 5/28/03—published 8/6/03, effective 9/10/03]</w:t>
      </w:r>
    </w:p>
    <w:p>
      <w:pPr>
        <w:spacing w:before="0" w:after="0"/>
        <w:ind w:left="120"/>
        <w:jc w:val="center"/>
      </w:pPr>
      <w:r>
        <w:rPr>
          <w:rFonts w:ascii="Times New Roman" w:hAnsi="Times New Roman"/>
          <w:b w:val="false"/>
          <w:i w:val="false"/>
          <w:color w:val="000000"/>
          <w:sz w:val="21"/>
        </w:rPr>
        <w:t>[Filed ARC 7550B</w:t>
      </w:r>
      <w:r>
        <w:rPr>
          <w:rFonts w:ascii="Times New Roman" w:hAnsi="Times New Roman"/>
          <w:b w:val="false"/>
          <w:i w:val="false"/>
          <w:color w:val="000000"/>
          <w:sz w:val="21"/>
        </w:rPr>
        <w:t xml:space="preserve"> (Notice ARC 7357B,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9081C</w:t>
      </w:r>
      <w:r>
        <w:rPr>
          <w:rFonts w:ascii="Times New Roman" w:hAnsi="Times New Roman"/>
          <w:b w:val="false"/>
          <w:i w:val="false"/>
          <w:color w:val="000000"/>
          <w:sz w:val="21"/>
        </w:rPr>
        <w:t xml:space="preserve"> (Notice ARC 8463C, IAB 12/25/24)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1.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4A.7A.pdf" Type="http://schemas.openxmlformats.org/officeDocument/2006/relationships/hyperlink" Id="rId8"/>
    <Relationship TargetMode="External" Target="https://www.legis.iowa.gov/docs/ico/chapter/144A.2.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44A.2.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ac/rule/641.142.3.pdf" Type="http://schemas.openxmlformats.org/officeDocument/2006/relationships/hyperlink" Id="rId15"/>
    <Relationship TargetMode="External" Target="https://www.legis.iowa.gov/docs/iac/rule/641.142.3.pdf" Type="http://schemas.openxmlformats.org/officeDocument/2006/relationships/hyperlink" Id="rId16"/>
    <Relationship TargetMode="External" Target="https://www.legis.iowa.gov/docs/ico/chapter/144A.pdf" Type="http://schemas.openxmlformats.org/officeDocument/2006/relationships/hyperlink" Id="rId17"/>
    <Relationship TargetMode="External" Target="https://www.legis.iowa.gov/docs/ico/chapter/144A.pdf" Type="http://schemas.openxmlformats.org/officeDocument/2006/relationships/hyperlink" Id="rId18"/>
    <Relationship TargetMode="External" Target="https://www.legis.iowa.gov/docs/iac/rule/641.142.5.pdf" Type="http://schemas.openxmlformats.org/officeDocument/2006/relationships/hyperlink" Id="rId19"/>
    <Relationship TargetMode="External" Target="https://www.legis.iowa.gov/docs/ico/chapter/142.pdf" Type="http://schemas.openxmlformats.org/officeDocument/2006/relationships/hyperlink" Id="rId20"/>
    <Relationship TargetMode="External" Target="https://www.legis.iowa.gov/docs/ico/chapter/144A.7A.pdf" Type="http://schemas.openxmlformats.org/officeDocument/2006/relationships/hyperlink" Id="rId21"/>
    <Relationship TargetMode="External" Target="https://www.legis.iowa.gov/docs/ico/chapter/144A.7A.pdf" Type="http://schemas.openxmlformats.org/officeDocument/2006/relationships/hyperlink" Id="rId22"/>
    <Relationship TargetMode="External" Target="https://www.legis.iowa.gov/docs/ico/chapter/144A.7A.pdf" Type="http://schemas.openxmlformats.org/officeDocument/2006/relationships/hyperlink" Id="rId23"/>
    <Relationship TargetMode="External" Target="https://www.legis.iowa.gov/docs/ico/chapter/147A.4.pdf" Type="http://schemas.openxmlformats.org/officeDocument/2006/relationships/hyperlink" Id="rId24"/>
    <Relationship TargetMode="External" Target="https://www.legis.iowa.gov/docs/ico/chapter/142A.pdf" Type="http://schemas.openxmlformats.org/officeDocument/2006/relationships/hyperlink" Id="rId25"/>
    <Relationship TargetMode="External" Target="http://www.medicalert.org" Type="http://schemas.openxmlformats.org/officeDocument/2006/relationships/hyperlink" Id="rId26"/>
    <Relationship TargetMode="External" Target="https://www.legis.iowa.gov/docs/iac/rule/641.142.1.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