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141</w:t>
      </w:r>
    </w:p>
    <w:p>
      <w:pPr>
        <w:spacing w:before="0" w:after="0"/>
        <w:ind w:left="120"/>
        <w:jc w:val="center"/>
      </w:pPr>
      <w:r>
        <w:rPr>
          <w:rFonts w:ascii="Times New Roman" w:hAnsi="Times New Roman"/>
          <w:b w:val="false"/>
          <w:i w:val="false"/>
          <w:color w:val="000000"/>
          <w:sz w:val="21"/>
        </w:rPr>
        <w:t>LOVE OUR KIDS GRANT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641—141.1</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 individual, organization, or entity that has as its responsibility the development, promotion, and implementation of injury prevention and education initiatives for children and who has submitted an application for a love our kids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period” </w:t>
      </w:r>
      <w:r>
        <w:rPr>
          <w:rFonts w:ascii="Times New Roman" w:hAnsi="Times New Roman"/>
          <w:b w:val="false"/>
          <w:i w:val="false"/>
          <w:color w:val="000000"/>
          <w:sz w:val="22"/>
        </w:rPr>
        <w:t>means the period of time which the department intends to support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program” </w:t>
      </w:r>
      <w:r>
        <w:rPr>
          <w:rFonts w:ascii="Times New Roman" w:hAnsi="Times New Roman"/>
          <w:b w:val="false"/>
          <w:i w:val="false"/>
          <w:color w:val="000000"/>
          <w:sz w:val="22"/>
        </w:rPr>
        <w:t>means any medical care ambulance service or nontransport service that has received authorization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2477C</w:t>
      </w:r>
      <w:r>
        <w:rPr>
          <w:rFonts w:ascii="Times New Roman" w:hAnsi="Times New Roman"/>
          <w:b w:val="false"/>
          <w:i w:val="false"/>
          <w:color w:val="000000"/>
          <w:sz w:val="16"/>
        </w:rPr>
        <w:t>, IAB 3/30/16, effective 5/5/16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641—141.2</w:t>
      </w:r>
      <w:r>
        <w:rPr>
          <w:rFonts w:ascii="Times New Roman" w:hAnsi="Times New Roman"/>
          <w:b/>
          <w:i w:val="false"/>
          <w:color w:val="000000"/>
          <w:sz w:val="22"/>
        </w:rPr>
        <w:t xml:space="preserve">(321)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love our kids grant is to provide grant funding to statewide, regional and local agencies and service programs that have as their responsibility the development, promotion, and implementation of injury prevention and education initiatives for children in Iowa.</w:t>
      </w:r>
    </w:p>
    <w:p>
      <w:pPr>
        <w:spacing w:before="0" w:after="0"/>
        <w:ind w:left="120"/>
        <w:jc w:val="both"/>
      </w:pPr>
      <w:r>
        <w:rPr>
          <w:rFonts w:ascii="Times New Roman" w:hAnsi="Times New Roman"/>
          <w:b/>
          <w:i w:val="false"/>
          <w:color w:val="000000"/>
          <w:sz w:val="22"/>
        </w:rPr>
        <w:t>641—141.3</w:t>
      </w:r>
      <w:r>
        <w:rPr>
          <w:rFonts w:ascii="Times New Roman" w:hAnsi="Times New Roman"/>
          <w:b/>
          <w:i w:val="false"/>
          <w:color w:val="000000"/>
          <w:sz w:val="22"/>
        </w:rPr>
        <w:t xml:space="preserve">(321) </w:t>
      </w:r>
      <w:r>
        <w:rPr>
          <w:rFonts w:ascii="Times New Roman" w:hAnsi="Times New Roman"/>
          <w:b/>
          <w:i w:val="false"/>
          <w:color w:val="000000"/>
          <w:sz w:val="22"/>
        </w:rPr>
        <w:t xml:space="preserve">Funding limitations. </w:t>
      </w:r>
      <w:r>
        <w:rPr>
          <w:rFonts w:ascii="Times New Roman" w:hAnsi="Times New Roman"/>
          <w:b w:val="false"/>
          <w:i w:val="false"/>
          <w:color w:val="000000"/>
          <w:sz w:val="22"/>
        </w:rPr>
        <w:t>Grants awarded under this program shall be subject to the guidelines within the contract and the following,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141.3(1)</w:t>
      </w:r>
      <w:r>
        <w:rPr>
          <w:rFonts w:ascii="Times New Roman" w:hAnsi="Times New Roman"/>
          <w:b w:val="false"/>
          <w:i w:val="false"/>
          <w:color w:val="000000"/>
          <w:sz w:val="22"/>
        </w:rPr>
        <w:t> </w:t>
      </w:r>
      <w:r>
        <w:rPr>
          <w:rFonts w:ascii="Times New Roman" w:hAnsi="Times New Roman"/>
          <w:b w:val="false"/>
          <w:i w:val="false"/>
          <w:color w:val="000000"/>
          <w:sz w:val="22"/>
        </w:rPr>
        <w:t>Up to 10 percent of the funds generated by this program may be retained by the department for program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141.3(2)</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12/6/06</w:t>
      </w:r>
      <w:r>
        <w:rPr>
          <w:rFonts w:ascii="Times New Roman" w:hAnsi="Times New Roman"/>
          <w:b w:val="false"/>
          <w:i w:val="false"/>
          <w:color w:val="000000"/>
          <w:sz w:val="22"/>
        </w:rPr>
        <w:t>, effective 11/8/06.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141.3(3)</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the disbursement of the funds pursuant to subrule </w:t>
      </w:r>
      <w:hyperlink r:id="rId5">
        <w:r>
          <w:rPr>
            <w:rStyle w:val="Hyperlink"/>
            <w:rFonts w:ascii="Times New Roman" w:hAnsi="Times New Roman"/>
            <w:b w:val="false"/>
            <w:i w:val="false"/>
            <w:color w:val="000000"/>
            <w:sz w:val="22"/>
          </w:rPr>
          <w:t>141.3(1)</w:t>
        </w:r>
      </w:hyperlink>
      <w:r>
        <w:rPr>
          <w:rFonts w:ascii="Times New Roman" w:hAnsi="Times New Roman"/>
          <w:b w:val="false"/>
          <w:i w:val="false"/>
          <w:color w:val="000000"/>
          <w:sz w:val="22"/>
        </w:rPr>
        <w:t>, funding may be made available to statewide, regional and local agencies or service programs that are responsible for development, promotion, and implementation of injury prevention and education initiatives for children. To the extent possible, funds shall be awarded and equally distributed to applicants across all geographic areas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141.3(4)</w:t>
      </w:r>
      <w:r>
        <w:rPr>
          <w:rFonts w:ascii="Times New Roman" w:hAnsi="Times New Roman"/>
          <w:b w:val="false"/>
          <w:i w:val="false"/>
          <w:color w:val="000000"/>
          <w:sz w:val="22"/>
        </w:rPr>
        <w:t> </w:t>
      </w:r>
      <w:r>
        <w:rPr>
          <w:rFonts w:ascii="Times New Roman" w:hAnsi="Times New Roman"/>
          <w:b w:val="false"/>
          <w:i w:val="false"/>
          <w:color w:val="000000"/>
          <w:sz w:val="22"/>
        </w:rPr>
        <w:t>Expenditures occurring prior to the project period are not eligible for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141.3(5)</w:t>
      </w:r>
      <w:r>
        <w:rPr>
          <w:rFonts w:ascii="Times New Roman" w:hAnsi="Times New Roman"/>
          <w:b w:val="false"/>
          <w:i w:val="false"/>
          <w:color w:val="000000"/>
          <w:sz w:val="22"/>
        </w:rPr>
        <w:t> </w:t>
      </w:r>
      <w:r>
        <w:rPr>
          <w:rFonts w:ascii="Times New Roman" w:hAnsi="Times New Roman"/>
          <w:b w:val="false"/>
          <w:i w:val="false"/>
          <w:color w:val="000000"/>
          <w:sz w:val="22"/>
        </w:rPr>
        <w:t>Grant awards shall be subject to the availability of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2477C</w:t>
      </w:r>
      <w:r>
        <w:rPr>
          <w:rFonts w:ascii="Times New Roman" w:hAnsi="Times New Roman"/>
          <w:b w:val="false"/>
          <w:i w:val="false"/>
          <w:color w:val="000000"/>
          <w:sz w:val="16"/>
        </w:rPr>
        <w:t>, IAB 3/30/16, effective 5/5/16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641—141.4</w:t>
      </w:r>
      <w:r>
        <w:rPr>
          <w:rFonts w:ascii="Times New Roman" w:hAnsi="Times New Roman"/>
          <w:b/>
          <w:i w:val="false"/>
          <w:color w:val="000000"/>
          <w:sz w:val="22"/>
        </w:rPr>
        <w:t xml:space="preserve">(321) </w:t>
      </w:r>
      <w:r>
        <w:rPr>
          <w:rFonts w:ascii="Times New Roman" w:hAnsi="Times New Roman"/>
          <w:b/>
          <w:i w:val="false"/>
          <w:color w:val="000000"/>
          <w:sz w:val="22"/>
        </w:rPr>
        <w:t xml:space="preserve">Use of funds. </w:t>
      </w:r>
      <w:r>
        <w:rPr>
          <w:rFonts w:ascii="Times New Roman" w:hAnsi="Times New Roman"/>
          <w:b w:val="false"/>
          <w:i w:val="false"/>
          <w:color w:val="000000"/>
          <w:sz w:val="22"/>
        </w:rPr>
        <w:t>Funds may be used for injury prevention initiatives specified within the guidelines for children aged birth to 21, including but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Education and training materials;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Equipment, supplies, and materials;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Public information and education campaigns;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Conferences/seminars/workshops;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Contractual services;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Personnel costs.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2477C</w:t>
      </w:r>
      <w:r>
        <w:rPr>
          <w:rFonts w:ascii="Times New Roman" w:hAnsi="Times New Roman"/>
          <w:b w:val="false"/>
          <w:i w:val="false"/>
          <w:color w:val="000000"/>
          <w:sz w:val="16"/>
        </w:rPr>
        <w:t>, IAB 3/30/16, effective 5/5/16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641—141.5</w:t>
      </w:r>
      <w:r>
        <w:rPr>
          <w:rFonts w:ascii="Times New Roman" w:hAnsi="Times New Roman"/>
          <w:b/>
          <w:i w:val="false"/>
          <w:color w:val="000000"/>
          <w:sz w:val="22"/>
        </w:rPr>
        <w:t xml:space="preserve">(321) </w:t>
      </w:r>
      <w:r>
        <w:rPr>
          <w:rFonts w:ascii="Times New Roman" w:hAnsi="Times New Roman"/>
          <w:b/>
          <w:i w:val="false"/>
          <w:color w:val="000000"/>
          <w:sz w:val="22"/>
        </w:rPr>
        <w:t xml:space="preserve">Application process. </w:t>
      </w:r>
      <w:r>
        <w:rPr>
          <w:rFonts w:ascii="Times New Roman" w:hAnsi="Times New Roman"/>
          <w:b w:val="false"/>
          <w:i w:val="false"/>
          <w:color w:val="000000"/>
          <w:sz w:val="22"/>
        </w:rPr>
        <w:t>An application for a love our kids grant is required. Applications are available from the Iowa Department of Public Health, Bureau of Emergency and Trauma Services, Lucas State Office Building, Des Moines, Iowa 50319-0075. The application process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141.5(1)</w:t>
      </w:r>
      <w:r>
        <w:rPr>
          <w:rFonts w:ascii="Times New Roman" w:hAnsi="Times New Roman"/>
          <w:b w:val="false"/>
          <w:i w:val="false"/>
          <w:color w:val="000000"/>
          <w:sz w:val="22"/>
        </w:rPr>
        <w:t> </w:t>
      </w:r>
      <w:r>
        <w:rPr>
          <w:rFonts w:ascii="Times New Roman" w:hAnsi="Times New Roman"/>
          <w:b w:val="false"/>
          <w:i w:val="false"/>
          <w:color w:val="000000"/>
          <w:sz w:val="22"/>
        </w:rPr>
        <w:t>Applications from qualified applicants shall be submitted to the department in accordance with the department’s approved application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141.5(2)</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the application and may request clarification, approve the application, or deny the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2477C</w:t>
      </w:r>
      <w:r>
        <w:rPr>
          <w:rFonts w:ascii="Times New Roman" w:hAnsi="Times New Roman"/>
          <w:b w:val="false"/>
          <w:i w:val="false"/>
          <w:color w:val="000000"/>
          <w:sz w:val="16"/>
        </w:rPr>
        <w:t>, IAB 3/30/16, effective 5/5/16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641—141.6</w:t>
      </w:r>
      <w:r>
        <w:rPr>
          <w:rFonts w:ascii="Times New Roman" w:hAnsi="Times New Roman"/>
          <w:b/>
          <w:i w:val="false"/>
          <w:color w:val="000000"/>
          <w:sz w:val="22"/>
        </w:rPr>
        <w:t xml:space="preserve">(321) </w:t>
      </w:r>
      <w:r>
        <w:rPr>
          <w:rFonts w:ascii="Times New Roman" w:hAnsi="Times New Roman"/>
          <w:b/>
          <w:i w:val="false"/>
          <w:color w:val="000000"/>
          <w:sz w:val="22"/>
        </w:rPr>
        <w:t xml:space="preserve">Application denial—appeal. </w:t>
      </w:r>
      <w:r>
        <w:rPr>
          <w:rFonts w:ascii="Times New Roman" w:hAnsi="Times New Roman"/>
          <w:b w:val="false"/>
          <w:i w:val="false"/>
          <w:color w:val="000000"/>
          <w:sz w:val="22"/>
        </w:rPr>
        <w:t xml:space="preserve">An applicant may appeal the denial of a timely submitted application. Appeals shall be conducted pursuant to </w:t>
      </w:r>
      <w:hyperlink r:id="rId6">
        <w:r>
          <w:rPr>
            <w:rStyle w:val="Hyperlink"/>
            <w:rFonts w:ascii="Times New Roman" w:hAnsi="Times New Roman"/>
            <w:b w:val="false"/>
            <w:i w:val="false"/>
            <w:color w:val="000000"/>
            <w:sz w:val="22"/>
          </w:rPr>
          <w:t>641—Chapter 176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2477C</w:t>
      </w:r>
      <w:r>
        <w:rPr>
          <w:rFonts w:ascii="Times New Roman" w:hAnsi="Times New Roman"/>
          <w:b w:val="false"/>
          <w:i w:val="false"/>
          <w:color w:val="000000"/>
          <w:sz w:val="16"/>
        </w:rPr>
        <w:t>, IAB 3/30/16, effective 5/5/16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147A.4</w:t>
        </w:r>
      </w:hyperlink>
      <w:r>
        <w:rPr>
          <w:rFonts w:ascii="Times New Roman" w:hAnsi="Times New Roman"/>
          <w:b w:val="false"/>
          <w:i w:val="false"/>
          <w:color w:val="000000"/>
          <w:sz w:val="22"/>
        </w:rPr>
        <w:t xml:space="preserve"> and Iowa Code Supplement section </w:t>
      </w:r>
      <w:hyperlink r:id="rId8">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1/23/98, Notice 10/22/97—published 2/11/98, effective 3/18/98]</w:t>
      </w:r>
    </w:p>
    <w:p>
      <w:pPr>
        <w:spacing w:before="0" w:after="0"/>
        <w:ind w:left="120"/>
        <w:jc w:val="center"/>
      </w:pPr>
      <w:r>
        <w:rPr>
          <w:rFonts w:ascii="Times New Roman" w:hAnsi="Times New Roman"/>
          <w:b w:val="false"/>
          <w:i w:val="false"/>
          <w:color w:val="000000"/>
          <w:sz w:val="21"/>
        </w:rPr>
        <w:t>[Filed 1/13/05, Notice 11/24/04—published 2/2/05, effective 3/9/05]</w:t>
      </w:r>
    </w:p>
    <w:p>
      <w:pPr>
        <w:spacing w:before="0" w:after="0"/>
        <w:ind w:left="120"/>
        <w:jc w:val="center"/>
      </w:pPr>
      <w:r>
        <w:rPr>
          <w:rFonts w:ascii="Times New Roman" w:hAnsi="Times New Roman"/>
          <w:b w:val="false"/>
          <w:i w:val="false"/>
          <w:color w:val="000000"/>
          <w:sz w:val="21"/>
        </w:rPr>
        <w:t>[Filed emergency 11/8/06—published 12/6/06, effective 11/8/06]</w:t>
      </w:r>
    </w:p>
    <w:p>
      <w:pPr>
        <w:spacing w:before="0" w:after="0"/>
        <w:ind w:left="120"/>
        <w:jc w:val="center"/>
      </w:pPr>
      <w:r>
        <w:rPr>
          <w:rFonts w:ascii="Times New Roman" w:hAnsi="Times New Roman"/>
          <w:b w:val="false"/>
          <w:i w:val="false"/>
          <w:color w:val="000000"/>
          <w:sz w:val="21"/>
        </w:rPr>
        <w:t>[Filed 1/10/07, Notice 12/6/06—published 1/31/07, effective 3/7/07]</w:t>
      </w:r>
    </w:p>
    <w:p>
      <w:pPr>
        <w:spacing w:before="0" w:after="0"/>
        <w:ind w:left="120"/>
        <w:jc w:val="center"/>
      </w:pPr>
      <w:r>
        <w:rPr>
          <w:rFonts w:ascii="Times New Roman" w:hAnsi="Times New Roman"/>
          <w:b w:val="false"/>
          <w:i w:val="false"/>
          <w:color w:val="000000"/>
          <w:sz w:val="21"/>
        </w:rPr>
        <w:t>[Filed ARC 2477C</w:t>
      </w:r>
      <w:r>
        <w:rPr>
          <w:rFonts w:ascii="Times New Roman" w:hAnsi="Times New Roman"/>
          <w:b w:val="false"/>
          <w:i w:val="false"/>
          <w:color w:val="000000"/>
          <w:sz w:val="21"/>
        </w:rPr>
        <w:t xml:space="preserve"> (Notice ARC 2366C, IAB 1/20/16)</w:t>
      </w:r>
      <w:r>
        <w:rPr>
          <w:rFonts w:ascii="Times New Roman" w:hAnsi="Times New Roman"/>
          <w:b w:val="false"/>
          <w:i w:val="false"/>
          <w:color w:val="000000"/>
          <w:sz w:val="21"/>
        </w:rPr>
        <w:t>, IAB 3/30/16, effective 5/5/16]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1.141.3.pdf" Type="http://schemas.openxmlformats.org/officeDocument/2006/relationships/hyperlink" Id="rId5"/>
    <Relationship TargetMode="External" Target="https://www.legis.iowa.gov/docs/iac/chapter/641.176.pdf" Type="http://schemas.openxmlformats.org/officeDocument/2006/relationships/hyperlink" Id="rId6"/>
    <Relationship TargetMode="External" Target="https://www.legis.iowa.gov/docs/ico/chapter/147A.4.pdf" Type="http://schemas.openxmlformats.org/officeDocument/2006/relationships/hyperlink" Id="rId7"/>
    <Relationship TargetMode="External" Target="https://www.legis.iowa.gov/docs/ico/chapter/321.34.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