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138</w:t>
      </w:r>
    </w:p>
    <w:p>
      <w:pPr>
        <w:spacing w:before="0" w:after="0"/>
        <w:ind w:left="120"/>
        <w:jc w:val="center"/>
      </w:pPr>
      <w:r>
        <w:rPr>
          <w:rFonts w:ascii="Times New Roman" w:hAnsi="Times New Roman"/>
          <w:b w:val="false"/>
          <w:i w:val="false"/>
          <w:color w:val="000000"/>
          <w:sz w:val="21"/>
        </w:rPr>
        <w:t>TRAUMA SYSTEM ADVISORY COUNCIL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641—138.1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emergency medical care provider as defined in rule </w:t>
      </w:r>
      <w:hyperlink r:id="rId5">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system” </w:t>
      </w:r>
      <w:r>
        <w:rPr>
          <w:rFonts w:ascii="Times New Roman" w:hAnsi="Times New Roman"/>
          <w:b w:val="false"/>
          <w:i w:val="false"/>
          <w:color w:val="000000"/>
          <w:sz w:val="22"/>
        </w:rPr>
        <w:t>means an organized approach to providing personnel, facilities, and equipment for effective and coordinated trauma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“TSAC” </w:t>
      </w:r>
      <w:r>
        <w:rPr>
          <w:rFonts w:ascii="Times New Roman" w:hAnsi="Times New Roman"/>
          <w:b w:val="false"/>
          <w:i w:val="false"/>
          <w:color w:val="000000"/>
          <w:sz w:val="22"/>
        </w:rPr>
        <w:t xml:space="preserve">means the trauma system advisory council established pursuant to Iowa Code section </w:t>
      </w:r>
      <w:hyperlink r:id="rId6">
        <w:r>
          <w:rPr>
            <w:rStyle w:val="Hyperlink"/>
            <w:rFonts w:ascii="Times New Roman" w:hAnsi="Times New Roman"/>
            <w:b w:val="false"/>
            <w:i w:val="false"/>
            <w:color w:val="000000"/>
            <w:sz w:val="22"/>
          </w:rPr>
          <w:t>147A.24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641—138.2</w:t>
      </w:r>
      <w:r>
        <w:rPr>
          <w:rFonts w:ascii="Times New Roman" w:hAnsi="Times New Roman"/>
          <w:b/>
          <w:i w:val="false"/>
          <w:color w:val="000000"/>
          <w:sz w:val="22"/>
        </w:rPr>
        <w:t xml:space="preserve">(147A) </w:t>
      </w:r>
      <w:r>
        <w:rPr>
          <w:rFonts w:ascii="Times New Roman" w:hAnsi="Times New Roman"/>
          <w:b/>
          <w:i w:val="false"/>
          <w:color w:val="000000"/>
          <w:sz w:val="22"/>
        </w:rPr>
        <w:t xml:space="preserve">Purpose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138.2(1)</w:t>
      </w:r>
      <w:r>
        <w:rPr>
          <w:rFonts w:ascii="Times New Roman" w:hAnsi="Times New Roman"/>
          <w:b w:val="false"/>
          <w:i w:val="false"/>
          <w:color w:val="000000"/>
          <w:sz w:val="22"/>
        </w:rPr>
        <w:t> </w:t>
      </w:r>
      <w:r>
        <w:rPr>
          <w:rFonts w:ascii="Times New Roman" w:hAnsi="Times New Roman"/>
          <w:b w:val="false"/>
          <w:i w:val="false"/>
          <w:color w:val="000000"/>
          <w:sz w:val="22"/>
        </w:rPr>
        <w:t>The TSAC shall advise the department on issues and strategies to achieve optimal trauma care delivery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138.2(2)</w:t>
      </w:r>
      <w:r>
        <w:rPr>
          <w:rFonts w:ascii="Times New Roman" w:hAnsi="Times New Roman"/>
          <w:b w:val="false"/>
          <w:i w:val="false"/>
          <w:color w:val="000000"/>
          <w:sz w:val="22"/>
        </w:rPr>
        <w:t> </w:t>
      </w:r>
      <w:r>
        <w:rPr>
          <w:rFonts w:ascii="Times New Roman" w:hAnsi="Times New Roman"/>
          <w:b w:val="false"/>
          <w:i w:val="false"/>
          <w:color w:val="000000"/>
          <w:sz w:val="22"/>
        </w:rPr>
        <w:t>Duties of the TSAC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Annually reviewing Iowa Administrative Code rules related to the trauma care system to make recommendations to the department for changes to further promote optimal trauma care, including but not limited to review of this chapter and the following chapters: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641—Chapter 134</w:t>
        </w:r>
      </w:hyperlink>
      <w:r>
        <w:rPr>
          <w:rFonts w:ascii="Times New Roman" w:hAnsi="Times New Roman"/>
          <w:b w:val="false"/>
          <w:i w:val="false"/>
          <w:color w:val="000000"/>
          <w:sz w:val="22"/>
        </w:rPr>
        <w:t>, Trauma Care Facility Categorization and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hyperlink r:id="rId8">
        <w:r>
          <w:rPr>
            <w:rStyle w:val="Hyperlink"/>
            <w:rFonts w:ascii="Times New Roman" w:hAnsi="Times New Roman"/>
            <w:b w:val="false"/>
            <w:i w:val="false"/>
            <w:color w:val="000000"/>
            <w:sz w:val="22"/>
          </w:rPr>
          <w:t>641—Chapter 135</w:t>
        </w:r>
      </w:hyperlink>
      <w:r>
        <w:rPr>
          <w:rFonts w:ascii="Times New Roman" w:hAnsi="Times New Roman"/>
          <w:b w:val="false"/>
          <w:i w:val="false"/>
          <w:color w:val="000000"/>
          <w:sz w:val="22"/>
        </w:rPr>
        <w:t>, Trauma Triage and Transfer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hyperlink r:id="rId9">
        <w:r>
          <w:rPr>
            <w:rStyle w:val="Hyperlink"/>
            <w:rFonts w:ascii="Times New Roman" w:hAnsi="Times New Roman"/>
            <w:b w:val="false"/>
            <w:i w:val="false"/>
            <w:color w:val="000000"/>
            <w:sz w:val="22"/>
          </w:rPr>
          <w:t>641—Chapter 136</w:t>
        </w:r>
      </w:hyperlink>
      <w:r>
        <w:rPr>
          <w:rFonts w:ascii="Times New Roman" w:hAnsi="Times New Roman"/>
          <w:b w:val="false"/>
          <w:i w:val="false"/>
          <w:color w:val="000000"/>
          <w:sz w:val="22"/>
        </w:rPr>
        <w:t>, Trauma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641—Chapter 137</w:t>
        </w:r>
      </w:hyperlink>
      <w:r>
        <w:rPr>
          <w:rFonts w:ascii="Times New Roman" w:hAnsi="Times New Roman"/>
          <w:b w:val="false"/>
          <w:i w:val="false"/>
          <w:color w:val="000000"/>
          <w:sz w:val="22"/>
        </w:rPr>
        <w:t>, Trauma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the department in development and implementation of an Iowa trauma care plan inclusive of all aspects of the statewide trauma system utilizing a system assessment and annual benchmarking.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and maintaining criteria for the categorization of all hospitals and emergency care facilities according to their trauma care capabilities. These categories shall be for Levels I, II, III, and IV, based on the most current guidelines published by the American College of Surgeons’ committee on trauma, the American College of Emergency Physicians, and the model trauma care plan of the U.S. Department of Health and Human Services’ Health Resources and Services Administration. These criteria are established in </w:t>
      </w:r>
      <w:hyperlink r:id="rId11">
        <w:r>
          <w:rPr>
            <w:rStyle w:val="Hyperlink"/>
            <w:rFonts w:ascii="Times New Roman" w:hAnsi="Times New Roman"/>
            <w:b w:val="false"/>
            <w:i w:val="false"/>
            <w:color w:val="000000"/>
            <w:sz w:val="22"/>
          </w:rPr>
          <w:t>641—Chapter 134</w:t>
        </w:r>
      </w:hyperlink>
      <w:r>
        <w:rPr>
          <w:rFonts w:ascii="Times New Roman" w:hAnsi="Times New Roman"/>
          <w:b w:val="false"/>
          <w:i w:val="false"/>
          <w:color w:val="000000"/>
          <w:sz w:val="22"/>
        </w:rPr>
        <w:t xml:space="preserve">, and TSAC shall, pursuant to paragraph </w:t>
      </w:r>
      <w:hyperlink r:id="rId12">
        <w:r>
          <w:rPr>
            <w:rStyle w:val="Hyperlink"/>
            <w:rFonts w:ascii="Times New Roman" w:hAnsi="Times New Roman"/>
            <w:b w:val="false"/>
            <w:i w:val="false"/>
            <w:color w:val="000000"/>
            <w:sz w:val="22"/>
          </w:rPr>
          <w:t>138.2(2)</w:t>
        </w:r>
        <w:r>
          <w:rPr>
            <w:rFonts w:ascii="Times New Roman" w:hAnsi="Times New Roman"/>
            <w:b w:val="false"/>
            <w:i/>
            <w:color w:val="000000"/>
            <w:sz w:val="22"/>
          </w:rPr>
          <w:t>“a,”</w:t>
        </w:r>
      </w:hyperlink>
      <w:r>
        <w:rPr>
          <w:rFonts w:ascii="Times New Roman" w:hAnsi="Times New Roman"/>
          <w:b w:val="false"/>
          <w:i w:val="false"/>
          <w:color w:val="000000"/>
          <w:sz w:val="22"/>
        </w:rPr>
        <w:t xml:space="preserve"> annually review the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and maintaining a process for the verification of the trauma care capacity of each facility and the issuance of a certificate of verification. This process is established in </w:t>
      </w:r>
      <w:hyperlink r:id="rId13">
        <w:r>
          <w:rPr>
            <w:rStyle w:val="Hyperlink"/>
            <w:rFonts w:ascii="Times New Roman" w:hAnsi="Times New Roman"/>
            <w:b w:val="false"/>
            <w:i w:val="false"/>
            <w:color w:val="000000"/>
            <w:sz w:val="22"/>
          </w:rPr>
          <w:t>641—Chapter 134</w:t>
        </w:r>
      </w:hyperlink>
      <w:r>
        <w:rPr>
          <w:rFonts w:ascii="Times New Roman" w:hAnsi="Times New Roman"/>
          <w:b w:val="false"/>
          <w:i w:val="false"/>
          <w:color w:val="000000"/>
          <w:sz w:val="22"/>
        </w:rPr>
        <w:t xml:space="preserve">, and TSAC shall, pursuant to paragraph </w:t>
      </w:r>
      <w:hyperlink r:id="rId14">
        <w:r>
          <w:rPr>
            <w:rStyle w:val="Hyperlink"/>
            <w:rFonts w:ascii="Times New Roman" w:hAnsi="Times New Roman"/>
            <w:b w:val="false"/>
            <w:i w:val="false"/>
            <w:color w:val="000000"/>
            <w:sz w:val="22"/>
          </w:rPr>
          <w:t>138.2(2)</w:t>
        </w:r>
        <w:r>
          <w:rPr>
            <w:rFonts w:ascii="Times New Roman" w:hAnsi="Times New Roman"/>
            <w:b w:val="false"/>
            <w:i/>
            <w:color w:val="000000"/>
            <w:sz w:val="22"/>
          </w:rPr>
          <w:t>“a,”</w:t>
        </w:r>
      </w:hyperlink>
      <w:r>
        <w:rPr>
          <w:rFonts w:ascii="Times New Roman" w:hAnsi="Times New Roman"/>
          <w:b w:val="false"/>
          <w:i w:val="false"/>
          <w:color w:val="000000"/>
          <w:sz w:val="22"/>
        </w:rPr>
        <w:t xml:space="preserve"> annually review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and maintaining standards for medical direction, trauma care, and triage and transfer protocols. These standards are established in </w:t>
      </w:r>
      <w:hyperlink r:id="rId15">
        <w:r>
          <w:rPr>
            <w:rStyle w:val="Hyperlink"/>
            <w:rFonts w:ascii="Times New Roman" w:hAnsi="Times New Roman"/>
            <w:b w:val="false"/>
            <w:i w:val="false"/>
            <w:color w:val="000000"/>
            <w:sz w:val="22"/>
          </w:rPr>
          <w:t>641—Chapter 135</w:t>
        </w:r>
      </w:hyperlink>
      <w:r>
        <w:rPr>
          <w:rFonts w:ascii="Times New Roman" w:hAnsi="Times New Roman"/>
          <w:b w:val="false"/>
          <w:i w:val="false"/>
          <w:color w:val="000000"/>
          <w:sz w:val="22"/>
        </w:rPr>
        <w:t xml:space="preserve">, and TSAC shall, pursuant to paragraph </w:t>
      </w:r>
      <w:hyperlink r:id="rId16">
        <w:r>
          <w:rPr>
            <w:rStyle w:val="Hyperlink"/>
            <w:rFonts w:ascii="Times New Roman" w:hAnsi="Times New Roman"/>
            <w:b w:val="false"/>
            <w:i w:val="false"/>
            <w:color w:val="000000"/>
            <w:sz w:val="22"/>
          </w:rPr>
          <w:t>138.2(2)</w:t>
        </w:r>
        <w:r>
          <w:rPr>
            <w:rFonts w:ascii="Times New Roman" w:hAnsi="Times New Roman"/>
            <w:b w:val="false"/>
            <w:i/>
            <w:color w:val="000000"/>
            <w:sz w:val="22"/>
          </w:rPr>
          <w:t>“a,”</w:t>
        </w:r>
      </w:hyperlink>
      <w:r>
        <w:rPr>
          <w:rFonts w:ascii="Times New Roman" w:hAnsi="Times New Roman"/>
          <w:b w:val="false"/>
          <w:i w:val="false"/>
          <w:color w:val="000000"/>
          <w:sz w:val="22"/>
        </w:rPr>
        <w:t xml:space="preserve"> annually review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and maintaining standards for trauma registries. These standards are established in </w:t>
      </w:r>
      <w:hyperlink r:id="rId17">
        <w:r>
          <w:rPr>
            <w:rStyle w:val="Hyperlink"/>
            <w:rFonts w:ascii="Times New Roman" w:hAnsi="Times New Roman"/>
            <w:b w:val="false"/>
            <w:i w:val="false"/>
            <w:color w:val="000000"/>
            <w:sz w:val="22"/>
          </w:rPr>
          <w:t>641—Chapter 136</w:t>
        </w:r>
      </w:hyperlink>
      <w:r>
        <w:rPr>
          <w:rFonts w:ascii="Times New Roman" w:hAnsi="Times New Roman"/>
          <w:b w:val="false"/>
          <w:i w:val="false"/>
          <w:color w:val="000000"/>
          <w:sz w:val="22"/>
        </w:rPr>
        <w:t xml:space="preserve">, and TSAC shall, pursuant to paragraph </w:t>
      </w:r>
      <w:hyperlink r:id="rId18">
        <w:r>
          <w:rPr>
            <w:rStyle w:val="Hyperlink"/>
            <w:rFonts w:ascii="Times New Roman" w:hAnsi="Times New Roman"/>
            <w:b w:val="false"/>
            <w:i w:val="false"/>
            <w:color w:val="000000"/>
            <w:sz w:val="22"/>
          </w:rPr>
          <w:t>138.2(2)</w:t>
        </w:r>
        <w:r>
          <w:rPr>
            <w:rFonts w:ascii="Times New Roman" w:hAnsi="Times New Roman"/>
            <w:b w:val="false"/>
            <w:i/>
            <w:color w:val="000000"/>
            <w:sz w:val="22"/>
          </w:rPr>
          <w:t>“a,”</w:t>
        </w:r>
      </w:hyperlink>
      <w:r>
        <w:rPr>
          <w:rFonts w:ascii="Times New Roman" w:hAnsi="Times New Roman"/>
          <w:b w:val="false"/>
          <w:i w:val="false"/>
          <w:color w:val="000000"/>
          <w:sz w:val="22"/>
        </w:rPr>
        <w:t xml:space="preserve"> annually review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department to develop trauma standards for medical direction, procedures, and protocols to support a statewide trauma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Developing, implementing, and conducting trauma care system evaluation, quality assessment, and quality improvement in coordination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Partnering with the department to promote public information and educational activities for injury prevention and in support of the statewide trauma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641—138.3</w:t>
      </w:r>
      <w:r>
        <w:rPr>
          <w:rFonts w:ascii="Times New Roman" w:hAnsi="Times New Roman"/>
          <w:b/>
          <w:i w:val="false"/>
          <w:color w:val="000000"/>
          <w:sz w:val="22"/>
        </w:rPr>
        <w:t xml:space="preserve">(147A) </w:t>
      </w:r>
      <w:r>
        <w:rPr>
          <w:rFonts w:ascii="Times New Roman" w:hAnsi="Times New Roman"/>
          <w:b/>
          <w:i w:val="false"/>
          <w:color w:val="000000"/>
          <w:sz w:val="22"/>
        </w:rPr>
        <w:t xml:space="preserve">Appointment and 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seven members of the TSAC shall be appointed by the director from the recommendations of the organizations listed in subrule </w:t>
      </w:r>
      <w:hyperlink r:id="rId19">
        <w:r>
          <w:rPr>
            <w:rStyle w:val="Hyperlink"/>
            <w:rFonts w:ascii="Times New Roman" w:hAnsi="Times New Roman"/>
            <w:b w:val="false"/>
            <w:i w:val="false"/>
            <w:color w:val="000000"/>
            <w:sz w:val="22"/>
          </w:rPr>
          <w:t>138.3(4)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138.3(2)</w:t>
      </w:r>
      <w:r>
        <w:rPr>
          <w:rFonts w:ascii="Times New Roman" w:hAnsi="Times New Roman"/>
          <w:b w:val="false"/>
          <w:i w:val="false"/>
          <w:color w:val="000000"/>
          <w:sz w:val="22"/>
        </w:rPr>
        <w:t> </w:t>
      </w:r>
      <w:r>
        <w:rPr>
          <w:rFonts w:ascii="Times New Roman" w:hAnsi="Times New Roman"/>
          <w:b w:val="false"/>
          <w:i w:val="false"/>
          <w:color w:val="000000"/>
          <w:sz w:val="22"/>
        </w:rPr>
        <w:t>Appointments shall be for two-year staggered terms, which shall expire on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138.3(3)</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138.3(4)</w:t>
      </w:r>
      <w:r>
        <w:rPr>
          <w:rFonts w:ascii="Times New Roman" w:hAnsi="Times New Roman"/>
          <w:b w:val="false"/>
          <w:i w:val="false"/>
          <w:color w:val="000000"/>
          <w:sz w:val="22"/>
        </w:rPr>
        <w:t> </w:t>
      </w:r>
      <w:r>
        <w:rPr>
          <w:rFonts w:ascii="Times New Roman" w:hAnsi="Times New Roman"/>
          <w:b w:val="false"/>
          <w:i w:val="false"/>
          <w:color w:val="000000"/>
          <w:sz w:val="22"/>
        </w:rPr>
        <w:t>Membership. The voting membership of the TSAC shall be comprised of seven members, appointed by the director, who are selected from the pool of individuals recommended from the following organizations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Academy of 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American College of Emergency Physicians, Iowa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College of Surgeons, Iowa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Governor’s traffic safety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Academy of Family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Iowa Emergency Medical Services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Iowa Emergency Nurses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Iowa Hospital Association representing rural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Iowa Hospital Association representing urban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Iowa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Iowa Osteopathic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Iowa Physician Assistant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Iowa Society of Anesthesiologists.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Orthopedic System Advisory Council of the American Academy of Orthopedic Surgeons, Iowa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delivery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Iowa’s Medicare quality improvement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Trauma nurse coordinator representing a trauma registry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University of Iowa, Injury Prevention Research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138.3(5)</w:t>
      </w:r>
      <w:r>
        <w:rPr>
          <w:rFonts w:ascii="Times New Roman" w:hAnsi="Times New Roman"/>
          <w:b w:val="false"/>
          <w:i w:val="false"/>
          <w:color w:val="000000"/>
          <w:sz w:val="22"/>
        </w:rPr>
        <w:t> </w:t>
      </w:r>
      <w:r>
        <w:rPr>
          <w:rFonts w:ascii="Times New Roman" w:hAnsi="Times New Roman"/>
          <w:b w:val="false"/>
          <w:i w:val="false"/>
          <w:color w:val="000000"/>
          <w:sz w:val="22"/>
        </w:rPr>
        <w:t>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unexcused absences in a 12-month period shall be grounds for the director to consider an alternate representative to fill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Absences may be excused by notification provided to the chairperson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TSAC shall be charged with providing notification of absences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4703C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641—138.4</w:t>
      </w:r>
      <w:r>
        <w:rPr>
          <w:rFonts w:ascii="Times New Roman" w:hAnsi="Times New Roman"/>
          <w:b/>
          <w:i w:val="false"/>
          <w:color w:val="000000"/>
          <w:sz w:val="22"/>
        </w:rPr>
        <w:t xml:space="preserve">(147A) </w:t>
      </w:r>
      <w:r>
        <w:rPr>
          <w:rFonts w:ascii="Times New Roman" w:hAnsi="Times New Roman"/>
          <w:b/>
          <w:i w:val="false"/>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138.4(1)</w:t>
      </w:r>
      <w:r>
        <w:rPr>
          <w:rFonts w:ascii="Times New Roman" w:hAnsi="Times New Roman"/>
          <w:b w:val="false"/>
          <w:i w:val="false"/>
          <w:color w:val="000000"/>
          <w:sz w:val="22"/>
        </w:rPr>
        <w:t> </w:t>
      </w:r>
      <w:r>
        <w:rPr>
          <w:rFonts w:ascii="Times New Roman" w:hAnsi="Times New Roman"/>
          <w:b w:val="false"/>
          <w:i w:val="false"/>
          <w:color w:val="000000"/>
          <w:sz w:val="22"/>
        </w:rPr>
        <w:t>Officers of the TSAC shall consist of a chairperson and a vice chairperson, who shall be elected at the first meeting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Officers may serve no more than three consecutive terms as chairperson or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chairperson shall be filled by elevation of the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vice chairperson shall be filled by election at the next meeting after the vacancy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138.4(2)</w:t>
      </w:r>
      <w:r>
        <w:rPr>
          <w:rFonts w:ascii="Times New Roman" w:hAnsi="Times New Roman"/>
          <w:b w:val="false"/>
          <w:i w:val="false"/>
          <w:color w:val="000000"/>
          <w:sz w:val="22"/>
        </w:rPr>
        <w:t> </w:t>
      </w:r>
      <w:r>
        <w:rPr>
          <w:rFonts w:ascii="Times New Roman" w:hAnsi="Times New Roman"/>
          <w:b w:val="false"/>
          <w:i w:val="false"/>
          <w:color w:val="000000"/>
          <w:sz w:val="22"/>
        </w:rPr>
        <w:t>Duties of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 at all meetings of the TSAC,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Appoint such subcommittees as deemed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the chairperson of each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chairperson if the chairperson is absent or unable to act. When so acting, the vice chairperson shall have all the powers of and be subject to all restrictions upon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such other duties as may be assigned by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641—138.5</w:t>
      </w:r>
      <w:r>
        <w:rPr>
          <w:rFonts w:ascii="Times New Roman" w:hAnsi="Times New Roman"/>
          <w:b/>
          <w:i w:val="false"/>
          <w:color w:val="000000"/>
          <w:sz w:val="22"/>
        </w:rPr>
        <w:t xml:space="preserve">(147A)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138.5(1)</w:t>
      </w:r>
      <w:r>
        <w:rPr>
          <w:rFonts w:ascii="Times New Roman" w:hAnsi="Times New Roman"/>
          <w:b w:val="false"/>
          <w:i w:val="false"/>
          <w:color w:val="000000"/>
          <w:sz w:val="22"/>
        </w:rPr>
        <w:t> </w:t>
      </w:r>
      <w:r>
        <w:rPr>
          <w:rFonts w:ascii="Times New Roman" w:hAnsi="Times New Roman"/>
          <w:b w:val="false"/>
          <w:i w:val="false"/>
          <w:color w:val="000000"/>
          <w:sz w:val="22"/>
        </w:rPr>
        <w:t>The TSAC shall establish a meeting schedule on an annual basis to conduct its business. There shall be a minimum of four meetings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Meetings may be scheduled as business requires, but notice to members must be given at least five working days prior to the meeting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given four weeks in advance is encouraged to accommodate the schedules of professional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138.5(2)</w:t>
      </w:r>
      <w:r>
        <w:rPr>
          <w:rFonts w:ascii="Times New Roman" w:hAnsi="Times New Roman"/>
          <w:b w:val="false"/>
          <w:i w:val="false"/>
          <w:color w:val="000000"/>
          <w:sz w:val="22"/>
        </w:rPr>
        <w:t> </w:t>
      </w:r>
      <w:r>
        <w:rPr>
          <w:rFonts w:ascii="Times New Roman" w:hAnsi="Times New Roman"/>
          <w:b w:val="false"/>
          <w:i w:val="false"/>
          <w:color w:val="000000"/>
          <w:sz w:val="22"/>
        </w:rPr>
        <w:t>Any TSAC member who is unable to attend the meeting will notify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138.5(3)</w:t>
      </w:r>
      <w:r>
        <w:rPr>
          <w:rFonts w:ascii="Times New Roman" w:hAnsi="Times New Roman"/>
          <w:b w:val="false"/>
          <w:i w:val="false"/>
          <w:color w:val="000000"/>
          <w:sz w:val="22"/>
        </w:rPr>
        <w:t> </w:t>
      </w:r>
      <w:r>
        <w:rPr>
          <w:rFonts w:ascii="Times New Roman" w:hAnsi="Times New Roman"/>
          <w:b w:val="false"/>
          <w:i w:val="false"/>
          <w:color w:val="000000"/>
          <w:sz w:val="22"/>
        </w:rPr>
        <w:t>A majority of appointed members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138.5(4)</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affirmative vote of the majority of those present. No official business that requires a vote of the membership shall be conducted without a quorum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138.5(5)</w:t>
      </w:r>
      <w:r>
        <w:rPr>
          <w:rFonts w:ascii="Times New Roman" w:hAnsi="Times New Roman"/>
          <w:b w:val="false"/>
          <w:i w:val="false"/>
          <w:color w:val="000000"/>
          <w:sz w:val="22"/>
        </w:rPr>
        <w:t> </w:t>
      </w:r>
      <w:r>
        <w:rPr>
          <w:rFonts w:ascii="Times New Roman" w:hAnsi="Times New Roman"/>
          <w:b w:val="false"/>
          <w:i w:val="false"/>
          <w:color w:val="000000"/>
          <w:sz w:val="22"/>
        </w:rPr>
        <w:t>Persons wishing to make a presentation to the TSAC shall submit the request to the chairperson not less than 14 days prior to the meeting. Presentations may be made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138.5(6)</w:t>
      </w:r>
      <w:r>
        <w:rPr>
          <w:rFonts w:ascii="Times New Roman" w:hAnsi="Times New Roman"/>
          <w:b w:val="false"/>
          <w:i w:val="false"/>
          <w:color w:val="000000"/>
          <w:sz w:val="22"/>
        </w:rPr>
        <w:t> </w:t>
      </w:r>
      <w:r>
        <w:rPr>
          <w:rFonts w:ascii="Times New Roman" w:hAnsi="Times New Roman"/>
          <w:b w:val="false"/>
          <w:i w:val="false"/>
          <w:color w:val="000000"/>
          <w:sz w:val="22"/>
        </w:rPr>
        <w:t>Persons wishing to submit written materials should do so at least 14 days in advance of the scheduled meeting to ensure that TSAC members have adequate time to receive and evaluate the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138.5(7)</w:t>
      </w:r>
      <w:r>
        <w:rPr>
          <w:rFonts w:ascii="Times New Roman" w:hAnsi="Times New Roman"/>
          <w:b w:val="false"/>
          <w:i w:val="false"/>
          <w:color w:val="000000"/>
          <w:sz w:val="22"/>
        </w:rPr>
        <w:t> </w:t>
      </w:r>
      <w:r>
        <w:rPr>
          <w:rFonts w:ascii="Times New Roman" w:hAnsi="Times New Roman"/>
          <w:b w:val="false"/>
          <w:i w:val="false"/>
          <w:color w:val="000000"/>
          <w:sz w:val="22"/>
        </w:rPr>
        <w:t xml:space="preserve">TSAC may conduct meetings by electronic means pursuant to Iowa Code section </w:t>
      </w:r>
      <w:hyperlink r:id="rId20">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641—138.6</w:t>
      </w:r>
      <w:r>
        <w:rPr>
          <w:rFonts w:ascii="Times New Roman" w:hAnsi="Times New Roman"/>
          <w:b/>
          <w:i w:val="false"/>
          <w:color w:val="000000"/>
          <w:sz w:val="22"/>
        </w:rPr>
        <w:t xml:space="preserve">(147A) </w:t>
      </w:r>
      <w:r>
        <w:rPr>
          <w:rFonts w:ascii="Times New Roman" w:hAnsi="Times New Roman"/>
          <w:b/>
          <w:i w:val="false"/>
          <w:color w:val="000000"/>
          <w:sz w:val="22"/>
        </w:rPr>
        <w:t xml:space="preserve">Subcommittees. </w:t>
      </w:r>
      <w:r>
        <w:rPr>
          <w:rFonts w:ascii="Times New Roman" w:hAnsi="Times New Roman"/>
          <w:b w:val="false"/>
          <w:i w:val="false"/>
          <w:color w:val="000000"/>
          <w:sz w:val="22"/>
        </w:rPr>
        <w:t>TSAC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641—138.7</w:t>
      </w:r>
      <w:r>
        <w:rPr>
          <w:rFonts w:ascii="Times New Roman" w:hAnsi="Times New Roman"/>
          <w:b/>
          <w:i w:val="false"/>
          <w:color w:val="000000"/>
          <w:sz w:val="22"/>
        </w:rPr>
        <w:t xml:space="preserve">(147A) </w:t>
      </w:r>
      <w:r>
        <w:rPr>
          <w:rFonts w:ascii="Times New Roman" w:hAnsi="Times New Roman"/>
          <w:b/>
          <w:i w:val="false"/>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by and furnished to the department pursuant to Iowa Code section </w:t>
      </w:r>
      <w:hyperlink r:id="rId21">
        <w:r>
          <w:rPr>
            <w:rStyle w:val="Hyperlink"/>
            <w:rFonts w:ascii="Times New Roman" w:hAnsi="Times New Roman"/>
            <w:b w:val="false"/>
            <w:i w:val="false"/>
            <w:color w:val="000000"/>
            <w:sz w:val="22"/>
          </w:rPr>
          <w:t>147A.26</w:t>
        </w:r>
      </w:hyperlink>
      <w:r>
        <w:rPr>
          <w:rFonts w:ascii="Times New Roman" w:hAnsi="Times New Roman"/>
          <w:b w:val="false"/>
          <w:i w:val="false"/>
          <w:color w:val="000000"/>
          <w:sz w:val="22"/>
        </w:rPr>
        <w:t xml:space="preserve"> are confidential records of the condition, diagnosis, care, or treatment of patients or former patients, including outpatients, and shall not be public record under Iowa Code chapter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confidentiality of patients is to be protected, and the laws of this state shall apply with regard to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138.7(2)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Proceedings, records, and reports reviewed or developed pursuant to Iowa Code section </w:t>
      </w:r>
      <w:hyperlink r:id="rId23">
        <w:r>
          <w:rPr>
            <w:rStyle w:val="Hyperlink"/>
            <w:rFonts w:ascii="Times New Roman" w:hAnsi="Times New Roman"/>
            <w:b w:val="false"/>
            <w:i w:val="false"/>
            <w:color w:val="000000"/>
            <w:sz w:val="22"/>
          </w:rPr>
          <w:t>147A.24</w:t>
        </w:r>
      </w:hyperlink>
      <w:r>
        <w:rPr>
          <w:rFonts w:ascii="Times New Roman" w:hAnsi="Times New Roman"/>
          <w:b w:val="false"/>
          <w:i w:val="false"/>
          <w:color w:val="000000"/>
          <w:sz w:val="22"/>
        </w:rPr>
        <w:t xml:space="preserve"> constitute peer review records under Iowa Code section </w:t>
      </w:r>
      <w:hyperlink r:id="rId24">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and are not subject to discovery by subpoena or admissible as evidence. All information and documents received from a hospital or emergency care facility under Iowa Code chapter </w:t>
      </w:r>
      <w:hyperlink r:id="rId2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shall be confidential pursuant to Iowa Code section </w:t>
      </w:r>
      <w:hyperlink r:id="rId2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138.7(3)</w:t>
      </w:r>
      <w:r>
        <w:rPr>
          <w:rFonts w:ascii="Times New Roman" w:hAnsi="Times New Roman"/>
          <w:b w:val="false"/>
          <w:i w:val="false"/>
          <w:color w:val="000000"/>
          <w:sz w:val="22"/>
        </w:rPr>
        <w:t> </w:t>
      </w:r>
      <w:r>
        <w:rPr>
          <w:rFonts w:ascii="Times New Roman" w:hAnsi="Times New Roman"/>
          <w:b w:val="false"/>
          <w:i w:val="false"/>
          <w:color w:val="000000"/>
          <w:sz w:val="22"/>
        </w:rPr>
        <w:t xml:space="preserve">TSAC or subcommittees of TSAC may enter into closed session proceeding pursuant to Iowa Code section </w:t>
      </w:r>
      <w:hyperlink r:id="rId2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138.7(4)</w:t>
      </w:r>
      <w:r>
        <w:rPr>
          <w:rFonts w:ascii="Times New Roman" w:hAnsi="Times New Roman"/>
          <w:b w:val="false"/>
          <w:i w:val="false"/>
          <w:color w:val="000000"/>
          <w:sz w:val="22"/>
        </w:rPr>
        <w:t> </w:t>
      </w:r>
      <w:r>
        <w:rPr>
          <w:rFonts w:ascii="Times New Roman" w:hAnsi="Times New Roman"/>
          <w:b w:val="false"/>
          <w:i w:val="false"/>
          <w:color w:val="000000"/>
          <w:sz w:val="22"/>
        </w:rPr>
        <w:t>All council and subcommittee members shall sign a confidentiality agreement not to divulge or discuss information obtained during a TSAC or subcommittee closed session proceeding. The signed confidentiality statements shall be kept on file at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641—138.8</w:t>
      </w:r>
      <w:r>
        <w:rPr>
          <w:rFonts w:ascii="Times New Roman" w:hAnsi="Times New Roman"/>
          <w:b/>
          <w:i w:val="false"/>
          <w:color w:val="000000"/>
          <w:sz w:val="22"/>
        </w:rPr>
        <w:t xml:space="preserve">(147A) </w:t>
      </w:r>
      <w:r>
        <w:rPr>
          <w:rFonts w:ascii="Times New Roman" w:hAnsi="Times New Roman"/>
          <w:b/>
          <w:i w:val="false"/>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pursuant to Iowa Code section </w:t>
      </w:r>
      <w:hyperlink r:id="rId2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shall keep minutes of open session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pursuant to Iowa Code section </w:t>
      </w:r>
      <w:hyperlink r:id="rId29">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shall also maintain minutes and tape recordings of closed session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641—138.9</w:t>
      </w:r>
      <w:r>
        <w:rPr>
          <w:rFonts w:ascii="Times New Roman" w:hAnsi="Times New Roman"/>
          <w:b/>
          <w:i w:val="false"/>
          <w:color w:val="000000"/>
          <w:sz w:val="22"/>
        </w:rPr>
        <w:t xml:space="preserve">(147A) </w:t>
      </w:r>
      <w:r>
        <w:rPr>
          <w:rFonts w:ascii="Times New Roman" w:hAnsi="Times New Roman"/>
          <w:b/>
          <w:i w:val="false"/>
          <w:color w:val="000000"/>
          <w:sz w:val="22"/>
        </w:rPr>
        <w:t xml:space="preserve">Expenses of advisory council members.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4703C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10/9/19</w:t>
      </w:r>
      <w:r>
        <w:rPr>
          <w:rFonts w:ascii="Times New Roman" w:hAnsi="Times New Roman"/>
          <w:b w:val="false"/>
          <w:i w:val="false"/>
          <w:color w:val="000000"/>
          <w:sz w:val="22"/>
        </w:rPr>
        <w:t xml:space="preserve">, effective 11/13/19. </w:t>
      </w:r>
    </w:p>
    <w:p>
      <w:pPr>
        <w:spacing w:before="0" w:after="0"/>
        <w:ind w:left="120"/>
        <w:jc w:val="both"/>
      </w:pPr>
      <w:r>
        <w:rPr>
          <w:rFonts w:ascii="Times New Roman" w:hAnsi="Times New Roman"/>
          <w:b/>
          <w:i w:val="false"/>
          <w:color w:val="000000"/>
          <w:sz w:val="22"/>
        </w:rPr>
        <w:t>641—138.10</w:t>
      </w:r>
      <w:r>
        <w:rPr>
          <w:rFonts w:ascii="Times New Roman" w:hAnsi="Times New Roman"/>
          <w:b/>
          <w:i w:val="false"/>
          <w:color w:val="000000"/>
          <w:sz w:val="22"/>
        </w:rPr>
        <w:t xml:space="preserve">(147A) </w:t>
      </w:r>
      <w:r>
        <w:rPr>
          <w:rFonts w:ascii="Times New Roman" w:hAnsi="Times New Roman"/>
          <w:b/>
          <w:i w:val="false"/>
          <w:color w:val="000000"/>
          <w:sz w:val="22"/>
        </w:rPr>
        <w:t xml:space="preserve">Council composition. </w:t>
      </w:r>
      <w:r>
        <w:rPr>
          <w:rFonts w:ascii="Times New Roman" w:hAnsi="Times New Roman"/>
          <w:b w:val="false"/>
          <w:i w:val="false"/>
          <w:color w:val="000000"/>
          <w:sz w:val="22"/>
        </w:rPr>
        <w:t xml:space="preserve">The council’s composition shall be developed and maintained pursuant to Iowa Code chapter </w:t>
      </w:r>
      <w:hyperlink r:id="rId30">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2566C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2566C</w:t>
      </w:r>
      <w:r>
        <w:rPr>
          <w:rFonts w:ascii="Times New Roman" w:hAnsi="Times New Roman"/>
          <w:b w:val="false"/>
          <w:i w:val="false"/>
          <w:color w:val="000000"/>
          <w:sz w:val="21"/>
        </w:rPr>
        <w:t xml:space="preserve"> (Notice ARC 2448C, IAB 3/16/16)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4703C</w:t>
      </w:r>
      <w:r>
        <w:rPr>
          <w:rFonts w:ascii="Times New Roman" w:hAnsi="Times New Roman"/>
          <w:b w:val="false"/>
          <w:i w:val="false"/>
          <w:color w:val="000000"/>
          <w:sz w:val="21"/>
        </w:rPr>
        <w:t xml:space="preserve"> (Notice ARC 4539C, IAB 7/17/19)</w:t>
      </w:r>
      <w:r>
        <w:rPr>
          <w:rFonts w:ascii="Times New Roman" w:hAnsi="Times New Roman"/>
          <w:b w:val="false"/>
          <w:i w:val="false"/>
          <w:color w:val="000000"/>
          <w:sz w:val="21"/>
        </w:rPr>
        <w:t>, IAB 10/9/19, effective 11/13/19]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1.1.pdf" Type="http://schemas.openxmlformats.org/officeDocument/2006/relationships/hyperlink" Id="rId5"/>
    <Relationship TargetMode="External" Target="https://www.legis.iowa.gov/docs/ico/chapter/147A.24.pdf" Type="http://schemas.openxmlformats.org/officeDocument/2006/relationships/hyperlink" Id="rId6"/>
    <Relationship TargetMode="External" Target="https://www.legis.iowa.gov/docs/iac/chapter/641.134.pdf" Type="http://schemas.openxmlformats.org/officeDocument/2006/relationships/hyperlink" Id="rId7"/>
    <Relationship TargetMode="External" Target="https://www.legis.iowa.gov/docs/iac/chapter/641.135.pdf" Type="http://schemas.openxmlformats.org/officeDocument/2006/relationships/hyperlink" Id="rId8"/>
    <Relationship TargetMode="External" Target="https://www.legis.iowa.gov/docs/iac/chapter/641.136.pdf" Type="http://schemas.openxmlformats.org/officeDocument/2006/relationships/hyperlink" Id="rId9"/>
    <Relationship TargetMode="External" Target="https://www.legis.iowa.gov/docs/iac/chapter/641.137.pdf" Type="http://schemas.openxmlformats.org/officeDocument/2006/relationships/hyperlink" Id="rId10"/>
    <Relationship TargetMode="External" Target="https://www.legis.iowa.gov/docs/iac/chapter/641.134.pdf" Type="http://schemas.openxmlformats.org/officeDocument/2006/relationships/hyperlink" Id="rId11"/>
    <Relationship TargetMode="External" Target="https://www.legis.iowa.gov/docs/iac/rule/641.138.2.pdf" Type="http://schemas.openxmlformats.org/officeDocument/2006/relationships/hyperlink" Id="rId12"/>
    <Relationship TargetMode="External" Target="https://www.legis.iowa.gov/docs/iac/chapter/641.134.pdf" Type="http://schemas.openxmlformats.org/officeDocument/2006/relationships/hyperlink" Id="rId13"/>
    <Relationship TargetMode="External" Target="https://www.legis.iowa.gov/docs/iac/rule/641.138.2.pdf" Type="http://schemas.openxmlformats.org/officeDocument/2006/relationships/hyperlink" Id="rId14"/>
    <Relationship TargetMode="External" Target="https://www.legis.iowa.gov/docs/iac/chapter/641.135.pdf" Type="http://schemas.openxmlformats.org/officeDocument/2006/relationships/hyperlink" Id="rId15"/>
    <Relationship TargetMode="External" Target="https://www.legis.iowa.gov/docs/iac/rule/641.138.2.pdf" Type="http://schemas.openxmlformats.org/officeDocument/2006/relationships/hyperlink" Id="rId16"/>
    <Relationship TargetMode="External" Target="https://www.legis.iowa.gov/docs/iac/chapter/641.136.pdf" Type="http://schemas.openxmlformats.org/officeDocument/2006/relationships/hyperlink" Id="rId17"/>
    <Relationship TargetMode="External" Target="https://www.legis.iowa.gov/docs/iac/rule/641.138.2.pdf" Type="http://schemas.openxmlformats.org/officeDocument/2006/relationships/hyperlink" Id="rId18"/>
    <Relationship TargetMode="External" Target="https://www.legis.iowa.gov/docs/iac/rule/641.138.3.pdf" Type="http://schemas.openxmlformats.org/officeDocument/2006/relationships/hyperlink" Id="rId19"/>
    <Relationship TargetMode="External" Target="https://www.legis.iowa.gov/docs/ico/chapter/21.8.pdf" Type="http://schemas.openxmlformats.org/officeDocument/2006/relationships/hyperlink" Id="rId20"/>
    <Relationship TargetMode="External" Target="https://www.legis.iowa.gov/docs/ico/chapter/147A.26.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co/chapter/147A.24.pdf" Type="http://schemas.openxmlformats.org/officeDocument/2006/relationships/hyperlink" Id="rId23"/>
    <Relationship TargetMode="External" Target="https://www.legis.iowa.gov/docs/ico/chapter/147.135.pdf" Type="http://schemas.openxmlformats.org/officeDocument/2006/relationships/hyperlink" Id="rId24"/>
    <Relationship TargetMode="External" Target="https://www.legis.iowa.gov/docs/ico/chapter/147A.pdf" Type="http://schemas.openxmlformats.org/officeDocument/2006/relationships/hyperlink" Id="rId25"/>
    <Relationship TargetMode="External" Target="https://www.legis.iowa.gov/docs/ico/chapter/272C.6.pdf" Type="http://schemas.openxmlformats.org/officeDocument/2006/relationships/hyperlink" Id="rId26"/>
    <Relationship TargetMode="External" Target="https://www.legis.iowa.gov/docs/ico/chapter/21.5.pdf" Type="http://schemas.openxmlformats.org/officeDocument/2006/relationships/hyperlink" Id="rId27"/>
    <Relationship TargetMode="External" Target="https://www.legis.iowa.gov/docs/ico/chapter/21.3.pdf" Type="http://schemas.openxmlformats.org/officeDocument/2006/relationships/hyperlink" Id="rId28"/>
    <Relationship TargetMode="External" Target="https://www.legis.iowa.gov/docs/ico/chapter/21.5.pdf" Type="http://schemas.openxmlformats.org/officeDocument/2006/relationships/hyperlink" Id="rId29"/>
    <Relationship TargetMode="External" Target="https://www.legis.iowa.gov/docs/ico/chapter/69.pdf" Type="http://schemas.openxmlformats.org/officeDocument/2006/relationships/hyperlink" Id="rId30"/>
    <Relationship TargetMode="External" Target="https://www.legis.iowa.gov/docs/ico/chapter/147A.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