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137</w:t>
      </w:r>
    </w:p>
    <w:p>
      <w:pPr>
        <w:spacing w:before="0" w:after="0"/>
        <w:ind w:left="120"/>
        <w:jc w:val="center"/>
      </w:pPr>
      <w:r>
        <w:rPr>
          <w:rFonts w:ascii="Times New Roman" w:hAnsi="Times New Roman"/>
          <w:b w:val="false"/>
          <w:i w:val="false"/>
          <w:color w:val="000000"/>
          <w:sz w:val="21"/>
        </w:rPr>
        <w:t>TRAUMA EDUCATION AND TRAINING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6/1/30</w:t>
      </w:r>
    </w:p>
    <w:p>
      <w:pPr>
        <w:spacing w:before="0" w:after="0"/>
        <w:ind w:left="120"/>
        <w:jc w:val="both"/>
      </w:pPr>
      <w:r>
        <w:rPr>
          <w:rFonts w:ascii="Times New Roman" w:hAnsi="Times New Roman"/>
          <w:b/>
          <w:i w:val="false"/>
          <w:color w:val="000000"/>
          <w:sz w:val="22"/>
        </w:rPr>
        <w:t>641—137.1</w:t>
      </w:r>
      <w:r>
        <w:rPr>
          <w:rFonts w:ascii="Times New Roman" w:hAnsi="Times New Roman"/>
          <w:b/>
          <w:i w:val="false"/>
          <w:color w:val="000000"/>
          <w:sz w:val="22"/>
        </w:rPr>
        <w:t xml:space="preserve">(147A)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“Advanced registered nurse practitioner”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“ARNP” </w:t>
      </w:r>
      <w:r>
        <w:rPr>
          <w:rFonts w:ascii="Times New Roman" w:hAnsi="Times New Roman"/>
          <w:b w:val="false"/>
          <w:i w:val="false"/>
          <w:color w:val="000000"/>
          <w:sz w:val="22"/>
        </w:rPr>
        <w:t xml:space="preserve">means a nurse as defined in rule </w:t>
      </w:r>
      <w:hyperlink r:id="rId5">
        <w:r>
          <w:rPr>
            <w:rStyle w:val="Hyperlink"/>
            <w:rFonts w:ascii="Times New Roman" w:hAnsi="Times New Roman"/>
            <w:b w:val="false"/>
            <w:i w:val="false"/>
            <w:color w:val="000000"/>
            <w:sz w:val="22"/>
          </w:rPr>
          <w:t>655—7.1</w:t>
        </w:r>
      </w:hyperlink>
      <w:r>
        <w:rPr>
          <w:rFonts w:ascii="Times New Roman" w:hAnsi="Times New Roman"/>
          <w:b w:val="false"/>
          <w:i w:val="false"/>
          <w:color w:val="000000"/>
          <w:sz w:val="22"/>
        </w:rPr>
        <w:t>(152).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“Formal education” </w:t>
      </w:r>
      <w:r>
        <w:rPr>
          <w:rFonts w:ascii="Times New Roman" w:hAnsi="Times New Roman"/>
          <w:b w:val="false"/>
          <w:i w:val="false"/>
          <w:color w:val="000000"/>
          <w:sz w:val="22"/>
        </w:rPr>
        <w:t>means education in standardized educational settings with a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practical nurse”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“LPN” </w:t>
      </w:r>
      <w:r>
        <w:rPr>
          <w:rFonts w:ascii="Times New Roman" w:hAnsi="Times New Roman"/>
          <w:b w:val="false"/>
          <w:i w:val="false"/>
          <w:color w:val="000000"/>
          <w:sz w:val="22"/>
        </w:rPr>
        <w:t xml:space="preserve">means an individual licensed pursuant to Iowa Code chapter </w:t>
      </w:r>
      <w:hyperlink r:id="rId6">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an individual licensed under Iowa Code chapter </w:t>
      </w:r>
      <w:hyperlink r:id="rId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“PA” </w:t>
      </w:r>
      <w:r>
        <w:rPr>
          <w:rFonts w:ascii="Times New Roman" w:hAnsi="Times New Roman"/>
          <w:b w:val="false"/>
          <w:i w:val="false"/>
          <w:color w:val="000000"/>
          <w:sz w:val="22"/>
        </w:rPr>
        <w:t xml:space="preserve">means an individual licensed pursuant to Iowa Code chapter </w:t>
      </w:r>
      <w:hyperlink r:id="rId8">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“Practitioner” </w:t>
      </w:r>
      <w:r>
        <w:rPr>
          <w:rFonts w:ascii="Times New Roman" w:hAnsi="Times New Roman"/>
          <w:b w:val="false"/>
          <w:i w:val="false"/>
          <w:color w:val="000000"/>
          <w:sz w:val="22"/>
        </w:rPr>
        <w:t>means a person who practices medicine or one of the associated health care professions.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nurse”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“RN” </w:t>
      </w:r>
      <w:r>
        <w:rPr>
          <w:rFonts w:ascii="Times New Roman" w:hAnsi="Times New Roman"/>
          <w:b w:val="false"/>
          <w:i w:val="false"/>
          <w:color w:val="000000"/>
          <w:sz w:val="22"/>
        </w:rPr>
        <w:t xml:space="preserve">means an individual licensed pursuant to Iowa Code chapter </w:t>
      </w:r>
      <w:hyperlink r:id="rId9">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 </w:t>
      </w:r>
      <w:r>
        <w:rPr>
          <w:rFonts w:ascii="Times New Roman" w:hAnsi="Times New Roman"/>
          <w:b w:val="false"/>
          <w:i w:val="false"/>
          <w:color w:val="000000"/>
          <w:sz w:val="22"/>
        </w:rPr>
        <w:t xml:space="preserve">means the same as defined in Iowa Code chapter </w:t>
      </w:r>
      <w:hyperlink r:id="rId10">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 care facility” </w:t>
      </w:r>
      <w:r>
        <w:rPr>
          <w:rFonts w:ascii="Times New Roman" w:hAnsi="Times New Roman"/>
          <w:b w:val="false"/>
          <w:i w:val="false"/>
          <w:color w:val="000000"/>
          <w:sz w:val="22"/>
        </w:rPr>
        <w:t xml:space="preserve">means the same as defined in Iowa Code chapter </w:t>
      </w:r>
      <w:hyperlink r:id="rId11">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 patient” </w:t>
      </w:r>
      <w:r>
        <w:rPr>
          <w:rFonts w:ascii="Times New Roman" w:hAnsi="Times New Roman"/>
          <w:b w:val="false"/>
          <w:i w:val="false"/>
          <w:color w:val="000000"/>
          <w:sz w:val="22"/>
        </w:rPr>
        <w:t>means a victim of an external cause of injury that results in major or minor tissue damage or destruction caused by intentional or unintentional exposure to thermal, mechanical, electrical or chemical energy, or by the absence of heat or oxygen.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“Verification” </w:t>
      </w:r>
      <w:r>
        <w:rPr>
          <w:rFonts w:ascii="Times New Roman" w:hAnsi="Times New Roman"/>
          <w:b w:val="false"/>
          <w:i w:val="false"/>
          <w:color w:val="000000"/>
          <w:sz w:val="22"/>
        </w:rPr>
        <w:t xml:space="preserve">means the same as defined in Iowa Code chapter </w:t>
      </w:r>
      <w:hyperlink r:id="rId12">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9078C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641—137.2</w:t>
      </w:r>
      <w:r>
        <w:rPr>
          <w:rFonts w:ascii="Times New Roman" w:hAnsi="Times New Roman"/>
          <w:b/>
          <w:i w:val="false"/>
          <w:color w:val="000000"/>
          <w:sz w:val="22"/>
        </w:rPr>
        <w:t xml:space="preserve">(147A) </w:t>
      </w:r>
      <w:r>
        <w:rPr>
          <w:rFonts w:ascii="Times New Roman" w:hAnsi="Times New Roman"/>
          <w:b/>
          <w:i w:val="false"/>
          <w:color w:val="000000"/>
          <w:sz w:val="22"/>
        </w:rPr>
        <w:t xml:space="preserve">Initial trauma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137.2(1)</w:t>
      </w:r>
      <w:r>
        <w:rPr>
          <w:rFonts w:ascii="Times New Roman" w:hAnsi="Times New Roman"/>
          <w:b w:val="false"/>
          <w:i w:val="false"/>
          <w:color w:val="000000"/>
          <w:sz w:val="22"/>
        </w:rPr>
        <w:t> </w:t>
      </w:r>
      <w:r>
        <w:rPr>
          <w:rFonts w:ascii="Times New Roman" w:hAnsi="Times New Roman"/>
          <w:b w:val="false"/>
          <w:i w:val="false"/>
          <w:color w:val="000000"/>
          <w:sz w:val="22"/>
        </w:rPr>
        <w:t>Trauma education is required of physicians, physician assistants, advanced registered nurse practitioners, registered nurses, and licensed practical nurses who are identified or defined as trauma team members by a trauma care facility and who participate directly in the initial resuscitation of the trauma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137.2(2)</w:t>
      </w:r>
      <w:r>
        <w:rPr>
          <w:rFonts w:ascii="Times New Roman" w:hAnsi="Times New Roman"/>
          <w:b w:val="false"/>
          <w:i w:val="false"/>
          <w:color w:val="000000"/>
          <w:sz w:val="22"/>
        </w:rPr>
        <w:t> </w:t>
      </w:r>
      <w:r>
        <w:rPr>
          <w:rFonts w:ascii="Times New Roman" w:hAnsi="Times New Roman"/>
          <w:b w:val="false"/>
          <w:i w:val="false"/>
          <w:color w:val="000000"/>
          <w:sz w:val="22"/>
        </w:rPr>
        <w:t>Requirements for initial trauma education. Specific requirements for initial trauma education for each provider category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Physicians, PAs and ARNPs shall comply with education criteria specific to the level for which the trauma care facility is verified. Physicians, PAs and ARNPs at verified level I, II, and III trauma care facilities shall comply with criteria according to the “Resources for Optimal Care of Injured Patients 2022 Standards” published by the American College of Surgeons. Physicians, PAs and ARNPs at verified level IV trauma care facilities shall comply with criteria according to the “Resources for Optimal Care of the Injured Patient 2014” published by the American College of Surgeons.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RNs and LPNs shall comply with education criteria specific to the level for which the trauma care facility is verified. RNs and LPNs at verified level I, II, and III trauma care facilities shall comply with criteria according to the “Resources for Optimal Care of Injured Patients 2022 Standards” published by the American College of Surgeons. RNs and LPNs at verified level IV trauma care facilities shall comply with criteria according to the “Resources for Optimal Care of the Injured Patient 2014” published by the American College of Surgeons.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9078C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641—137.3</w:t>
      </w:r>
      <w:r>
        <w:rPr>
          <w:rFonts w:ascii="Times New Roman" w:hAnsi="Times New Roman"/>
          <w:b/>
          <w:i w:val="false"/>
          <w:color w:val="000000"/>
          <w:sz w:val="22"/>
        </w:rPr>
        <w:t xml:space="preserve">(147A) </w:t>
      </w:r>
      <w:r>
        <w:rPr>
          <w:rFonts w:ascii="Times New Roman" w:hAnsi="Times New Roman"/>
          <w:b/>
          <w:i w:val="false"/>
          <w:color w:val="000000"/>
          <w:sz w:val="22"/>
        </w:rPr>
        <w:t xml:space="preserve">Continuing trauma education requirements. </w:t>
      </w:r>
      <w:r>
        <w:rPr>
          <w:rFonts w:ascii="Times New Roman" w:hAnsi="Times New Roman"/>
          <w:b w:val="false"/>
          <w:i w:val="false"/>
          <w:color w:val="000000"/>
          <w:sz w:val="22"/>
        </w:rPr>
        <w:t>Specific requirements for continuing trauma education for each provider category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137.3(1)</w:t>
      </w:r>
      <w:r>
        <w:rPr>
          <w:rFonts w:ascii="Times New Roman" w:hAnsi="Times New Roman"/>
          <w:b w:val="false"/>
          <w:i w:val="false"/>
          <w:color w:val="000000"/>
          <w:sz w:val="22"/>
        </w:rPr>
        <w:t> </w:t>
      </w:r>
      <w:r>
        <w:rPr>
          <w:rFonts w:ascii="Times New Roman" w:hAnsi="Times New Roman"/>
          <w:b w:val="false"/>
          <w:i w:val="false"/>
          <w:color w:val="000000"/>
          <w:sz w:val="22"/>
        </w:rPr>
        <w:t>Physicians, PAs and ARNPs shall comply with education criteria specific to the level for which the trauma care facility is verified. Physicians, PAs and ARNPs at verified level I, II, and III trauma care facilities shall comply with criteria according to the “Resources for Optimal Care of Injured Patients 2022 Standards” published by the American College of Surgeons. Physicians, PAs and ARNPs at verified level IV trauma care facilities shall comply with criteria according to the “Resources for Optimal Care of the Injured Patient 2014” published by the American College of Surgeons.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137.3(2)</w:t>
      </w:r>
      <w:r>
        <w:rPr>
          <w:rFonts w:ascii="Times New Roman" w:hAnsi="Times New Roman"/>
          <w:b w:val="false"/>
          <w:i w:val="false"/>
          <w:color w:val="000000"/>
          <w:sz w:val="22"/>
        </w:rPr>
        <w:t> </w:t>
      </w:r>
      <w:r>
        <w:rPr>
          <w:rFonts w:ascii="Times New Roman" w:hAnsi="Times New Roman"/>
          <w:b w:val="false"/>
          <w:i w:val="false"/>
          <w:color w:val="000000"/>
          <w:sz w:val="22"/>
        </w:rPr>
        <w:t>RNs and LPNs shall comply with education criteria specific to the level for which the trauma care facility is verified. RNs and LPNs at verified level I, II, and III trauma care facilities shall comply with criteria according to the “Resources for Optimal Care of Injured Patients 2022 Standards” published by the American College of Surgeons. RNs and LPNs at verified level IV trauma care facilities shall comply with criteria according to the “Resources for Optimal Care of the Injured Patient 2014” published by the American College of Surgeons.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9078C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5/14/99, Notice 2/10/99—published 6/2/99, effective 7/7/99]</w:t>
      </w:r>
    </w:p>
    <w:p>
      <w:pPr>
        <w:spacing w:before="0" w:after="0"/>
        <w:ind w:left="120"/>
        <w:jc w:val="center"/>
      </w:pPr>
      <w:r>
        <w:rPr>
          <w:rFonts w:ascii="Times New Roman" w:hAnsi="Times New Roman"/>
          <w:b w:val="false"/>
          <w:i w:val="false"/>
          <w:color w:val="000000"/>
          <w:sz w:val="21"/>
        </w:rPr>
        <w:t>[Filed 1/13/05, Notice 11/24/04—published 2/2/05, effective 3/9/05]</w:t>
      </w:r>
    </w:p>
    <w:p>
      <w:pPr>
        <w:spacing w:before="0" w:after="0"/>
        <w:ind w:left="120"/>
        <w:jc w:val="center"/>
      </w:pPr>
      <w:r>
        <w:rPr>
          <w:rFonts w:ascii="Times New Roman" w:hAnsi="Times New Roman"/>
          <w:b w:val="false"/>
          <w:i w:val="false"/>
          <w:color w:val="000000"/>
          <w:sz w:val="21"/>
        </w:rPr>
        <w:t>[Filed ARC 1081C</w:t>
      </w:r>
      <w:r>
        <w:rPr>
          <w:rFonts w:ascii="Times New Roman" w:hAnsi="Times New Roman"/>
          <w:b w:val="false"/>
          <w:i w:val="false"/>
          <w:color w:val="000000"/>
          <w:sz w:val="21"/>
        </w:rPr>
        <w:t xml:space="preserve"> (Notice ARC 0773C, IAB 5/29/13)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3241C</w:t>
      </w:r>
      <w:r>
        <w:rPr>
          <w:rFonts w:ascii="Times New Roman" w:hAnsi="Times New Roman"/>
          <w:b w:val="false"/>
          <w:i w:val="false"/>
          <w:color w:val="000000"/>
          <w:sz w:val="21"/>
        </w:rPr>
        <w:t xml:space="preserve"> (Notice ARC 3076C, IAB 5/24/17)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9078C</w:t>
      </w:r>
      <w:r>
        <w:rPr>
          <w:rFonts w:ascii="Times New Roman" w:hAnsi="Times New Roman"/>
          <w:b w:val="false"/>
          <w:i w:val="false"/>
          <w:color w:val="000000"/>
          <w:sz w:val="21"/>
        </w:rPr>
        <w:t xml:space="preserve"> (Notice ARC 8515C, IAB 12/11/24)</w:t>
      </w:r>
      <w:r>
        <w:rPr>
          <w:rFonts w:ascii="Times New Roman" w:hAnsi="Times New Roman"/>
          <w:b w:val="false"/>
          <w:i w:val="false"/>
          <w:color w:val="000000"/>
          <w:sz w:val="21"/>
        </w:rPr>
        <w:t>, IAB 4/2/25, effective 6/1/25]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5.7.1.pdf" Type="http://schemas.openxmlformats.org/officeDocument/2006/relationships/hyperlink" Id="rId5"/>
    <Relationship TargetMode="External" Target="https://www.legis.iowa.gov/docs/ico/chapter/152.pdf" Type="http://schemas.openxmlformats.org/officeDocument/2006/relationships/hyperlink" Id="rId6"/>
    <Relationship TargetMode="External" Target="https://www.legis.iowa.gov/docs/ico/chapter/148.pdf" Type="http://schemas.openxmlformats.org/officeDocument/2006/relationships/hyperlink" Id="rId7"/>
    <Relationship TargetMode="External" Target="https://www.legis.iowa.gov/docs/ico/chapter/148C.pdf" Type="http://schemas.openxmlformats.org/officeDocument/2006/relationships/hyperlink" Id="rId8"/>
    <Relationship TargetMode="External" Target="https://www.legis.iowa.gov/docs/ico/chapter/152.pdf" Type="http://schemas.openxmlformats.org/officeDocument/2006/relationships/hyperlink" Id="rId9"/>
    <Relationship TargetMode="External" Target="https://www.legis.iowa.gov/docs/ico/chapter/147A.pdf" Type="http://schemas.openxmlformats.org/officeDocument/2006/relationships/hyperlink" Id="rId10"/>
    <Relationship TargetMode="External" Target="https://www.legis.iowa.gov/docs/ico/chapter/147A.pdf" Type="http://schemas.openxmlformats.org/officeDocument/2006/relationships/hyperlink" Id="rId11"/>
    <Relationship TargetMode="External" Target="https://www.legis.iowa.gov/docs/ico/chapter/147A.pdf" Type="http://schemas.openxmlformats.org/officeDocument/2006/relationships/hyperlink" Id="rId12"/>
    <Relationship TargetMode="External" Target="https://www.legis.iowa.gov/docs/ico/chapter/147A.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