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TRAUMA REGISTRY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641—136.1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providers” </w:t>
      </w:r>
      <w:r>
        <w:rPr>
          <w:rFonts w:ascii="Times New Roman" w:hAnsi="Times New Roman"/>
          <w:b w:val="false"/>
          <w:i w:val="false"/>
          <w:color w:val="000000"/>
          <w:sz w:val="22"/>
        </w:rPr>
        <w:t>for the purpose of this chapter includes licensed physicians, advanced registered nurse practitioners, physician assistants, and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“Inclusion criteria” </w:t>
      </w:r>
      <w:r>
        <w:rPr>
          <w:rFonts w:ascii="Times New Roman" w:hAnsi="Times New Roman"/>
          <w:b w:val="false"/>
          <w:i w:val="false"/>
          <w:color w:val="000000"/>
          <w:sz w:val="22"/>
        </w:rPr>
        <w:t>means criteria determined by the department and adopted by reference to determine which trauma patients are to be included in the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patient data” </w:t>
      </w:r>
      <w:r>
        <w:rPr>
          <w:rFonts w:ascii="Times New Roman" w:hAnsi="Times New Roman"/>
          <w:b w:val="false"/>
          <w:i w:val="false"/>
          <w:color w:val="000000"/>
          <w:sz w:val="22"/>
        </w:rPr>
        <w:t>means data and definitions determined by the department to be reported to the trauma registry on trauma patients meeting the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patient” </w:t>
      </w:r>
      <w:r>
        <w:rPr>
          <w:rFonts w:ascii="Times New Roman" w:hAnsi="Times New Roman"/>
          <w:b w:val="false"/>
          <w:i w:val="false"/>
          <w:color w:val="000000"/>
          <w:sz w:val="22"/>
        </w:rPr>
        <w:t xml:space="preserve">means a victim of an external cause of injury that results in major or minor tissue damage or destruction caused by intentional or unintentional exposure to thermal, mechanical, electrical or chemical energy, or by the absence of heat or oxygen.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registry” </w:t>
      </w:r>
      <w:r>
        <w:rPr>
          <w:rFonts w:ascii="Times New Roman" w:hAnsi="Times New Roman"/>
          <w:b w:val="false"/>
          <w:i w:val="false"/>
          <w:color w:val="000000"/>
          <w:sz w:val="22"/>
        </w:rPr>
        <w:t xml:space="preserve">means the data repository approved by the department to collect and analyze reportable patient data on the incidence, severity, and causes of trauma, and that serves as the central registry for brain and spinal cord injuries described in rule </w:t>
      </w:r>
      <w:hyperlink r:id="rId6">
        <w:r>
          <w:rPr>
            <w:rStyle w:val="Hyperlink"/>
            <w:rFonts w:ascii="Times New Roman" w:hAnsi="Times New Roman"/>
            <w:b w:val="false"/>
            <w:i w:val="false"/>
            <w:color w:val="000000"/>
            <w:sz w:val="22"/>
          </w:rPr>
          <w:t>641—21.1</w:t>
        </w:r>
      </w:hyperlink>
      <w:r>
        <w:rPr>
          <w:rFonts w:ascii="Times New Roman" w:hAnsi="Times New Roman"/>
          <w:b w:val="false"/>
          <w:i w:val="false"/>
          <w:color w:val="000000"/>
          <w:sz w:val="22"/>
        </w:rPr>
        <w:t>(135) and farm-related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survey team”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by reference in </w:t>
      </w:r>
      <w:hyperlink r:id="rId7">
        <w:r>
          <w:rPr>
            <w:rStyle w:val="Hyperlink"/>
            <w:rFonts w:ascii="Times New Roman" w:hAnsi="Times New Roman"/>
            <w:b w:val="false"/>
            <w:i w:val="false"/>
            <w:color w:val="000000"/>
            <w:sz w:val="22"/>
          </w:rPr>
          <w:t>641—subrule 134.2(3)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submit reportable patient data electronically to the department. Data shall be submitted in the trauma registry format approved by the department. The department may require those requesting the data to pay any or all of the reasonable costs associated with furnishing the reportable patient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Quality assurance of reported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patient data, the department or its designated trauma survey team may examine medical records to validate the accuracy of data submitted by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medical records by the department or its designated trauma survey team may be scheduled in advance with the trauma care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 xml:space="preserve">All complaints, offenses and penalties will be addressed pursuant to rule </w:t>
      </w:r>
      <w:hyperlink r:id="rId8">
        <w:r>
          <w:rPr>
            <w:rStyle w:val="Hyperlink"/>
            <w:rFonts w:ascii="Times New Roman" w:hAnsi="Times New Roman"/>
            <w:b w:val="false"/>
            <w:i w:val="false"/>
            <w:color w:val="000000"/>
            <w:sz w:val="22"/>
          </w:rPr>
          <w:t>641—134.3</w:t>
        </w:r>
      </w:hyperlink>
      <w:r>
        <w:rPr>
          <w:rFonts w:ascii="Times New Roman" w:hAnsi="Times New Roman"/>
          <w:b w:val="false"/>
          <w:i w:val="false"/>
          <w:color w:val="000000"/>
          <w:sz w:val="22"/>
        </w:rPr>
        <w:t>(147A).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147A.26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3106C</w:t>
      </w:r>
      <w:r>
        <w:rPr>
          <w:rFonts w:ascii="Times New Roman" w:hAnsi="Times New Roman"/>
          <w:b w:val="false"/>
          <w:i w:val="false"/>
          <w:color w:val="000000"/>
          <w:sz w:val="21"/>
        </w:rPr>
        <w:t xml:space="preserve"> (Notice ARC 2902C,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3834C</w:t>
      </w:r>
      <w:r>
        <w:rPr>
          <w:rFonts w:ascii="Times New Roman" w:hAnsi="Times New Roman"/>
          <w:b w:val="false"/>
          <w:i w:val="false"/>
          <w:color w:val="000000"/>
          <w:sz w:val="21"/>
        </w:rPr>
        <w:t xml:space="preserve"> (Notice ARC 3706C,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9077C</w:t>
      </w:r>
      <w:r>
        <w:rPr>
          <w:rFonts w:ascii="Times New Roman" w:hAnsi="Times New Roman"/>
          <w:b w:val="false"/>
          <w:i w:val="false"/>
          <w:color w:val="000000"/>
          <w:sz w:val="21"/>
        </w:rPr>
        <w:t xml:space="preserve"> (Notice ARC 8523C,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1.pdf" Type="http://schemas.openxmlformats.org/officeDocument/2006/relationships/hyperlink" Id="rId5"/>
    <Relationship TargetMode="External" Target="https://www.legis.iowa.gov/docs/iac/rule/641.21.1.pdf" Type="http://schemas.openxmlformats.org/officeDocument/2006/relationships/hyperlink" Id="rId6"/>
    <Relationship TargetMode="External" Target="https://www.legis.iowa.gov/docs/iac/rule/641.134.2.pdf" Type="http://schemas.openxmlformats.org/officeDocument/2006/relationships/hyperlink" Id="rId7"/>
    <Relationship TargetMode="External" Target="https://www.legis.iowa.gov/docs/iac/rule/641.134.3.pdf" Type="http://schemas.openxmlformats.org/officeDocument/2006/relationships/hyperlink" Id="rId8"/>
    <Relationship TargetMode="External" Target="https://www.legis.iowa.gov/docs/ico/chapter/147A.2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