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TRAUMA TRIAGE AND TRANSFER PROTOCOLS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641—135.1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Trauma Triage Destination Decision Protocols” </w:t>
      </w:r>
      <w:r>
        <w:rPr>
          <w:rFonts w:ascii="Times New Roman" w:hAnsi="Times New Roman"/>
          <w:b w:val="false"/>
          <w:i w:val="false"/>
          <w:color w:val="000000"/>
          <w:sz w:val="22"/>
        </w:rPr>
        <w:t>means written directives to assist in trauma and triage decision-making, established and approved by the department, to be followed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means the process of a patient being transferred from the scene of an injury to a trauma care facility or from one trauma care facility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triage and transfer” </w:t>
      </w:r>
      <w:r>
        <w:rPr>
          <w:rFonts w:ascii="Times New Roman" w:hAnsi="Times New Roman"/>
          <w:b w:val="false"/>
          <w:i w:val="false"/>
          <w:color w:val="000000"/>
          <w:sz w:val="22"/>
        </w:rPr>
        <w:t>means to determine the trauma care facility destination.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641—135.2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triage and transfer protocols. </w:t>
      </w:r>
      <w:r>
        <w:rPr>
          <w:rFonts w:ascii="Times New Roman" w:hAnsi="Times New Roman"/>
          <w:b w:val="false"/>
          <w:i w:val="false"/>
          <w:color w:val="000000"/>
          <w:sz w:val="22"/>
        </w:rPr>
        <w:t>Trauma triage and transfer protocols approved by the department assist personnel from each service program and trauma care facility. These protocols do not preclude service programs or trauma care facilities from making emergency revisions of the approved triage and transfer protocols when an incident overburdens medical care resources, causing an unnecessary delay in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w:t>
      </w:r>
      <w:r>
        <w:rPr>
          <w:rFonts w:ascii="Times New Roman" w:hAnsi="Times New Roman"/>
          <w:b w:val="false"/>
          <w:i w:val="false"/>
          <w:color w:val="000000"/>
          <w:sz w:val="22"/>
        </w:rPr>
        <w:t> </w:t>
      </w:r>
      <w:r>
        <w:rPr>
          <w:rFonts w:ascii="Times New Roman" w:hAnsi="Times New Roman"/>
          <w:b w:val="false"/>
          <w:i w:val="false"/>
          <w:color w:val="000000"/>
          <w:sz w:val="22"/>
        </w:rPr>
        <w:t>Adoption by reference. The 2021 National Guideline for the Field Triage of Injured Patients, as amended to August 1, 2024, is incorporated by reference and adopted as the Out-of-Hospital Trauma Triage Destination Decision Protocol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Revisions and modifications to the protocols adopted by reference in subrule </w:t>
      </w:r>
      <w:hyperlink r:id="rId7">
        <w:r>
          <w:rPr>
            <w:rStyle w:val="Hyperlink"/>
            <w:rFonts w:ascii="Times New Roman" w:hAnsi="Times New Roman"/>
            <w:b w:val="false"/>
            <w:i w:val="false"/>
            <w:color w:val="000000"/>
            <w:sz w:val="22"/>
          </w:rPr>
          <w:t>135.2(1)</w:t>
        </w:r>
      </w:hyperlink>
      <w:r>
        <w:rPr>
          <w:rFonts w:ascii="Times New Roman" w:hAnsi="Times New Roman"/>
          <w:b w:val="false"/>
          <w:i w:val="false"/>
          <w:color w:val="000000"/>
          <w:sz w:val="22"/>
        </w:rPr>
        <w:t xml:space="preserve"> may be made upon recommendation to and approval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641—135.3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 xml:space="preserve">The department may deny verification as a trauma care facility or deny authorization as a service program or may give a citation and warning, place on probation, suspend, or revoke existing trauma care facility verification or service program authorization if the department finds reason to believe that the facility or service program has not been or will not be operated in compliance with Iowa Code section </w:t>
      </w:r>
      <w:hyperlink r:id="rId8">
        <w:r>
          <w:rPr>
            <w:rStyle w:val="Hyperlink"/>
            <w:rFonts w:ascii="Times New Roman" w:hAnsi="Times New Roman"/>
            <w:b w:val="false"/>
            <w:i w:val="false"/>
            <w:color w:val="000000"/>
            <w:sz w:val="22"/>
          </w:rPr>
          <w:t>147A.27</w:t>
        </w:r>
      </w:hyperlink>
      <w:r>
        <w:rPr>
          <w:rFonts w:ascii="Times New Roman" w:hAnsi="Times New Roman"/>
          <w:b w:val="false"/>
          <w:i w:val="false"/>
          <w:color w:val="000000"/>
          <w:sz w:val="22"/>
        </w:rPr>
        <w:t xml:space="preserve"> and these administrative rules. The denial, citation and warning, period of probation, suspension, or revocation shall be effected in accordance with </w:t>
      </w:r>
      <w:hyperlink r:id="rId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in accordance with the requirements of </w:t>
      </w:r>
      <w:hyperlink r:id="rId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1/18/01, Notice 11/15/00—published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1080C</w:t>
      </w:r>
      <w:r>
        <w:rPr>
          <w:rFonts w:ascii="Times New Roman" w:hAnsi="Times New Roman"/>
          <w:b w:val="false"/>
          <w:i w:val="false"/>
          <w:color w:val="000000"/>
          <w:sz w:val="21"/>
        </w:rPr>
        <w:t xml:space="preserve"> (Notice ARC 0774C, IAB 5/29/13)</w:t>
      </w:r>
      <w:r>
        <w:rPr>
          <w:rFonts w:ascii="Times New Roman" w:hAnsi="Times New Roman"/>
          <w:b w:val="false"/>
          <w:i w:val="false"/>
          <w:color w:val="000000"/>
          <w:sz w:val="21"/>
        </w:rPr>
        <w:t>, IAB 10/2/13, effective 2/1/14]</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9076C</w:t>
      </w:r>
      <w:r>
        <w:rPr>
          <w:rFonts w:ascii="Times New Roman" w:hAnsi="Times New Roman"/>
          <w:b w:val="false"/>
          <w:i w:val="false"/>
          <w:color w:val="000000"/>
          <w:sz w:val="21"/>
        </w:rPr>
        <w:t xml:space="preserve"> (Notice ARC 8526C, IAB 12/11/24)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1.pdf" Type="http://schemas.openxmlformats.org/officeDocument/2006/relationships/hyperlink" Id="rId5"/>
    <Relationship TargetMode="External" Target="https://www.legis.iowa.gov/docs/ico/chapter/147A.21.pdf" Type="http://schemas.openxmlformats.org/officeDocument/2006/relationships/hyperlink" Id="rId6"/>
    <Relationship TargetMode="External" Target="https://www.legis.iowa.gov/docs/iac/rule/641.135.2.pdf" Type="http://schemas.openxmlformats.org/officeDocument/2006/relationships/hyperlink" Id="rId7"/>
    <Relationship TargetMode="External" Target="https://www.legis.iowa.gov/docs/ico/chapter/147A.27.pdf" Type="http://schemas.openxmlformats.org/officeDocument/2006/relationships/hyperlink" Id="rId8"/>
    <Relationship TargetMode="External" Target="https://www.legis.iowa.gov/docs/iac/chapter/441.16.pdf" Type="http://schemas.openxmlformats.org/officeDocument/2006/relationships/hyperlink" Id="rId9"/>
    <Relationship TargetMode="External" Target="https://www.legis.iowa.gov/docs/iac/chapter/441.7.pdf" Type="http://schemas.openxmlformats.org/officeDocument/2006/relationships/hyperlink" Id="rId10"/>
    <Relationship TargetMode="External" Target="https://www.legis.iowa.gov/docs/ico/chapter/147A.2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