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EMERGENCY MEDICAL SERVICES ADVISORY COUNCIL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641—130.1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the chair of the advisory council, who has been elected by the majority of the advisory council’s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means an emergency medical care provider as defined in rule 641—131.1(147A).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emergency medical services as defined in rule 641—131.1(147A).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2565C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641—130.2</w:t>
      </w:r>
      <w:r>
        <w:rPr>
          <w:rFonts w:ascii="Times New Roman" w:hAnsi="Times New Roman"/>
          <w:b/>
          <w:i w:val="false"/>
          <w:color w:val="000000"/>
          <w:sz w:val="22"/>
        </w:rPr>
        <w:t xml:space="preserve">(147A) </w:t>
      </w:r>
      <w:r>
        <w:rPr>
          <w:rFonts w:ascii="Times New Roman" w:hAnsi="Times New Roman"/>
          <w:b/>
          <w:i w:val="false"/>
          <w:color w:val="000000"/>
          <w:sz w:val="22"/>
        </w:rPr>
        <w:t xml:space="preserve">Purpose. </w:t>
      </w:r>
      <w:r>
        <w:rPr>
          <w:rFonts w:ascii="Times New Roman" w:hAnsi="Times New Roman"/>
          <w:b w:val="false"/>
          <w:i w:val="false"/>
          <w:color w:val="000000"/>
          <w:sz w:val="22"/>
        </w:rPr>
        <w:t>The EMS advisory council shall advise the director and develop policy recommendations concerning the regulation, administration, and coordination of emergency medical services in the state.</w:t>
      </w:r>
    </w:p>
    <w:p>
      <w:pPr>
        <w:spacing w:before="0" w:after="0"/>
        <w:ind w:left="120"/>
        <w:jc w:val="both"/>
      </w:pPr>
      <w:r>
        <w:rPr>
          <w:rFonts w:ascii="Times New Roman" w:hAnsi="Times New Roman"/>
          <w:b/>
          <w:i w:val="false"/>
          <w:color w:val="000000"/>
          <w:sz w:val="22"/>
        </w:rPr>
        <w:t>641—130.3</w:t>
      </w:r>
      <w:r>
        <w:rPr>
          <w:rFonts w:ascii="Times New Roman" w:hAnsi="Times New Roman"/>
          <w:b/>
          <w:i w:val="false"/>
          <w:color w:val="000000"/>
          <w:sz w:val="22"/>
        </w:rPr>
        <w:t xml:space="preserve">(147A) </w:t>
      </w:r>
      <w:r>
        <w:rPr>
          <w:rFonts w:ascii="Times New Roman" w:hAnsi="Times New Roman"/>
          <w:b/>
          <w:i w:val="false"/>
          <w:color w:val="000000"/>
          <w:sz w:val="22"/>
        </w:rPr>
        <w:t xml:space="preserve">Appointment and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130.3(1)</w:t>
      </w:r>
      <w:r>
        <w:rPr>
          <w:rFonts w:ascii="Times New Roman" w:hAnsi="Times New Roman"/>
          <w:b w:val="false"/>
          <w:i w:val="false"/>
          <w:color w:val="000000"/>
          <w:sz w:val="22"/>
        </w:rPr>
        <w:t> </w:t>
      </w:r>
      <w:r>
        <w:rPr>
          <w:rFonts w:ascii="Times New Roman" w:hAnsi="Times New Roman"/>
          <w:b w:val="false"/>
          <w:i w:val="false"/>
          <w:color w:val="000000"/>
          <w:sz w:val="22"/>
        </w:rPr>
        <w:t>The EMS advisory council shall be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130.3(2)</w:t>
      </w:r>
      <w:r>
        <w:rPr>
          <w:rFonts w:ascii="Times New Roman" w:hAnsi="Times New Roman"/>
          <w:b w:val="false"/>
          <w:i w:val="false"/>
          <w:color w:val="000000"/>
          <w:sz w:val="22"/>
        </w:rPr>
        <w:t> </w:t>
      </w:r>
      <w:r>
        <w:rPr>
          <w:rFonts w:ascii="Times New Roman" w:hAnsi="Times New Roman"/>
          <w:b w:val="false"/>
          <w:i w:val="false"/>
          <w:color w:val="000000"/>
          <w:sz w:val="22"/>
        </w:rPr>
        <w:t>The appointments shall be for three-year staggered terms, which shall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130.3(3)</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130.3(4)</w:t>
      </w:r>
      <w:r>
        <w:rPr>
          <w:rFonts w:ascii="Times New Roman" w:hAnsi="Times New Roman"/>
          <w:b w:val="false"/>
          <w:i w:val="false"/>
          <w:color w:val="000000"/>
          <w:sz w:val="22"/>
        </w:rPr>
        <w:t> </w:t>
      </w:r>
      <w:r>
        <w:rPr>
          <w:rFonts w:ascii="Times New Roman" w:hAnsi="Times New Roman"/>
          <w:b w:val="false"/>
          <w:i w:val="false"/>
          <w:color w:val="000000"/>
          <w:sz w:val="22"/>
        </w:rPr>
        <w:t>Membership of the council shall be comprised of individuals nominated from, but not limited to, the following state or national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physician from each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Osteopathic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American College of Emergency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Academy of Family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University of Iowa Hospitals and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American Academy of Emergency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American Academy of 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representative from each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Physician Assistant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EMS Education Programs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Nurses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Hospital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State Association of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out-of-hospital emergency medical care providers from the Iowa Firefighters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out-of-hospital emergency medical care provider from the Iowa Professional Firefighters.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Three out-of-hospital emergency medical care providers, with at least one representing volunteer EMS and one representing a private service program, from the Iowa EMS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Two at-large volunteer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130.3(5)</w:t>
      </w:r>
      <w:r>
        <w:rPr>
          <w:rFonts w:ascii="Times New Roman" w:hAnsi="Times New Roman"/>
          <w:b w:val="false"/>
          <w:i w:val="false"/>
          <w:color w:val="000000"/>
          <w:sz w:val="22"/>
        </w:rPr>
        <w:t> </w:t>
      </w:r>
      <w:r>
        <w:rPr>
          <w:rFonts w:ascii="Times New Roman" w:hAnsi="Times New Roman"/>
          <w:b w:val="false"/>
          <w:i w:val="false"/>
          <w:color w:val="000000"/>
          <w:sz w:val="22"/>
        </w:rPr>
        <w:t>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unexcused absences in a 12-month period shall be grounds for the director to request nomination of an alternative representative to fill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Absences may be excused by notification provided to the chairperson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shall be charged with providing notification of absences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 xml:space="preserve">; </w:t>
      </w:r>
      <w:r>
        <w:rPr>
          <w:rFonts w:ascii="Times New Roman" w:hAnsi="Times New Roman"/>
          <w:b/>
          <w:i w:val="false"/>
          <w:color w:val="000000"/>
          <w:sz w:val="16"/>
        </w:rPr>
        <w:t>ARC 2565C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641—130.4</w:t>
      </w:r>
      <w:r>
        <w:rPr>
          <w:rFonts w:ascii="Times New Roman" w:hAnsi="Times New Roman"/>
          <w:b/>
          <w:i w:val="false"/>
          <w:color w:val="000000"/>
          <w:sz w:val="22"/>
        </w:rPr>
        <w:t xml:space="preserve">(147A)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130.4(1)</w:t>
      </w:r>
      <w:r>
        <w:rPr>
          <w:rFonts w:ascii="Times New Roman" w:hAnsi="Times New Roman"/>
          <w:b w:val="false"/>
          <w:i w:val="false"/>
          <w:color w:val="000000"/>
          <w:sz w:val="22"/>
        </w:rPr>
        <w:t> </w:t>
      </w:r>
      <w:r>
        <w:rPr>
          <w:rFonts w:ascii="Times New Roman" w:hAnsi="Times New Roman"/>
          <w:b w:val="false"/>
          <w:i w:val="false"/>
          <w:color w:val="000000"/>
          <w:sz w:val="22"/>
        </w:rPr>
        <w:t>Officers of the advisory council shall be a chairperson and a vice chairperson, who shall be elected at the first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Officers may serve no more than three consecutive terms as chairperson or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chairperson shall be filled by the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vice chairperson shall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130.4(2)</w:t>
      </w:r>
      <w:r>
        <w:rPr>
          <w:rFonts w:ascii="Times New Roman" w:hAnsi="Times New Roman"/>
          <w:b w:val="false"/>
          <w:i w:val="false"/>
          <w:color w:val="000000"/>
          <w:sz w:val="22"/>
        </w:rPr>
        <w:t> </w:t>
      </w:r>
      <w:r>
        <w:rPr>
          <w:rFonts w:ascii="Times New Roman" w:hAnsi="Times New Roman"/>
          <w:b w:val="false"/>
          <w:i w:val="false"/>
          <w:color w:val="000000"/>
          <w:sz w:val="22"/>
        </w:rPr>
        <w:t>Duties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 such subcommittees as deemed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the chairperson of each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is absent or unable to act. When so acting, the vice chairperson shall have all the powers of and be subject to all the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such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2565C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641—130.5</w:t>
      </w:r>
      <w:r>
        <w:rPr>
          <w:rFonts w:ascii="Times New Roman" w:hAnsi="Times New Roman"/>
          <w:b/>
          <w:i w:val="false"/>
          <w:color w:val="000000"/>
          <w:sz w:val="22"/>
        </w:rPr>
        <w:t xml:space="preserve">(147A)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130.5(1)</w:t>
      </w:r>
      <w:r>
        <w:rPr>
          <w:rFonts w:ascii="Times New Roman" w:hAnsi="Times New Roman"/>
          <w:b w:val="false"/>
          <w:i w:val="false"/>
          <w:color w:val="000000"/>
          <w:sz w:val="22"/>
        </w:rPr>
        <w:t> </w:t>
      </w:r>
      <w:r>
        <w:rPr>
          <w:rFonts w:ascii="Times New Roman" w:hAnsi="Times New Roman"/>
          <w:b w:val="false"/>
          <w:i w:val="false"/>
          <w:color w:val="000000"/>
          <w:sz w:val="22"/>
        </w:rPr>
        <w:t>The advisory council shall establish a meeting schedule on an annual basis to conduct business. There shall be a minimum of four meetings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may be scheduled as business requires, but notice to members must be given at least five working days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given four weeks in advance is encouraged to accommodate the schedules of professional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130.5(2)</w:t>
      </w:r>
      <w:r>
        <w:rPr>
          <w:rFonts w:ascii="Times New Roman" w:hAnsi="Times New Roman"/>
          <w:b w:val="false"/>
          <w:i w:val="false"/>
          <w:color w:val="000000"/>
          <w:sz w:val="22"/>
        </w:rPr>
        <w:t> </w:t>
      </w:r>
      <w:r>
        <w:rPr>
          <w:rFonts w:ascii="Times New Roman" w:hAnsi="Times New Roman"/>
          <w:b w:val="false"/>
          <w:i w:val="false"/>
          <w:color w:val="000000"/>
          <w:sz w:val="22"/>
        </w:rPr>
        <w:t>Any advisory council member who is unable to attend a meeting will notify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130.5(3)</w:t>
      </w:r>
      <w:r>
        <w:rPr>
          <w:rFonts w:ascii="Times New Roman" w:hAnsi="Times New Roman"/>
          <w:b w:val="false"/>
          <w:i w:val="false"/>
          <w:color w:val="000000"/>
          <w:sz w:val="22"/>
        </w:rPr>
        <w:t> </w:t>
      </w:r>
      <w:r>
        <w:rPr>
          <w:rFonts w:ascii="Times New Roman" w:hAnsi="Times New Roman"/>
          <w:b w:val="false"/>
          <w:i w:val="false"/>
          <w:color w:val="000000"/>
          <w:sz w:val="22"/>
        </w:rPr>
        <w:t>A majority of appointed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130.5(4)</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affirmative vote of the majority of those present. No official business that requires a vote of the membership shall be conducted without a quorum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130.5(5)</w:t>
      </w:r>
      <w:r>
        <w:rPr>
          <w:rFonts w:ascii="Times New Roman" w:hAnsi="Times New Roman"/>
          <w:b w:val="false"/>
          <w:i w:val="false"/>
          <w:color w:val="000000"/>
          <w:sz w:val="22"/>
        </w:rPr>
        <w:t> </w:t>
      </w:r>
      <w:r>
        <w:rPr>
          <w:rFonts w:ascii="Times New Roman" w:hAnsi="Times New Roman"/>
          <w:b w:val="false"/>
          <w:i w:val="false"/>
          <w:color w:val="000000"/>
          <w:sz w:val="22"/>
        </w:rPr>
        <w:t>Persons wishing to make a presentation to the advisory council shall submit the request to the chairperson not less than 14 days prior to the meeting. Presentations may be made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130.5(6)</w:t>
      </w:r>
      <w:r>
        <w:rPr>
          <w:rFonts w:ascii="Times New Roman" w:hAnsi="Times New Roman"/>
          <w:b w:val="false"/>
          <w:i w:val="false"/>
          <w:color w:val="000000"/>
          <w:sz w:val="22"/>
        </w:rPr>
        <w:t> </w:t>
      </w:r>
      <w:r>
        <w:rPr>
          <w:rFonts w:ascii="Times New Roman" w:hAnsi="Times New Roman"/>
          <w:b w:val="false"/>
          <w:i w:val="false"/>
          <w:color w:val="000000"/>
          <w:sz w:val="22"/>
        </w:rPr>
        <w:t>Persons wishing to submit written materials should do so at least 14 days in advance of the scheduled meeting to ensure that advisory council members have adequate time to receive and evaluate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advisory council may conduct a meeting by electronic means pursuant to Iowa Code section </w:t>
      </w:r>
      <w:hyperlink r:id="rId5">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2565C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641—130.6</w:t>
      </w:r>
      <w:r>
        <w:rPr>
          <w:rFonts w:ascii="Times New Roman" w:hAnsi="Times New Roman"/>
          <w:b/>
          <w:i w:val="false"/>
          <w:color w:val="000000"/>
          <w:sz w:val="22"/>
        </w:rPr>
        <w:t xml:space="preserve">(147A) </w:t>
      </w:r>
      <w:r>
        <w:rPr>
          <w:rFonts w:ascii="Times New Roman" w:hAnsi="Times New Roman"/>
          <w:b/>
          <w:i w:val="false"/>
          <w:color w:val="000000"/>
          <w:sz w:val="22"/>
        </w:rPr>
        <w:t xml:space="preserve">Subcommittees. </w:t>
      </w:r>
      <w:r>
        <w:rPr>
          <w:rFonts w:ascii="Times New Roman" w:hAnsi="Times New Roman"/>
          <w:b w:val="false"/>
          <w:i w:val="false"/>
          <w:color w:val="000000"/>
          <w:sz w:val="22"/>
        </w:rPr>
        <w:t>The advisory council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2565C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641—130.7</w:t>
      </w:r>
      <w:r>
        <w:rPr>
          <w:rFonts w:ascii="Times New Roman" w:hAnsi="Times New Roman"/>
          <w:b/>
          <w:i w:val="false"/>
          <w:color w:val="000000"/>
          <w:sz w:val="22"/>
        </w:rPr>
        <w:t xml:space="preserve">(147A) </w:t>
      </w:r>
      <w:r>
        <w:rPr>
          <w:rFonts w:ascii="Times New Roman" w:hAnsi="Times New Roman"/>
          <w:b/>
          <w:i w:val="false"/>
          <w:color w:val="000000"/>
          <w:sz w:val="22"/>
        </w:rPr>
        <w:t xml:space="preserve">Expenses of advisory council members.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10/9/19</w:t>
      </w:r>
      <w:r>
        <w:rPr>
          <w:rFonts w:ascii="Times New Roman" w:hAnsi="Times New Roman"/>
          <w:b w:val="false"/>
          <w:i w:val="false"/>
          <w:color w:val="000000"/>
          <w:sz w:val="22"/>
        </w:rPr>
        <w:t xml:space="preserve">, effective 11/13/19. </w:t>
      </w:r>
    </w:p>
    <w:p>
      <w:pPr>
        <w:spacing w:before="0" w:after="0"/>
        <w:ind w:left="120"/>
        <w:jc w:val="both"/>
      </w:pPr>
      <w:r>
        <w:rPr>
          <w:rFonts w:ascii="Times New Roman" w:hAnsi="Times New Roman"/>
          <w:b/>
          <w:i w:val="false"/>
          <w:color w:val="000000"/>
          <w:sz w:val="22"/>
        </w:rPr>
        <w:t>641—130.8</w:t>
      </w:r>
      <w:r>
        <w:rPr>
          <w:rFonts w:ascii="Times New Roman" w:hAnsi="Times New Roman"/>
          <w:b/>
          <w:i w:val="false"/>
          <w:color w:val="000000"/>
          <w:sz w:val="22"/>
        </w:rPr>
        <w:t xml:space="preserve">(147A) </w:t>
      </w:r>
      <w:r>
        <w:rPr>
          <w:rFonts w:ascii="Times New Roman" w:hAnsi="Times New Roman"/>
          <w:b/>
          <w:i w:val="false"/>
          <w:color w:val="000000"/>
          <w:sz w:val="22"/>
        </w:rPr>
        <w:t xml:space="preserve">Council composition. </w:t>
      </w:r>
      <w:r>
        <w:rPr>
          <w:rFonts w:ascii="Times New Roman" w:hAnsi="Times New Roman"/>
          <w:b w:val="false"/>
          <w:i w:val="false"/>
          <w:color w:val="000000"/>
          <w:sz w:val="22"/>
        </w:rPr>
        <w:t xml:space="preserve">The council’s composition shall be developed and maintained pursuant to Iowa Code chapter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2565C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9356B</w:t>
      </w:r>
      <w:r>
        <w:rPr>
          <w:rFonts w:ascii="Times New Roman" w:hAnsi="Times New Roman"/>
          <w:b w:val="false"/>
          <w:i w:val="false"/>
          <w:color w:val="000000"/>
          <w:sz w:val="21"/>
        </w:rPr>
        <w:t xml:space="preserve"> (Notice ARC 9237B,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2565C</w:t>
      </w:r>
      <w:r>
        <w:rPr>
          <w:rFonts w:ascii="Times New Roman" w:hAnsi="Times New Roman"/>
          <w:b w:val="false"/>
          <w:i w:val="false"/>
          <w:color w:val="000000"/>
          <w:sz w:val="21"/>
        </w:rPr>
        <w:t xml:space="preserve"> (Notice ARC 2444C, IAB 3/16/16)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8.pdf" Type="http://schemas.openxmlformats.org/officeDocument/2006/relationships/hyperlink" Id="rId5"/>
    <Relationship TargetMode="External" Target="https://www.legis.iowa.gov/docs/ico/chapter/69.pdf" Type="http://schemas.openxmlformats.org/officeDocument/2006/relationships/hyperlink" Id="rId6"/>
    <Relationship TargetMode="External" Target="https://www.legis.iowa.gov/docs/ico/chapter/14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