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126</w:t>
      </w:r>
    </w:p>
    <w:p>
      <w:pPr>
        <w:spacing w:before="0" w:after="0"/>
        <w:ind w:left="120"/>
        <w:jc w:val="center"/>
      </w:pPr>
      <w:r>
        <w:rPr>
          <w:rFonts w:ascii="Times New Roman" w:hAnsi="Times New Roman"/>
          <w:b w:val="false"/>
          <w:i w:val="false"/>
          <w:color w:val="000000"/>
          <w:sz w:val="21"/>
        </w:rPr>
        <w:t>STATE MEDICAL EXAMINER</w:t>
      </w:r>
    </w:p>
    <w:p>
      <w:pPr>
        <w:spacing w:before="0" w:after="0"/>
        <w:ind w:left="120"/>
        <w:jc w:val="center"/>
      </w:pPr>
      <w:r>
        <w:rPr>
          <w:rFonts w:ascii="Times New Roman" w:hAnsi="Times New Roman"/>
          <w:b w:val="false"/>
          <w:i w:val="false"/>
          <w:color w:val="000000"/>
          <w:sz w:val="14"/>
        </w:rPr>
        <w:t>[Prior to 4/20/88, see Medical Examiner, State[566] Ch 1]</w:t>
      </w:r>
    </w:p>
    <w:p>
      <w:pPr>
        <w:spacing w:before="0" w:after="0"/>
        <w:ind w:left="120"/>
        <w:jc w:val="center"/>
      </w:pPr>
      <w:r>
        <w:rPr>
          <w:rFonts w:ascii="Times New Roman" w:hAnsi="Times New Roman"/>
          <w:b w:val="false"/>
          <w:i w:val="false"/>
          <w:color w:val="000000"/>
          <w:sz w:val="14"/>
        </w:rPr>
        <w:t>[Prior to 6/30/99, see Public Safety Department[661]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641—126.1</w:t>
      </w:r>
      <w:r>
        <w:rPr>
          <w:rFonts w:ascii="Times New Roman" w:hAnsi="Times New Roman"/>
          <w:b/>
          <w:i w:val="false"/>
          <w:color w:val="000000"/>
          <w:sz w:val="22"/>
        </w:rPr>
        <w:t xml:space="preserve">(144,331,691)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“Autopsy” </w:t>
      </w:r>
      <w:r>
        <w:rPr>
          <w:rFonts w:ascii="Times New Roman" w:hAnsi="Times New Roman"/>
          <w:b w:val="false"/>
          <w:i w:val="false"/>
          <w:color w:val="000000"/>
          <w:sz w:val="22"/>
        </w:rPr>
        <w:t>means the external and internal postmortem examination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of appointment” </w:t>
      </w:r>
      <w:r>
        <w:rPr>
          <w:rFonts w:ascii="Times New Roman" w:hAnsi="Times New Roman"/>
          <w:b w:val="false"/>
          <w:i w:val="false"/>
          <w:color w:val="000000"/>
          <w:sz w:val="22"/>
        </w:rPr>
        <w:t>means the county which requests a medical examiner to conduct an investigation, perform or order an autopsy, or prepare a report(s) in a death investigation case. The request may be authorized by the county attorney or the county medical examiner. The county of appointment shall be the county in which the death occurred.</w:t>
      </w:r>
    </w:p>
    <w:p>
      <w:pPr>
        <w:spacing w:before="210" w:after="0"/>
        <w:ind w:left="120"/>
        <w:jc w:val="both"/>
      </w:pPr>
      <w:r>
        <w:rPr>
          <w:rFonts w:ascii="Times New Roman" w:hAnsi="Times New Roman"/>
          <w:b/>
          <w:i w:val="false"/>
          <w:color w:val="000000"/>
          <w:sz w:val="22"/>
        </w:rPr>
        <w:t>641—126.2</w:t>
      </w:r>
      <w:r>
        <w:rPr>
          <w:rFonts w:ascii="Times New Roman" w:hAnsi="Times New Roman"/>
          <w:b/>
          <w:i w:val="false"/>
          <w:color w:val="000000"/>
          <w:sz w:val="22"/>
        </w:rPr>
        <w:t xml:space="preserve">(691) </w:t>
      </w:r>
      <w:r>
        <w:rPr>
          <w:rFonts w:ascii="Times New Roman" w:hAnsi="Times New Roman"/>
          <w:b/>
          <w:i w:val="false"/>
          <w:color w:val="000000"/>
          <w:sz w:val="22"/>
        </w:rPr>
        <w:t xml:space="preserve">Medical examiner coverage.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12/12/01</w:t>
      </w:r>
      <w:r>
        <w:rPr>
          <w:rFonts w:ascii="Times New Roman" w:hAnsi="Times New Roman"/>
          <w:b w:val="false"/>
          <w:i w:val="false"/>
          <w:color w:val="000000"/>
          <w:sz w:val="22"/>
        </w:rPr>
        <w:t>, effective 1/16/02.</w:t>
      </w:r>
    </w:p>
    <w:p>
      <w:pPr>
        <w:spacing w:before="0" w:after="0"/>
        <w:ind w:left="120"/>
        <w:jc w:val="both"/>
      </w:pPr>
      <w:r>
        <w:rPr>
          <w:rFonts w:ascii="Times New Roman" w:hAnsi="Times New Roman"/>
          <w:b/>
          <w:i w:val="false"/>
          <w:color w:val="000000"/>
          <w:sz w:val="22"/>
        </w:rPr>
        <w:t>641—126.3</w:t>
      </w:r>
      <w:r>
        <w:rPr>
          <w:rFonts w:ascii="Times New Roman" w:hAnsi="Times New Roman"/>
          <w:b/>
          <w:i w:val="false"/>
          <w:color w:val="000000"/>
          <w:sz w:val="22"/>
        </w:rPr>
        <w:t xml:space="preserve">(691) </w:t>
      </w:r>
      <w:r>
        <w:rPr>
          <w:rFonts w:ascii="Times New Roman" w:hAnsi="Times New Roman"/>
          <w:b/>
          <w:i w:val="false"/>
          <w:color w:val="000000"/>
          <w:sz w:val="22"/>
        </w:rPr>
        <w:t xml:space="preserve">Fees for autopsies and related services and reimbursement for related expenses. </w:t>
      </w:r>
      <w:r>
        <w:rPr>
          <w:rFonts w:ascii="Times New Roman" w:hAnsi="Times New Roman"/>
          <w:b w:val="false"/>
          <w:i w:val="false"/>
          <w:color w:val="000000"/>
          <w:sz w:val="22"/>
        </w:rPr>
        <w:t>Autopsies performed by the state medical examiner are provided on a fee-for-service basis. Costs of autopsies and related services and expenses are the responsibility of the county of appointment. The county of residence of the deceased shall reimburse the county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126.3(1)</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 xml:space="preserve">The fees collected under this subrule shall be considered repayment receipts as defined in Iowa Code section </w:t>
      </w:r>
      <w:hyperlink r:id="rId5">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fees shall apply to autopsies conducted by the state medical examiner:</w:t>
      </w:r>
    </w:p>
    <w:tbl>
      <w:tblPr>
        <w:tblW w:w="5000" w:type="pct"/>
        <w:tblCellSpacing w:w="0" w:type="auto"/>
        <w:tblBorders>
          <w:top w:val="none"/>
          <w:left w:val="none"/>
          <w:bottom w:val="none"/>
          <w:right w:val="none"/>
          <w:insideH w:val="none"/>
          <w:insideV w:val="none"/>
        </w:tblBorders>
        <w:tblLayout w:type="fixed"/>
      </w:tblPr>
      <w:tblGrid>
        <w:gridCol w:w="5938"/>
        <w:gridCol w:w="5251"/>
      </w:tblGrid>
      <w:tr>
        <w:trPr>
          <w:trHeight w:val="255" w:hRule="atLeast"/>
        </w:trPr>
        <w:tc>
          <w:tcPr>
            <w:tcW w:w="5938" w:type="dxa"/>
            <w:tcBorders/>
            <w:tcMar>
              <w:top w:w="30" w:type="dxa"/>
              <w:left w:w="30" w:type="dxa"/>
              <w:bottom w:w="15" w:type="dxa"/>
              <w:right w:w="30" w:type="dxa"/>
            </w:tcMar>
            <w:vAlign w:val="bottom"/>
          </w:tcPr>
          <w:p>
            <w:pPr>
              <w:spacing w:before="0" w:after="0"/>
              <w:ind w:left="141"/>
              <w:jc w:val="left"/>
            </w:pPr>
            <w:r>
              <w:rPr>
                <w:rFonts w:ascii="Times New Roman" w:hAnsi="Times New Roman"/>
                <w:b w:val="false"/>
                <w:i w:val="false"/>
                <w:color w:val="000000"/>
                <w:sz w:val="20"/>
              </w:rPr>
              <w:t>Autopsy</w:t>
            </w:r>
          </w:p>
        </w:tc>
        <w:tc>
          <w:tcPr>
            <w:tcW w:w="5251" w:type="dxa"/>
            <w:tcBorders/>
            <w:tcMar>
              <w:top w:w="30" w:type="dxa"/>
              <w:left w:w="30" w:type="dxa"/>
              <w:bottom w:w="15" w:type="dxa"/>
              <w:right w:w="30" w:type="dxa"/>
            </w:tcMar>
            <w:vAlign w:val="bottom"/>
          </w:tcPr>
          <w:p>
            <w:pPr>
              <w:spacing w:before="0" w:after="0"/>
              <w:ind w:left="112"/>
              <w:jc w:val="left"/>
            </w:pPr>
            <w:r>
              <w:rPr>
                <w:rFonts w:ascii="Times New Roman" w:hAnsi="Times New Roman"/>
                <w:b w:val="false"/>
                <w:i w:val="false"/>
                <w:color w:val="000000"/>
                <w:sz w:val="20"/>
              </w:rPr>
              <w:t>$1400 — Beginning July 1, 2018, $1900</w:t>
            </w:r>
          </w:p>
        </w:tc>
      </w:tr>
      <w:tr>
        <w:trPr>
          <w:trHeight w:val="255" w:hRule="atLeast"/>
        </w:trPr>
        <w:tc>
          <w:tcPr>
            <w:tcW w:w="5938" w:type="dxa"/>
            <w:tcBorders/>
            <w:tcMar>
              <w:top w:w="30" w:type="dxa"/>
              <w:left w:w="30" w:type="dxa"/>
              <w:bottom w:w="15" w:type="dxa"/>
              <w:right w:w="30" w:type="dxa"/>
            </w:tcMar>
            <w:vAlign w:val="bottom"/>
          </w:tcPr>
          <w:p>
            <w:pPr>
              <w:spacing w:before="0" w:after="0"/>
              <w:ind w:left="141"/>
              <w:jc w:val="left"/>
            </w:pPr>
            <w:r>
              <w:rPr>
                <w:rFonts w:ascii="Times New Roman" w:hAnsi="Times New Roman"/>
                <w:b w:val="false"/>
                <w:i w:val="false"/>
                <w:color w:val="000000"/>
                <w:sz w:val="20"/>
              </w:rPr>
              <w:t>Copies of reports</w:t>
            </w:r>
          </w:p>
        </w:tc>
        <w:tc>
          <w:tcPr>
            <w:tcW w:w="5251" w:type="dxa"/>
            <w:tcBorders/>
            <w:tcMar>
              <w:top w:w="30" w:type="dxa"/>
              <w:left w:w="30" w:type="dxa"/>
              <w:bottom w:w="15" w:type="dxa"/>
              <w:right w:w="30" w:type="dxa"/>
            </w:tcMar>
            <w:vAlign w:val="bottom"/>
          </w:tcPr>
          <w:p>
            <w:pPr>
              <w:spacing w:before="0" w:after="0"/>
              <w:ind w:left="112"/>
              <w:jc w:val="left"/>
            </w:pPr>
            <w:r>
              <w:rPr>
                <w:rFonts w:ascii="Times New Roman" w:hAnsi="Times New Roman"/>
                <w:b w:val="false"/>
                <w:i w:val="false"/>
                <w:color w:val="000000"/>
                <w:sz w:val="20"/>
              </w:rPr>
              <w:t>$20</w:t>
            </w:r>
          </w:p>
        </w:tc>
      </w:tr>
    </w:tbl>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A copy of the autopsy report is automatically sent to the county medical examiner and to the county attorney without fee. A single copy of an autopsy report may be provided to the immediate next of kin of the deceased without fee. Copies of autopsy reports may be provided to public officials and physicians of record for official purposes without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fee is for time spent reviewing case materials, preparing for deposition or court, testifying in deposition or court, and travel time.</w:t>
      </w:r>
    </w:p>
    <w:tbl>
      <w:tblPr>
        <w:tblW w:w="5000" w:type="pct"/>
        <w:tblCellSpacing w:w="0" w:type="auto"/>
        <w:tblBorders>
          <w:top w:val="none"/>
          <w:left w:val="none"/>
          <w:bottom w:val="none"/>
          <w:right w:val="none"/>
          <w:insideH w:val="none"/>
          <w:insideV w:val="none"/>
        </w:tblBorders>
        <w:tblLayout w:type="fixed"/>
      </w:tblPr>
      <w:tblGrid>
        <w:gridCol w:w="2034"/>
        <w:gridCol w:w="4154"/>
        <w:gridCol w:w="5001"/>
      </w:tblGrid>
      <w:tr>
        <w:trPr>
          <w:trHeight w:val="480" w:hRule="atLeast"/>
        </w:trPr>
        <w:tc>
          <w:tcPr>
            <w:tcW w:w="0" w:type="auto"/>
            <w:gridSpan w:val="2"/>
            <w:tcBorders/>
            <w:tcMar>
              <w:top w:w="30" w:type="dxa"/>
              <w:left w:w="30" w:type="dxa"/>
              <w:bottom w:w="15" w:type="dxa"/>
              <w:right w:w="30" w:type="dxa"/>
            </w:tcMar>
            <w:vAlign w:val="top"/>
          </w:tcPr>
          <w:p>
            <w:pPr>
              <w:spacing w:before="0" w:after="0"/>
              <w:ind w:left="141"/>
              <w:jc w:val="left"/>
            </w:pPr>
            <w:r>
              <w:rPr>
                <w:rFonts w:ascii="Times New Roman" w:hAnsi="Times New Roman"/>
                <w:b w:val="false"/>
                <w:i w:val="false"/>
                <w:color w:val="000000"/>
                <w:sz w:val="20"/>
              </w:rPr>
              <w:t>State, deputy, or associate medical examiner(s)</w:t>
            </w:r>
          </w:p>
          <w:p>
            <w:pPr>
              <w:spacing w:before="0" w:after="0"/>
              <w:ind w:left="160"/>
              <w:jc w:val="left"/>
            </w:pPr>
            <w:r>
              <w:rPr>
                <w:rFonts w:ascii="Times New Roman" w:hAnsi="Times New Roman"/>
                <w:b w:val="false"/>
                <w:i w:val="false"/>
                <w:color w:val="000000"/>
                <w:sz w:val="20"/>
              </w:rPr>
              <w:t xml:space="preserve"> time for all court cases</w:t>
            </w:r>
          </w:p>
        </w:tc>
        <w:tc>
          <w:tcPr>
            <w:tcW w:w="5001" w:type="dxa"/>
            <w:tcBorders/>
            <w:tcMar>
              <w:top w:w="30" w:type="dxa"/>
              <w:left w:w="30" w:type="dxa"/>
              <w:bottom w:w="15" w:type="dxa"/>
              <w:right w:w="30" w:type="dxa"/>
            </w:tcMar>
            <w:vAlign w:val="bottom"/>
          </w:tcPr>
          <w:p>
            <w:pPr>
              <w:spacing w:before="0" w:after="0"/>
              <w:ind w:left="112"/>
              <w:jc w:val="left"/>
            </w:pPr>
            <w:r>
              <w:rPr>
                <w:rFonts w:ascii="Times New Roman" w:hAnsi="Times New Roman"/>
                <w:b w:val="false"/>
                <w:i w:val="false"/>
                <w:color w:val="000000"/>
                <w:sz w:val="20"/>
              </w:rPr>
              <w:t>$450 per hour with a one-hour minimum</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cremation permit fee of $75 will be assessed for each permit investigated and authorized by the state medical examiner’s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126.3(2)</w:t>
      </w:r>
      <w:r>
        <w:rPr>
          <w:rFonts w:ascii="Times New Roman" w:hAnsi="Times New Roman"/>
          <w:b w:val="false"/>
          <w:i w:val="false"/>
          <w:color w:val="000000"/>
          <w:sz w:val="22"/>
        </w:rPr>
        <w:t> </w:t>
      </w:r>
      <w:r>
        <w:rPr>
          <w:rFonts w:ascii="Times New Roman" w:hAnsi="Times New Roman"/>
          <w:b w:val="false"/>
          <w:i/>
          <w:color w:val="000000"/>
          <w:sz w:val="22"/>
        </w:rPr>
        <w:t xml:space="preserve">Expense reimbursement. </w:t>
      </w:r>
      <w:r>
        <w:rPr>
          <w:rFonts w:ascii="Times New Roman" w:hAnsi="Times New Roman"/>
          <w:b w:val="false"/>
          <w:i w:val="false"/>
          <w:color w:val="000000"/>
          <w:sz w:val="22"/>
        </w:rPr>
        <w:t>Other laboratory services associated with an autopsy, which shall include, but not be limited to, photography, toxicology, radiology, microbiology, and morgue fees, shall be billed by the department to the county of appointment. Moneys collected pursuant to this subrule shall be paid by the department to the laboratory or other entity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126.3(3)</w:t>
      </w:r>
      <w:r>
        <w:rPr>
          <w:rFonts w:ascii="Times New Roman" w:hAnsi="Times New Roman"/>
          <w:b w:val="false"/>
          <w:i w:val="false"/>
          <w:color w:val="000000"/>
          <w:sz w:val="22"/>
        </w:rPr>
        <w:t> </w:t>
      </w:r>
      <w:r>
        <w:rPr>
          <w:rFonts w:ascii="Times New Roman" w:hAnsi="Times New Roman"/>
          <w:b w:val="false"/>
          <w:i/>
          <w:color w:val="000000"/>
          <w:sz w:val="22"/>
        </w:rPr>
        <w:t xml:space="preserve">State medical examiner acting as county medical examiner. </w:t>
      </w:r>
      <w:r>
        <w:rPr>
          <w:rFonts w:ascii="Times New Roman" w:hAnsi="Times New Roman"/>
          <w:b w:val="false"/>
          <w:i w:val="false"/>
          <w:color w:val="000000"/>
          <w:sz w:val="22"/>
        </w:rPr>
        <w:t>When the state medical examiner acts in the capacity of county medical examiner, the state medical examiner shall receive from the county of appointment a fee of $100 per hour, with a one-hour minimum, for each report prepared plus the state medical examiner’s actual expenses. Counties may not depend on the state medical examiner for full-time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9533B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 xml:space="preserve">; </w:t>
      </w:r>
      <w:r>
        <w:rPr>
          <w:rFonts w:ascii="Times New Roman" w:hAnsi="Times New Roman"/>
          <w:b/>
          <w:i w:val="false"/>
          <w:color w:val="000000"/>
          <w:sz w:val="16"/>
        </w:rPr>
        <w:t>ARC 9880B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3499C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641—126.4</w:t>
      </w:r>
      <w:r>
        <w:rPr>
          <w:rFonts w:ascii="Times New Roman" w:hAnsi="Times New Roman"/>
          <w:b/>
          <w:i w:val="false"/>
          <w:color w:val="000000"/>
          <w:sz w:val="22"/>
        </w:rPr>
        <w:t xml:space="preserve">(691) </w:t>
      </w:r>
      <w:r>
        <w:rPr>
          <w:rFonts w:ascii="Times New Roman" w:hAnsi="Times New Roman"/>
          <w:b/>
          <w:i w:val="false"/>
          <w:color w:val="000000"/>
          <w:sz w:val="22"/>
        </w:rPr>
        <w:t xml:space="preserve">Fees for tissue recovery. </w:t>
      </w:r>
      <w:r>
        <w:rPr>
          <w:rFonts w:ascii="Times New Roman" w:hAnsi="Times New Roman"/>
          <w:b w:val="false"/>
          <w:i w:val="false"/>
          <w:color w:val="000000"/>
          <w:sz w:val="22"/>
        </w:rPr>
        <w:t>When the tissue recovery room located within the office of the state medical examiner is utilized by an authorized tissue recovery agency, a fee of $400 per case shall be assessed. The tissue recovery agency is responsible for this fee, payable to the office of the state medical examiner.</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691.6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11/1/84, Notice 6/6/84—published 11/21/84, effective 12/26/84]</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emergency 12/23/88 after Notice of 11/2/88—published 1/11/89, effective 12/23/88]</w:t>
      </w:r>
    </w:p>
    <w:p>
      <w:pPr>
        <w:spacing w:before="0" w:after="0"/>
        <w:ind w:left="120"/>
        <w:jc w:val="center"/>
      </w:pPr>
      <w:r>
        <w:rPr>
          <w:rFonts w:ascii="Times New Roman" w:hAnsi="Times New Roman"/>
          <w:b w:val="false"/>
          <w:i w:val="false"/>
          <w:color w:val="000000"/>
          <w:sz w:val="21"/>
        </w:rPr>
        <w:t>[Filed emergency 8/29/96—published 9/25/96, effective 9/1/96]</w:t>
      </w:r>
    </w:p>
    <w:p>
      <w:pPr>
        <w:spacing w:before="0" w:after="0"/>
        <w:ind w:left="120"/>
        <w:jc w:val="center"/>
      </w:pPr>
      <w:r>
        <w:rPr>
          <w:rFonts w:ascii="Times New Roman" w:hAnsi="Times New Roman"/>
          <w:b w:val="false"/>
          <w:i w:val="false"/>
          <w:color w:val="000000"/>
          <w:sz w:val="21"/>
        </w:rPr>
        <w:t>[Filed emergency 6/9/99—published 6/30/99, effective 6/9/99]</w:t>
      </w:r>
    </w:p>
    <w:p>
      <w:pPr>
        <w:spacing w:before="0" w:after="0"/>
        <w:ind w:left="120"/>
        <w:jc w:val="center"/>
      </w:pPr>
      <w:r>
        <w:rPr>
          <w:rFonts w:ascii="Times New Roman" w:hAnsi="Times New Roman"/>
          <w:b w:val="false"/>
          <w:i w:val="false"/>
          <w:color w:val="000000"/>
          <w:sz w:val="21"/>
        </w:rPr>
        <w:t>[Filed 11/19/01, Notice 10/3/01—published 12/12/01, effective 1/16/02]</w:t>
      </w:r>
    </w:p>
    <w:p>
      <w:pPr>
        <w:spacing w:before="0" w:after="0"/>
        <w:ind w:left="120"/>
        <w:jc w:val="center"/>
      </w:pPr>
      <w:r>
        <w:rPr>
          <w:rFonts w:ascii="Times New Roman" w:hAnsi="Times New Roman"/>
          <w:b w:val="false"/>
          <w:i w:val="false"/>
          <w:color w:val="000000"/>
          <w:sz w:val="21"/>
        </w:rPr>
        <w:t>[Filed 1/16/03, Notice 11/27/02—published 2/5/03, effective 3/12/03]</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[Filed ARC 9533B</w:t>
      </w:r>
      <w:r>
        <w:rPr>
          <w:rFonts w:ascii="Times New Roman" w:hAnsi="Times New Roman"/>
          <w:b w:val="false"/>
          <w:i w:val="false"/>
          <w:color w:val="000000"/>
          <w:sz w:val="21"/>
        </w:rPr>
        <w:t xml:space="preserve"> (Notice ARC 9435B, IAB 3/23/11)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9880B</w:t>
      </w:r>
      <w:r>
        <w:rPr>
          <w:rFonts w:ascii="Times New Roman" w:hAnsi="Times New Roman"/>
          <w:b w:val="false"/>
          <w:i w:val="false"/>
          <w:color w:val="000000"/>
          <w:sz w:val="21"/>
        </w:rPr>
        <w:t xml:space="preserve"> (Notice ARC 9771B,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3499C</w:t>
      </w:r>
      <w:r>
        <w:rPr>
          <w:rFonts w:ascii="Times New Roman" w:hAnsi="Times New Roman"/>
          <w:b w:val="false"/>
          <w:i w:val="false"/>
          <w:color w:val="000000"/>
          <w:sz w:val="21"/>
        </w:rPr>
        <w:t xml:space="preserve"> (Notice ARC 3212C, IAB 7/19/17)</w:t>
      </w:r>
      <w:r>
        <w:rPr>
          <w:rFonts w:ascii="Times New Roman" w:hAnsi="Times New Roman"/>
          <w:b w:val="false"/>
          <w:i w:val="false"/>
          <w:color w:val="000000"/>
          <w:sz w:val="21"/>
        </w:rPr>
        <w:t>, IAB 12/6/17, effective 1/10/18]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2.pdf" Type="http://schemas.openxmlformats.org/officeDocument/2006/relationships/hyperlink" Id="rId5"/>
    <Relationship TargetMode="External" Target="https://www.legis.iowa.gov/docs/ico/chapter/691.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