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122</w:t>
      </w:r>
    </w:p>
    <w:p>
      <w:pPr>
        <w:spacing w:before="0" w:after="0"/>
        <w:ind w:left="120"/>
        <w:jc w:val="center"/>
      </w:pPr>
      <w:r>
        <w:rPr>
          <w:rFonts w:ascii="Times New Roman" w:hAnsi="Times New Roman"/>
          <w:b w:val="false"/>
          <w:i w:val="false"/>
          <w:color w:val="000000"/>
          <w:sz w:val="21"/>
        </w:rPr>
        <w:t>ANATOMICAL GIFT PUBLIC AWARENESS AND TRANSPLANTATION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641—122.1</w:t>
      </w:r>
      <w:r>
        <w:rPr>
          <w:rFonts w:ascii="Times New Roman" w:hAnsi="Times New Roman"/>
          <w:b/>
          <w:i w:val="false"/>
          <w:color w:val="000000"/>
          <w:sz w:val="22"/>
        </w:rPr>
        <w:t xml:space="preserve">(142C)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The anatomical gift public awareness and transplantation fund was established by the legislature as a separate fund consisting of monetary contributions collected by county treasurers during the vehicle registration process and other contributions to the fund. Not more than 20 percent of the moneys in the fund annually may be expended in the form of grants to state agencies or to nonprofit legal entities. Not more than 30 percent of the moneys in the fund annually may be expended in the form of grants to hospitals for reimbursement for costs directly related to the development of in-hospital anatomical gift public awareness projects, anatomical gift referral protocols, and associated administrative expenses. Any unobligated moneys in the fund annually may be expended in the form of grants to transplant recipients, transplant candidates, living organ donors, or to legal representatives on behalf of transplant recipients, transplant candidates, or living organ donors for the reimbursement of out-of-pocket expenses not covered by insurance. These rules shall be implemented only to the extent that funding is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641—122.2</w:t>
      </w:r>
      <w:r>
        <w:rPr>
          <w:rFonts w:ascii="Times New Roman" w:hAnsi="Times New Roman"/>
          <w:b/>
          <w:i w:val="false"/>
          <w:color w:val="000000"/>
          <w:sz w:val="22"/>
        </w:rPr>
        <w:t xml:space="preserve">(142C)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“Anatomical gift” </w:t>
      </w:r>
      <w:r>
        <w:rPr>
          <w:rFonts w:ascii="Times New Roman" w:hAnsi="Times New Roman"/>
          <w:b w:val="false"/>
          <w:i w:val="false"/>
          <w:color w:val="000000"/>
          <w:sz w:val="22"/>
        </w:rPr>
        <w:t>means a human organ donated by a living or deceased person for the purpose of transplantation.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means a person who provides care, protection, or services to a transplant recipient or living organ donor.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“Donor” </w:t>
      </w:r>
      <w:r>
        <w:rPr>
          <w:rFonts w:ascii="Times New Roman" w:hAnsi="Times New Roman"/>
          <w:b w:val="false"/>
          <w:i w:val="false"/>
          <w:color w:val="000000"/>
          <w:sz w:val="22"/>
        </w:rPr>
        <w:t xml:space="preserve">means an individual whose body or body part is the subject of an anatomical gift.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organ” </w:t>
      </w:r>
      <w:r>
        <w:rPr>
          <w:rFonts w:ascii="Times New Roman" w:hAnsi="Times New Roman"/>
          <w:b w:val="false"/>
          <w:i w:val="false"/>
          <w:color w:val="000000"/>
          <w:sz w:val="22"/>
        </w:rPr>
        <w:t>means an eye, heart, lung, liver, pancreas, kidney, cornea, bone, tendon, heart valve, blood vessel, vein, or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the person receiving a human organ via transplant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means a natural person who physically resides in Iowa as the person’s principal and primary residence and who establishes evidence of such residency by providing the department with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valid Iowa driver’s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valid Iowa nonoperator’s identification card,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valid Iowa voter registration card,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current Iowa vehicle registration certificate,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from a financial institution,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residential lease agreement,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check or pay stub from an employer,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child’s school or child care enrollment documents,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Valid documentation establishing a filing for homestead or military tax exemption on property located in Iowa, 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Other valid documentation as deemed acceptable by the department to establish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“Transplantation” </w:t>
      </w:r>
      <w:r>
        <w:rPr>
          <w:rFonts w:ascii="Times New Roman" w:hAnsi="Times New Roman"/>
          <w:b w:val="false"/>
          <w:i w:val="false"/>
          <w:color w:val="000000"/>
          <w:sz w:val="22"/>
        </w:rPr>
        <w:t xml:space="preserve">means surgically moving a human organ from an organ donor to a recipient.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“Transplant social worker” </w:t>
      </w:r>
      <w:r>
        <w:rPr>
          <w:rFonts w:ascii="Times New Roman" w:hAnsi="Times New Roman"/>
          <w:b w:val="false"/>
          <w:i w:val="false"/>
          <w:color w:val="000000"/>
          <w:sz w:val="22"/>
        </w:rPr>
        <w:t>means the hospital social worker assisting the organ donor or recipient.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641—122.3</w:t>
      </w:r>
      <w:r>
        <w:rPr>
          <w:rFonts w:ascii="Times New Roman" w:hAnsi="Times New Roman"/>
          <w:b/>
          <w:i w:val="false"/>
          <w:color w:val="000000"/>
          <w:sz w:val="22"/>
        </w:rPr>
        <w:t xml:space="preserve">(142C) </w:t>
      </w:r>
      <w:r>
        <w:rPr>
          <w:rFonts w:ascii="Times New Roman" w:hAnsi="Times New Roman"/>
          <w:b/>
          <w:i w:val="false"/>
          <w:color w:val="000000"/>
          <w:sz w:val="22"/>
        </w:rPr>
        <w:t xml:space="preserve">State agencies or nonprofit legal entities. </w:t>
      </w:r>
      <w:r>
        <w:rPr>
          <w:rFonts w:ascii="Times New Roman" w:hAnsi="Times New Roman"/>
          <w:b w:val="false"/>
          <w:i w:val="false"/>
          <w:color w:val="000000"/>
          <w:sz w:val="22"/>
        </w:rPr>
        <w:t xml:space="preserve">Funding is available for state of Iowa agencies or nonprofit legal entities to conduct anatomical gift public awareness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To be eligible for a grant, the applicant shall be a state agency or nonprofit legal entity which, through a competitive bid process, submits a plan for an anatomical gift public awareness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122.3(2)</w:t>
      </w:r>
      <w:r>
        <w:rPr>
          <w:rFonts w:ascii="Times New Roman" w:hAnsi="Times New Roman"/>
          <w:b w:val="false"/>
          <w:i w:val="false"/>
          <w:color w:val="000000"/>
          <w:sz w:val="22"/>
        </w:rPr>
        <w:t> </w:t>
      </w:r>
      <w:r>
        <w:rPr>
          <w:rFonts w:ascii="Times New Roman" w:hAnsi="Times New Roman"/>
          <w:b w:val="false"/>
          <w:i/>
          <w:color w:val="000000"/>
          <w:sz w:val="22"/>
        </w:rPr>
        <w:t xml:space="preserve">Amount of grant. </w:t>
      </w:r>
      <w:r>
        <w:rPr>
          <w:rFonts w:ascii="Times New Roman" w:hAnsi="Times New Roman"/>
          <w:b w:val="false"/>
          <w:i w:val="false"/>
          <w:color w:val="000000"/>
          <w:sz w:val="22"/>
        </w:rPr>
        <w:t xml:space="preserve">The department may offer a grant opportunity to state agencies and nonprofit entities through a competitive bid process. The total amount of grant funds awarded to an applicant shall be based on the number of applicants and the availability of funds. Awarded grant funds will be made payable to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122.3(3)</w:t>
      </w:r>
      <w:r>
        <w:rPr>
          <w:rFonts w:ascii="Times New Roman" w:hAnsi="Times New Roman"/>
          <w:b w:val="false"/>
          <w:i w:val="false"/>
          <w:color w:val="000000"/>
          <w:sz w:val="22"/>
        </w:rPr>
        <w:t> </w:t>
      </w:r>
      <w:r>
        <w:rPr>
          <w:rFonts w:ascii="Times New Roman" w:hAnsi="Times New Roman"/>
          <w:b w:val="false"/>
          <w:i/>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make an application to the program in the manner specified by the department. The department shall follow the requirements for competitive selection contained in </w:t>
      </w:r>
      <w:hyperlink r:id="rId5">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 xml:space="preserve"> in awarding these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establish a request for bids and application process for applicants eligible to receive funding. The application review process and review criteria for preference in awarding the grants shall be described in the request for bids.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appeal the denial of a properly submitted grant application. Appeals shall be governed by rule </w:t>
      </w:r>
      <w:hyperlink r:id="rId6">
        <w:r>
          <w:rPr>
            <w:rStyle w:val="Hyperlink"/>
            <w:rFonts w:ascii="Times New Roman" w:hAnsi="Times New Roman"/>
            <w:b w:val="false"/>
            <w:i w:val="false"/>
            <w:color w:val="000000"/>
            <w:sz w:val="22"/>
          </w:rPr>
          <w:t>641—176.8</w:t>
        </w:r>
      </w:hyperlink>
      <w:r>
        <w:rPr>
          <w:rFonts w:ascii="Times New Roman" w:hAnsi="Times New Roman"/>
          <w:b w:val="false"/>
          <w:i w:val="false"/>
          <w:color w:val="000000"/>
          <w:sz w:val="22"/>
        </w:rPr>
        <w:t>(135,17A).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641—122.4</w:t>
      </w:r>
      <w:r>
        <w:rPr>
          <w:rFonts w:ascii="Times New Roman" w:hAnsi="Times New Roman"/>
          <w:b/>
          <w:i w:val="false"/>
          <w:color w:val="000000"/>
          <w:sz w:val="22"/>
        </w:rPr>
        <w:t xml:space="preserve">(142C) </w:t>
      </w:r>
      <w:r>
        <w:rPr>
          <w:rFonts w:ascii="Times New Roman" w:hAnsi="Times New Roman"/>
          <w:b/>
          <w:i w:val="false"/>
          <w:color w:val="000000"/>
          <w:sz w:val="22"/>
        </w:rPr>
        <w:t xml:space="preserve">Hospitals. </w:t>
      </w:r>
      <w:r>
        <w:rPr>
          <w:rFonts w:ascii="Times New Roman" w:hAnsi="Times New Roman"/>
          <w:b w:val="false"/>
          <w:i w:val="false"/>
          <w:color w:val="000000"/>
          <w:sz w:val="22"/>
        </w:rPr>
        <w:t>Funding is available to hospitals for reimbursement for costs directly related to the development of in-hospital anatomical gift public awareness projects, anatomical gift referral protocols, and associated administrative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To be eligible for a grant, the applicant shall be a hospital physically located in Iowa which, through a competitive bid process, submits a plan for an anatomical gift public awareness project or an implementation or improvement of referral protocol.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122.4(2)</w:t>
      </w:r>
      <w:r>
        <w:rPr>
          <w:rFonts w:ascii="Times New Roman" w:hAnsi="Times New Roman"/>
          <w:b w:val="false"/>
          <w:i w:val="false"/>
          <w:color w:val="000000"/>
          <w:sz w:val="22"/>
        </w:rPr>
        <w:t> </w:t>
      </w:r>
      <w:r>
        <w:rPr>
          <w:rFonts w:ascii="Times New Roman" w:hAnsi="Times New Roman"/>
          <w:b w:val="false"/>
          <w:i/>
          <w:color w:val="000000"/>
          <w:sz w:val="22"/>
        </w:rPr>
        <w:t xml:space="preserve">Amount of grant. </w:t>
      </w:r>
      <w:r>
        <w:rPr>
          <w:rFonts w:ascii="Times New Roman" w:hAnsi="Times New Roman"/>
          <w:b w:val="false"/>
          <w:i w:val="false"/>
          <w:color w:val="000000"/>
          <w:sz w:val="22"/>
        </w:rPr>
        <w:t xml:space="preserve">The department may offer a grant opportunity to Iowa hospitals through a competitive bid process. The total amount of grant funds awarded to an applicant shall be based on the number of applicants and the availability of funds. Awarded grant funds will be made payable to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122.4(3)</w:t>
      </w:r>
      <w:r>
        <w:rPr>
          <w:rFonts w:ascii="Times New Roman" w:hAnsi="Times New Roman"/>
          <w:b w:val="false"/>
          <w:i w:val="false"/>
          <w:color w:val="000000"/>
          <w:sz w:val="22"/>
        </w:rPr>
        <w:t> </w:t>
      </w:r>
      <w:r>
        <w:rPr>
          <w:rFonts w:ascii="Times New Roman" w:hAnsi="Times New Roman"/>
          <w:b w:val="false"/>
          <w:i/>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make an application to the program in the manner specified by the department. The department shall follow the requirements for competitive selection contained in </w:t>
      </w:r>
      <w:hyperlink r:id="rId7">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 xml:space="preserve"> in awarding these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a request for bids and application process for applicants eligible to receive funding. The application review process and review criteria for preference in awarding the grants shall be described in the request for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appeal the denial of a properly submitted grant application. Appeals shall be governed by rule </w:t>
      </w:r>
      <w:hyperlink r:id="rId8">
        <w:r>
          <w:rPr>
            <w:rStyle w:val="Hyperlink"/>
            <w:rFonts w:ascii="Times New Roman" w:hAnsi="Times New Roman"/>
            <w:b w:val="false"/>
            <w:i w:val="false"/>
            <w:color w:val="000000"/>
            <w:sz w:val="22"/>
          </w:rPr>
          <w:t>641—176.8</w:t>
        </w:r>
      </w:hyperlink>
      <w:r>
        <w:rPr>
          <w:rFonts w:ascii="Times New Roman" w:hAnsi="Times New Roman"/>
          <w:b w:val="false"/>
          <w:i w:val="false"/>
          <w:color w:val="000000"/>
          <w:sz w:val="22"/>
        </w:rPr>
        <w:t>(135,17A).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641—122.5</w:t>
      </w:r>
      <w:r>
        <w:rPr>
          <w:rFonts w:ascii="Times New Roman" w:hAnsi="Times New Roman"/>
          <w:b/>
          <w:i w:val="false"/>
          <w:color w:val="000000"/>
          <w:sz w:val="22"/>
        </w:rPr>
        <w:t xml:space="preserve">(142C) </w:t>
      </w:r>
      <w:r>
        <w:rPr>
          <w:rFonts w:ascii="Times New Roman" w:hAnsi="Times New Roman"/>
          <w:b/>
          <w:i w:val="false"/>
          <w:color w:val="000000"/>
          <w:sz w:val="22"/>
        </w:rPr>
        <w:t xml:space="preserve">Transplant recipients and donors. </w:t>
      </w:r>
      <w:r>
        <w:rPr>
          <w:rFonts w:ascii="Times New Roman" w:hAnsi="Times New Roman"/>
          <w:b w:val="false"/>
          <w:i w:val="false"/>
          <w:color w:val="000000"/>
          <w:sz w:val="22"/>
        </w:rPr>
        <w:t>Funding is available to transplant recipients, donors, and a single caretaker for the reimbursement of out-of-pocket expenses not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To be eligible for a grant, an applicant (or the applicant’s legal representative) must be a U.S. citizen and a resident of the state of Iowa or be a living organ donor to a resident of Iowa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undergone a transplant surgery,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in need of dental clearance in order to be placed on a transplant list as maintained by the United Network for Organ Sharing (UNOS),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been tested as a potential donor and been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122.5(2)</w:t>
      </w:r>
      <w:r>
        <w:rPr>
          <w:rFonts w:ascii="Times New Roman" w:hAnsi="Times New Roman"/>
          <w:b w:val="false"/>
          <w:i w:val="false"/>
          <w:color w:val="000000"/>
          <w:sz w:val="22"/>
        </w:rPr>
        <w:t> </w:t>
      </w:r>
      <w:r>
        <w:rPr>
          <w:rFonts w:ascii="Times New Roman" w:hAnsi="Times New Roman"/>
          <w:b w:val="false"/>
          <w:i/>
          <w:color w:val="000000"/>
          <w:sz w:val="22"/>
        </w:rPr>
        <w:t xml:space="preserve">Grant application. </w:t>
      </w:r>
      <w:r>
        <w:rPr>
          <w:rFonts w:ascii="Times New Roman" w:hAnsi="Times New Roman"/>
          <w:b w:val="false"/>
          <w:i w:val="false"/>
          <w:color w:val="000000"/>
          <w:sz w:val="22"/>
        </w:rPr>
        <w:t>The department shall make the grant application form available on the department’s Web site. Awards shall be made on a reimbursement basis to Iowa resident donors and donor recipients. The total amount of grant funds awarded to an applicant shall be based on the number of applicants and the availability of funds. Awarded grant funds will be made payable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complete the application, as provided by the department, in its entirety and forward the application to the applicant’s transplant social worker for review, comment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transplant social worker shall review the information and documentation provided by the applicant and attest to their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completed application shall be mailed to the address provided on the application. Applications that are incomplete or illegible shall be returned via U.S. mail to the applicant or to the attention of transplant social workers for completion. Original receipts shall be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Grant application documentation shall be retained by the applicant and the transplant social workers for a minimum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122.5(4)</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 xml:space="preserve">The department may reimburse applicants for the following expenses. A more comprehensive list of items eligible for reimbursement is located in the Guidelines - Category 3 document at </w:t>
      </w:r>
      <w:hyperlink r:id="rId9">
        <w:r>
          <w:rPr>
            <w:rStyle w:val="Hyperlink"/>
            <w:rFonts w:ascii="Times New Roman" w:hAnsi="Times New Roman"/>
            <w:b w:val="false"/>
            <w:i w:val="false"/>
            <w:color w:val="000000"/>
            <w:sz w:val="22"/>
            <w:u w:val="single"/>
          </w:rPr>
          <w:t>http://idph.iowa.gov/anatomical-gift</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Dental expenses required for placement of the recipient on a transplant list and expenses directly related to the transplant,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routine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Full mouth X-rays.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 to $1,500 of remaining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(maximum of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Lodging (rate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Airfare (coach) for donor and caretaker for a maximum of two people at a rate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Expenses immediately preceding and immediately following transplant surgery until the recipient and living organ donor are medically released by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Disposable, short-term cleaning and daily life items, such as paper towels, paper plates, tin foil, toilet paper,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Mileage at current rate of state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Child care when both parents undergo surgery related to a single organ transplant.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122.5(5)</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The department may not reimburse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Lost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Alcohol or nonfood items, such as gum, breath mints, candy,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Delivery fees and charges, Internet access, or garage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In-domicile meals, food, or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Medication not directly associated with the transplant or medication taken prior to the transplant.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Medication and supplies available over the counter, such as blood pressure cuffs, gauze, bandages, scales, support hose,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Credit card fees, check processing fees, and nonrefundable security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Lodging and meals for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Dentures.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Nondisposable or long-term cleaning and daily life expenses, such as vacuum, broom, towels, bedding,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Personal items, such as shampoo, lotion, toothbrush, toothpaste, personal hygiene items, or clothing,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Labels, stamps, envelopes, notebooks,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Follow-up visit meals, lodging,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Expenses covered by primary, secondary, or tertiary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122.5(6)</w:t>
      </w:r>
      <w:r>
        <w:rPr>
          <w:rFonts w:ascii="Times New Roman" w:hAnsi="Times New Roman"/>
          <w:b w:val="false"/>
          <w:i w:val="false"/>
          <w:color w:val="000000"/>
          <w:sz w:val="22"/>
        </w:rPr>
        <w:t> </w:t>
      </w:r>
      <w:r>
        <w:rPr>
          <w:rFonts w:ascii="Times New Roman" w:hAnsi="Times New Roman"/>
          <w:b w:val="false"/>
          <w:i/>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grant applications and supporting documentation on a first-come, first-served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Grant reimbursement limits and eligibility shall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Grant applications and payments are not considered public records pursuant to Iowa Code section </w:t>
      </w:r>
      <w:hyperlink r:id="rId10">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142C.15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2766C</w:t>
      </w:r>
      <w:r>
        <w:rPr>
          <w:rFonts w:ascii="Times New Roman" w:hAnsi="Times New Roman"/>
          <w:b w:val="false"/>
          <w:i w:val="false"/>
          <w:color w:val="000000"/>
          <w:sz w:val="21"/>
        </w:rPr>
        <w:t xml:space="preserve"> (Notice ARC 2634C, IAB 7/20/16)</w:t>
      </w:r>
      <w:r>
        <w:rPr>
          <w:rFonts w:ascii="Times New Roman" w:hAnsi="Times New Roman"/>
          <w:b w:val="false"/>
          <w:i w:val="false"/>
          <w:color w:val="000000"/>
          <w:sz w:val="21"/>
        </w:rPr>
        <w:t>, IAB 10/12/16, effective 11/16/16]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176.pdf" Type="http://schemas.openxmlformats.org/officeDocument/2006/relationships/hyperlink" Id="rId5"/>
    <Relationship TargetMode="External" Target="https://www.legis.iowa.gov/docs/iac/rule/641.176.8.pdf" Type="http://schemas.openxmlformats.org/officeDocument/2006/relationships/hyperlink" Id="rId6"/>
    <Relationship TargetMode="External" Target="https://www.legis.iowa.gov/docs/iac/chapter/641.176.pdf" Type="http://schemas.openxmlformats.org/officeDocument/2006/relationships/hyperlink" Id="rId7"/>
    <Relationship TargetMode="External" Target="https://www.legis.iowa.gov/docs/iac/rule/641.176.8.pdf" Type="http://schemas.openxmlformats.org/officeDocument/2006/relationships/hyperlink" Id="rId8"/>
    <Relationship TargetMode="External" Target="http://idph.iowa.gov/anatomical-gift"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142C.1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