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VITAL RECORDS REGISTRIES AND REPORTS</w:t>
      </w:r>
    </w:p>
    <w:p>
      <w:pPr>
        <w:spacing w:before="0" w:after="0"/>
        <w:ind w:left="120"/>
        <w:jc w:val="center"/>
      </w:pPr>
      <w:r>
        <w:rPr>
          <w:rFonts w:ascii="Times New Roman" w:hAnsi="Times New Roman"/>
          <w:b w:val="false"/>
          <w:i w:val="false"/>
          <w:color w:val="000000"/>
          <w:sz w:val="14"/>
        </w:rPr>
        <w:t>[Prior to 12/12/12, see [641] Chs 105 to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641—100.1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 In addition, the following definitions shall apply solely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means the termination of a human pregnancy with the intent other than to produce a live birth or to remove a dead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when used in reference to the mutual consent voluntary adoption registry, means an individual who has reached the age of 18 years at the time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form” </w:t>
      </w:r>
      <w:r>
        <w:rPr>
          <w:rFonts w:ascii="Times New Roman" w:hAnsi="Times New Roman"/>
          <w:b w:val="false"/>
          <w:i w:val="false"/>
          <w:color w:val="000000"/>
          <w:sz w:val="22"/>
        </w:rPr>
        <w:t>means a compilation of the information received by the department on the Statistical Report of Termination of Pregnancy form for each item listed, with the exception of the report tracking number, the health care provider code, and any set of data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“Attempt to perform an abortion” </w:t>
      </w:r>
      <w:r>
        <w:rPr>
          <w:rFonts w:ascii="Times New Roman" w:hAnsi="Times New Roman"/>
          <w:b w:val="false"/>
          <w:i w:val="false"/>
          <w:color w:val="000000"/>
          <w:sz w:val="22"/>
        </w:rPr>
        <w:t>means an act, or an omission of a statutorily required act, that, under the circumstances as the actor believes them to be, constitutes a substantial step in a course of conduct planned to culminate in the performing of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when used in reference to the declaration of paternity registry, means a person under 18 years of age for whom paternity has not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w:t>
      </w:r>
      <w:r>
        <w:rPr>
          <w:rFonts w:ascii="Times New Roman" w:hAnsi="Times New Roman"/>
          <w:b w:val="false"/>
          <w:i w:val="false"/>
          <w:color w:val="000000"/>
          <w:sz w:val="22"/>
        </w:rPr>
        <w:t xml:space="preserve">means the juvenile court when used in reference to the declaration of paternity registry.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“Father” </w:t>
      </w:r>
      <w:r>
        <w:rPr>
          <w:rFonts w:ascii="Times New Roman" w:hAnsi="Times New Roman"/>
          <w:b w:val="false"/>
          <w:i w:val="false"/>
          <w:color w:val="000000"/>
          <w:sz w:val="22"/>
        </w:rPr>
        <w:t>means the male, biological parent of a child when used in reference to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“Fertilization” </w:t>
      </w:r>
      <w:r>
        <w:rPr>
          <w:rFonts w:ascii="Times New Roman" w:hAnsi="Times New Roman"/>
          <w:b w:val="false"/>
          <w:i w:val="false"/>
          <w:color w:val="000000"/>
          <w:sz w:val="22"/>
        </w:rPr>
        <w:t>means the fusion of a human spermatozoon with a human ovum.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an individual licensed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148D</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or any individual who provides medical services under the authorization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“Inducing a termination of pregnancy” </w:t>
      </w:r>
      <w:r>
        <w:rPr>
          <w:rFonts w:ascii="Times New Roman" w:hAnsi="Times New Roman"/>
          <w:b w:val="false"/>
          <w:i w:val="false"/>
          <w:color w:val="000000"/>
          <w:sz w:val="22"/>
        </w:rPr>
        <w:t>means the use of any means to terminate the pregnancy of a woman known to be pregnant with the intent other than to produce a live birth or to remove a dead fetus. “Inducing a termination of pregnancy” includes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bodily function” </w:t>
      </w:r>
      <w:r>
        <w:rPr>
          <w:rFonts w:ascii="Times New Roman" w:hAnsi="Times New Roman"/>
          <w:b w:val="false"/>
          <w:i w:val="false"/>
          <w:color w:val="000000"/>
          <w:sz w:val="22"/>
        </w:rPr>
        <w:t>includes but is not limited to functions of the immune system, normal cell growth, and digestive, bowel, bladder, neurological, brain, respiratory, circulatory, endocrine, and reproductive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means a situation in which an abortion is performed to preserve the life of the pregnant woman whose life is endangered by a physical disorder, physical illness, or physical injury, including a life-endangering physical condition caused by or arising from the pregnancy, or when continuation of the pregnancy will create a serious risk of substantial and irreversible impairment of a major bodily function of the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facility” </w:t>
      </w:r>
      <w:r>
        <w:rPr>
          <w:rFonts w:ascii="Times New Roman" w:hAnsi="Times New Roman"/>
          <w:b w:val="false"/>
          <w:i w:val="false"/>
          <w:color w:val="000000"/>
          <w:sz w:val="22"/>
        </w:rPr>
        <w:t>means any public or private hospital, clinic, center, medical school, medical training institution, health care facility, physician’s office, infirmary, dispensary, ambulatory surgical center, or other institution or location where medical care is provided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 “performed,” </w:t>
      </w:r>
      <w:r>
        <w:rPr>
          <w:rFonts w:ascii="Times New Roman" w:hAnsi="Times New Roman"/>
          <w:b w:val="false"/>
          <w:i w:val="false"/>
          <w:color w:val="000000"/>
          <w:sz w:val="22"/>
        </w:rPr>
        <w:t xml:space="preserve">or </w:t>
      </w:r>
      <w:r>
        <w:rPr>
          <w:rFonts w:ascii="Times New Roman" w:hAnsi="Times New Roman"/>
          <w:b w:val="false"/>
          <w:i/>
          <w:color w:val="000000"/>
          <w:sz w:val="22"/>
        </w:rPr>
        <w:t>“performing,”</w:t>
      </w:r>
      <w:r>
        <w:rPr>
          <w:rFonts w:ascii="Times New Roman" w:hAnsi="Times New Roman"/>
          <w:b w:val="false"/>
          <w:i w:val="false"/>
          <w:color w:val="000000"/>
          <w:sz w:val="22"/>
        </w:rPr>
        <w:t xml:space="preserve"> relative to an abortion, means the use of any means, including medical or surgical, to terminate the pregnancy of a woman known to be pregnant with the intent other than to produce a live birth or to remove a dead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person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“Postfertilization age” </w:t>
      </w:r>
      <w:r>
        <w:rPr>
          <w:rFonts w:ascii="Times New Roman" w:hAnsi="Times New Roman"/>
          <w:b w:val="false"/>
          <w:i w:val="false"/>
          <w:color w:val="000000"/>
          <w:sz w:val="22"/>
        </w:rPr>
        <w:t>means the age of the unborn child as calculated from fertilization.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postfertilization age” </w:t>
      </w:r>
      <w:r>
        <w:rPr>
          <w:rFonts w:ascii="Times New Roman" w:hAnsi="Times New Roman"/>
          <w:b w:val="false"/>
          <w:i w:val="false"/>
          <w:color w:val="000000"/>
          <w:sz w:val="22"/>
        </w:rPr>
        <w:t>means what, in reasonable medical judgment, will with reasonable probability be the postfertilization age of the unborn child at the time the abortion is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medical judgment” </w:t>
      </w:r>
      <w:r>
        <w:rPr>
          <w:rFonts w:ascii="Times New Roman" w:hAnsi="Times New Roman"/>
          <w:b w:val="false"/>
          <w:i w:val="false"/>
          <w:color w:val="000000"/>
          <w:sz w:val="22"/>
        </w:rPr>
        <w:t>means a medical judgment made by a reasonably prudent physician who is knowledgeable about the case and the treatment possibilities with respect to the medical conditions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when used in reference to the declaration of paternity registry, means a person who has registered and claims to be the father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“Registry” </w:t>
      </w:r>
      <w:r>
        <w:rPr>
          <w:rFonts w:ascii="Times New Roman" w:hAnsi="Times New Roman"/>
          <w:b w:val="false"/>
          <w:i w:val="false"/>
          <w:color w:val="000000"/>
          <w:sz w:val="22"/>
        </w:rPr>
        <w:t>means the declaration of paternity registry 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means one of two or more persons who are born of the same parents or, sometimes, who have at least one parent in common. “Sibling” also means brother or sister when used in reference to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“Spontaneous termination of pregnancy” </w:t>
      </w:r>
      <w:r>
        <w:rPr>
          <w:rFonts w:ascii="Times New Roman" w:hAnsi="Times New Roman"/>
          <w:b w:val="false"/>
          <w:i w:val="false"/>
          <w:color w:val="000000"/>
          <w:sz w:val="22"/>
        </w:rPr>
        <w:t xml:space="preserve">means the occurrence of an unintended termination of pregnancy at any time during the period from conception to 20 weeks gestation and which is not a spontaneous termination of pregnancy at any time during the period from 20 weeks or greater which is reported to the department as a fetal death under Iowa Code chapter </w:t>
      </w:r>
      <w:hyperlink r:id="rId1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until live birth.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3394C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641—100.2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vital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641—100.3</w:t>
      </w:r>
      <w:r>
        <w:rPr>
          <w:rFonts w:ascii="Times New Roman" w:hAnsi="Times New Roman"/>
          <w:b/>
          <w:i w:val="false"/>
          <w:color w:val="000000"/>
          <w:sz w:val="22"/>
        </w:rPr>
        <w:t xml:space="preserve">(144) </w:t>
      </w:r>
      <w:r>
        <w:rPr>
          <w:rFonts w:ascii="Times New Roman" w:hAnsi="Times New Roman"/>
          <w:b/>
          <w:i w:val="false"/>
          <w:color w:val="000000"/>
          <w:sz w:val="22"/>
        </w:rPr>
        <w:t xml:space="preserve">Declaration of paternity registry established.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there is established in the department a registry for the declaration of paternity of a putative father who wishes to register prior to the birth of a child and no later than the date of the filing of the petition for termination of parental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val="false"/>
          <w:color w:val="000000"/>
          <w:sz w:val="22"/>
        </w:rPr>
        <w:t>The putative father who files a Declaration of Paternity Registry form with the state registrar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Registrant’s name, current address, social security number, and notarized signature and date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last-known address, and social security number, if known, of the mother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child, if known, and the date and location of the birth of the child,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val="false"/>
          <w:color w:val="000000"/>
          <w:sz w:val="22"/>
        </w:rPr>
        <w:t>The putative father who files the Declaration of Paternity Registry form shall be responsible to notify the state registrar in writing of any change in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forward a copy of the declaration of paternity to the mother as notification that the person has registered, if the mother’s name and address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val="false"/>
          <w:color w:val="000000"/>
          <w:sz w:val="22"/>
        </w:rPr>
        <w:t>There shall be no fee required to file the declaration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as established pursuant to rule </w:t>
      </w:r>
      <w:hyperlink r:id="rId13">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 shall be charged and remitted for conducting a search of the registry. The fee shall be retained for the 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remittance of the required fee, the department shall conduct a search of the registry. Written requests may be submitted by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biological mother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for an action to establish paternity or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attorney of any party to an adoption, termination of parental rights, or establishment of paternity or support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w:t>
      </w:r>
      <w:r>
        <w:rPr>
          <w:rFonts w:ascii="Times New Roman" w:hAnsi="Times New Roman"/>
          <w:b w:val="false"/>
          <w:i w:val="false"/>
          <w:color w:val="000000"/>
          <w:sz w:val="22"/>
        </w:rPr>
        <w:t> </w:t>
      </w:r>
      <w:r>
        <w:rPr>
          <w:rFonts w:ascii="Times New Roman" w:hAnsi="Times New Roman"/>
          <w:b w:val="false"/>
          <w:i w:val="false"/>
          <w:color w:val="000000"/>
          <w:sz w:val="22"/>
        </w:rPr>
        <w:t>If a declaration of paternity is on file, the department shall provide the name, address, and social security number of a registrant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biological mother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for an action to establish paternity or support;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attorney of any party to an adoption, termination of parental rights, or establishment of paternity or support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w:t>
      </w:r>
      <w:r>
        <w:rPr>
          <w:rFonts w:ascii="Times New Roman" w:hAnsi="Times New Roman"/>
          <w:b w:val="false"/>
          <w:i w:val="false"/>
          <w:color w:val="000000"/>
          <w:sz w:val="22"/>
        </w:rPr>
        <w:t> </w:t>
      </w:r>
      <w:r>
        <w:rPr>
          <w:rFonts w:ascii="Times New Roman" w:hAnsi="Times New Roman"/>
          <w:b w:val="false"/>
          <w:i w:val="false"/>
          <w:color w:val="000000"/>
          <w:sz w:val="22"/>
        </w:rPr>
        <w:t>If no declaration of paternity is on file, a written statement to that effect shall be provided to the person making the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from the declaration of paternity registry shall not be divulged to any person other than those listed in subrule </w:t>
      </w:r>
      <w:hyperlink r:id="rId14">
        <w:r>
          <w:rPr>
            <w:rStyle w:val="Hyperlink"/>
            <w:rFonts w:ascii="Times New Roman" w:hAnsi="Times New Roman"/>
            <w:b w:val="false"/>
            <w:i w:val="false"/>
            <w:color w:val="000000"/>
            <w:sz w:val="22"/>
          </w:rPr>
          <w:t>100.3(6)</w:t>
        </w:r>
      </w:hyperlink>
      <w:r>
        <w:rPr>
          <w:rFonts w:ascii="Times New Roman" w:hAnsi="Times New Roman"/>
          <w:b w:val="false"/>
          <w:i w:val="false"/>
          <w:color w:val="000000"/>
          <w:sz w:val="22"/>
        </w:rPr>
        <w:t xml:space="preserve"> and shall be considered a confidential record as to any other person, except upon order of the court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w:t>
      </w:r>
      <w:r>
        <w:rPr>
          <w:rFonts w:ascii="Times New Roman" w:hAnsi="Times New Roman"/>
          <w:b w:val="false"/>
          <w:i w:val="false"/>
          <w:color w:val="000000"/>
          <w:sz w:val="22"/>
        </w:rPr>
        <w:t> </w:t>
      </w:r>
      <w:r>
        <w:rPr>
          <w:rFonts w:ascii="Times New Roman" w:hAnsi="Times New Roman"/>
          <w:b w:val="false"/>
          <w:i w:val="false"/>
          <w:color w:val="000000"/>
          <w:sz w:val="22"/>
        </w:rPr>
        <w:t xml:space="preserve"> Information provided to the registry may be revoked by the registrant by the submission of a written statement, signed and acknowledged by the registrant before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shall include a declaration that to the best of the registrant’s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 is not the father of the named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paternity of the true father has been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Revocation shall nullify the registration, and the information provided by the registrant shall be expunged.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Revocation is effective only following the birth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val="false"/>
          <w:color w:val="000000"/>
          <w:sz w:val="22"/>
        </w:rPr>
        <w:t>The Declaration of Paternity Registry form shall be available from the state registrar of vital records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declaration of paternity registry does not constitute an affidavit of paternity filed pursuant to Iowa Code section </w:t>
      </w:r>
      <w:hyperlink r:id="rId15">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Declarations filed shall be maintained in a registry separate and distinct from the affidavit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w:t>
      </w:r>
      <w:r>
        <w:rPr>
          <w:rFonts w:ascii="Times New Roman" w:hAnsi="Times New Roman"/>
          <w:b w:val="false"/>
          <w:i w:val="false"/>
          <w:color w:val="000000"/>
          <w:sz w:val="22"/>
        </w:rPr>
        <w:t> </w:t>
      </w:r>
      <w:r>
        <w:rPr>
          <w:rFonts w:ascii="Times New Roman" w:hAnsi="Times New Roman"/>
          <w:b w:val="false"/>
          <w:i w:val="false"/>
          <w:color w:val="000000"/>
          <w:sz w:val="22"/>
        </w:rPr>
        <w:t>A declaration of paternity filed with the registry may be used as evidence of paternity in an action to establish paternity or to determine a support obligation with respect to the putative father.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100.3(14)</w:t>
      </w:r>
      <w:r>
        <w:rPr>
          <w:rFonts w:ascii="Times New Roman" w:hAnsi="Times New Roman"/>
          <w:b w:val="false"/>
          <w:i w:val="false"/>
          <w:color w:val="000000"/>
          <w:sz w:val="22"/>
        </w:rPr>
        <w:t> </w:t>
      </w:r>
      <w:r>
        <w:rPr>
          <w:rFonts w:ascii="Times New Roman" w:hAnsi="Times New Roman"/>
          <w:b w:val="false"/>
          <w:i w:val="false"/>
          <w:color w:val="000000"/>
          <w:sz w:val="22"/>
        </w:rPr>
        <w:t>Failure or refusal to file a declaration of paternity shall not be used as evidence to avoid a legally established obligation of financial support for a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641—100.4</w:t>
      </w:r>
      <w:r>
        <w:rPr>
          <w:rFonts w:ascii="Times New Roman" w:hAnsi="Times New Roman"/>
          <w:b/>
          <w:i w:val="false"/>
          <w:color w:val="000000"/>
          <w:sz w:val="22"/>
        </w:rPr>
        <w:t xml:space="preserve">(144) </w:t>
      </w:r>
      <w:r>
        <w:rPr>
          <w:rFonts w:ascii="Times New Roman" w:hAnsi="Times New Roman"/>
          <w:b/>
          <w:i w:val="false"/>
          <w:color w:val="000000"/>
          <w:sz w:val="22"/>
        </w:rPr>
        <w:t xml:space="preserve">Mutual consent voluntary adoption registry established. </w:t>
      </w:r>
      <w:r>
        <w:rPr>
          <w:rFonts w:ascii="Times New Roman" w:hAnsi="Times New Roman"/>
          <w:b w:val="false"/>
          <w:i w:val="false"/>
          <w:color w:val="000000"/>
          <w:sz w:val="22"/>
        </w:rPr>
        <w:t>There is established in the department a mutual consent voluntary adoption registry. Adult adopted children, adult siblings, and the biological parents of adult adoptees may register with the mutual consent voluntary adoption registry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val="false"/>
          <w:color w:val="000000"/>
          <w:sz w:val="22"/>
        </w:rPr>
        <w:t>All identifying information maintained in the registry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val="false"/>
          <w:color w:val="000000"/>
          <w:sz w:val="22"/>
        </w:rPr>
        <w:t>All requests shall be completed on the Mutual Consent Voluntary Adoption Registry Application form available from the state registrar of vital records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 </w:t>
      </w:r>
      <w:hyperlink r:id="rId16">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 a fee shall be charged and remitted for the filing of a completed application for the registry, and a fee shall be charged and remitted for updating applicant information maintained in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reveal the identity of the biological parent to the adult adopted child or reveal the identity of the adult adopted child to the biological parent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parent has filed a completed request form and provided consent to the revelation of the biological parent’s identity to the adult adopted child, upon request of the adult adopted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adult adopted child has filed a completed request form and provided consent to the revelation of the identity of the adult adopted child to a biological parent, upon request of the biological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has been provided sufficient information to make the requested match with certainty.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reveal the identity of the adult adopted child to an adult sibling or shall reveal the identity of an adult sibling to the adult adopted child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adult adopted child has filed a completed request form and provided consent to the revelation of the adult adopted child’s identity to an adult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adult sibling has filed a completed request form and provided consent to the revelation of the identity of the adult sibling to the adult adopted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has been provided sufficient information to make the requested match with certainty.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100.4(6)</w:t>
      </w:r>
      <w:r>
        <w:rPr>
          <w:rFonts w:ascii="Times New Roman" w:hAnsi="Times New Roman"/>
          <w:b w:val="false"/>
          <w:i w:val="false"/>
          <w:color w:val="000000"/>
          <w:sz w:val="22"/>
        </w:rPr>
        <w:t> </w:t>
      </w:r>
      <w:r>
        <w:rPr>
          <w:rFonts w:ascii="Times New Roman" w:hAnsi="Times New Roman"/>
          <w:b w:val="false"/>
          <w:i w:val="false"/>
          <w:color w:val="000000"/>
          <w:sz w:val="22"/>
        </w:rPr>
        <w:t>If the adult adopted child has a sibling who is a minor and who has also been adopted, the state registrar shall not grant the request of either the adult adopted child or the biological parent to reveal the identities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100.4(7)</w:t>
      </w:r>
      <w:r>
        <w:rPr>
          <w:rFonts w:ascii="Times New Roman" w:hAnsi="Times New Roman"/>
          <w:b w:val="false"/>
          <w:i w:val="false"/>
          <w:color w:val="000000"/>
          <w:sz w:val="22"/>
        </w:rPr>
        <w:t> </w:t>
      </w:r>
      <w:r>
        <w:rPr>
          <w:rFonts w:ascii="Times New Roman" w:hAnsi="Times New Roman"/>
          <w:b w:val="false"/>
          <w:i w:val="false"/>
          <w:color w:val="000000"/>
          <w:sz w:val="22"/>
        </w:rPr>
        <w:t>A person who has filed a request or provided consent may withdraw the consent at any time prior to the release of any information by submitting a written withdrawal of consent statement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100.4(8)</w:t>
      </w:r>
      <w:r>
        <w:rPr>
          <w:rFonts w:ascii="Times New Roman" w:hAnsi="Times New Roman"/>
          <w:b w:val="false"/>
          <w:i w:val="false"/>
          <w:color w:val="000000"/>
          <w:sz w:val="22"/>
        </w:rPr>
        <w:t> </w:t>
      </w:r>
      <w:r>
        <w:rPr>
          <w:rFonts w:ascii="Times New Roman" w:hAnsi="Times New Roman"/>
          <w:b w:val="false"/>
          <w:i w:val="false"/>
          <w:color w:val="000000"/>
          <w:sz w:val="22"/>
        </w:rPr>
        <w:t>The adult adoptee, adult sibling, and biological parent completing an application shall be responsible for updating the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100.4(9)</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notify the parties via telephone, verify the address information, and provide written notice to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641—100.5</w:t>
      </w:r>
      <w:r>
        <w:rPr>
          <w:rFonts w:ascii="Times New Roman" w:hAnsi="Times New Roman"/>
          <w:b/>
          <w:i w:val="false"/>
          <w:color w:val="000000"/>
          <w:sz w:val="22"/>
        </w:rPr>
        <w:t xml:space="preserve">(144) </w:t>
      </w:r>
      <w:r>
        <w:rPr>
          <w:rFonts w:ascii="Times New Roman" w:hAnsi="Times New Roman"/>
          <w:b/>
          <w:i w:val="false"/>
          <w:color w:val="000000"/>
          <w:sz w:val="22"/>
        </w:rPr>
        <w:t xml:space="preserve">Statistical report of termination of pregnancy report. </w:t>
      </w:r>
      <w:r>
        <w:rPr>
          <w:rFonts w:ascii="Times New Roman" w:hAnsi="Times New Roman"/>
          <w:b w:val="false"/>
          <w:i w:val="false"/>
          <w:color w:val="000000"/>
          <w:sz w:val="22"/>
        </w:rPr>
        <w:t>A health care provider who initially identifies and diagnoses a spontaneous termination of pregnancy or who induces a termination of pregnancy shall file with the department a Statistical Report of Termination of Pregnancy form for each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make a good-faith effort to obtain all of the following information that is available with respect to each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confidential health care provider code as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tracking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maternal health services region of the Iowa department of public health, as designated as of July 1, 1997, in which the patient resides. If the patient resides in another state, the residence shall be reported as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age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marital status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educational level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number of previous pregnancies, live births, and spontaneous or induced terminations of pregnancies.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month and year in which the termination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number of weeks since the patient’s last menstrual period and a clinical estimate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termination was spontaneous or induced.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method used for an induced termination, including whether mifepristone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100.5(2)</w:t>
      </w:r>
      <w:r>
        <w:rPr>
          <w:rFonts w:ascii="Times New Roman" w:hAnsi="Times New Roman"/>
          <w:b w:val="false"/>
          <w:i w:val="false"/>
          <w:color w:val="000000"/>
          <w:sz w:val="22"/>
        </w:rPr>
        <w:t> </w:t>
      </w:r>
      <w:r>
        <w:rPr>
          <w:rFonts w:ascii="Times New Roman" w:hAnsi="Times New Roman"/>
          <w:b w:val="false"/>
          <w:i w:val="false"/>
          <w:color w:val="000000"/>
          <w:sz w:val="22"/>
        </w:rPr>
        <w:t>In addition, a physician who performs or attempts to perform an abortion shall report to the department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determination of probable postfertilization age of the unborn child was made, the probable postfertilization age determined and the method and basis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determination of probable postfertilization age of the unborn child was not made, the basis of the determination that a medical emergency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probable postfertilization age of the unborn child was determined to be 20 or more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basis of the determination of a medical emergency,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of the determination that the abortion was necessary to preserve the life of an unborn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used for the abortion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an abortion performed when the probable postfertilization age was determined to be 20 or more weeks, whether the method of abortion used was one that, in the physician’s reasonable medical judgment, provided the best opportunity for an unborn child to survive,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a method was not used, the basis of the determination that termination of the human pregnancy in that manner would pose a greater risk than would any other available method of the death of the pregnant woman or of the substantial and irreversible physical impairment of a major bodily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100.5(3)</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who identifies a spontaneous termination or performs an induced termination shall prepare the report on the standard form and forward to the state registrar on or before the tenth day of each calendar month all records for the preceding month. Reports may be sent by certified mail to the state registrar. Termination reports shall be submitted within 30 days of the date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the forms, or the provider may use the master copy of the form provided by the department to make copies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100.5(5)</w:t>
      </w:r>
      <w:r>
        <w:rPr>
          <w:rFonts w:ascii="Times New Roman" w:hAnsi="Times New Roman"/>
          <w:b w:val="false"/>
          <w:i w:val="false"/>
          <w:color w:val="000000"/>
          <w:sz w:val="22"/>
        </w:rPr>
        <w:t> </w:t>
      </w:r>
      <w:r>
        <w:rPr>
          <w:rFonts w:ascii="Times New Roman" w:hAnsi="Times New Roman"/>
          <w:b w:val="false"/>
          <w:i w:val="false"/>
          <w:color w:val="000000"/>
          <w:sz w:val="22"/>
        </w:rPr>
        <w:t>The information shall be collected, reproduced, released, and disclosed in a manner which ensures the anonymity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who experiences a termination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who identifies and diagnoses or induces a termination of pregnancy;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hospital, clinic, or health facility in which a termination of pregnancy is identified and diagnosed or induced.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share information with federal public health officials for the purpose of securing federal funding or conducting public health research. However, in sharing the information, the department shall not relinquish control of the information, and any agreement entered into by the department with federal public health officials to share information shall prohibit the use, reproduction, release, or disclosure of the information by federal public health officials in a manner which violates Iowa Code section </w:t>
      </w:r>
      <w:hyperlink r:id="rId17">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w:t>
      </w:r>
      <w:r>
        <w:rPr>
          <w:rFonts w:ascii="Times New Roman" w:hAnsi="Times New Roman"/>
          <w:b w:val="false"/>
          <w:i w:val="false"/>
          <w:color w:val="000000"/>
          <w:sz w:val="22"/>
        </w:rPr>
        <w:t> </w:t>
      </w:r>
      <w:r>
        <w:rPr>
          <w:rFonts w:ascii="Times New Roman" w:hAnsi="Times New Roman"/>
          <w:b w:val="false"/>
          <w:i w:val="false"/>
          <w:color w:val="000000"/>
          <w:sz w:val="22"/>
        </w:rPr>
        <w:t>By June 30, annually, the department shall publish a demographic summary of the statistics for the previous calendar year, compiled from the reports for that year, except that the department shall not reproduce, release, or disclose any information obtained which reveals the identity of any patient, health care provider, hospital, clinic, or other health facility, and shall ensure anonymity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concerning the report tracking number or concerning the identity of a reporting health care provider, hospital, clinic, or other health facility only for the purpose of information collection. The department shall not reproduce, release, or disclose this information for any purpose other than for use in annually publishing the demographic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enter information from any report of termination submitted within 30 days of receipt of the statistical report of termination of pregnancy and, following entry of the information, shall immediately destroy the report by shredding it. However, entry of the information from a report shall not include any health care provider, hospital, clinic, or other health facility identification information including, but not limited to, the confidential health care provider code, as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protect confidentiality, the department shall limit release of information in an aggregate form which prevents identification of any individual patient, health care provider, hospital, clinic, or other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and use a methodology to provide a statistically verifiable basis for any determination of the aggregate level at which information may be released so that the confidentiality of any person is not comprised. The methodology shall consider both the counts of the events for each item of information and the population that could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w:t>
      </w:r>
      <w:r>
        <w:rPr>
          <w:rFonts w:ascii="Times New Roman" w:hAnsi="Times New Roman"/>
          <w:b w:val="false"/>
          <w:i w:val="false"/>
          <w:color w:val="000000"/>
          <w:sz w:val="22"/>
        </w:rPr>
        <w:t> </w:t>
      </w:r>
      <w:r>
        <w:rPr>
          <w:rFonts w:ascii="Times New Roman" w:hAnsi="Times New Roman"/>
          <w:b w:val="false"/>
          <w:i w:val="false"/>
          <w:color w:val="000000"/>
          <w:sz w:val="22"/>
        </w:rPr>
        <w:t>Reports, information, and records submitted and maintained are strictly confidential and shall not be released or made public upon subpoena, search warrant, discovery proceedings, or by any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100.5(9)</w:t>
      </w:r>
      <w:r>
        <w:rPr>
          <w:rFonts w:ascii="Times New Roman" w:hAnsi="Times New Roman"/>
          <w:b w:val="false"/>
          <w:i w:val="false"/>
          <w:color w:val="000000"/>
          <w:sz w:val="22"/>
        </w:rPr>
        <w:t> </w:t>
      </w:r>
      <w:r>
        <w:rPr>
          <w:rFonts w:ascii="Times New Roman" w:hAnsi="Times New Roman"/>
          <w:b w:val="false"/>
          <w:i w:val="false"/>
          <w:color w:val="000000"/>
          <w:sz w:val="22"/>
        </w:rPr>
        <w:t>The department shall assign a code to any health care provider who may be required to report a termination. An application procedure shall not be required for assignment of a code to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100.5(10)</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shall assign a report tracking number which enables the health care provider to access the patient’s medical information without identifying the patient. The report tracking number shall be maintained by the provider for a period of six months after the end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w:t>
      </w:r>
      <w:r>
        <w:rPr>
          <w:rFonts w:ascii="Times New Roman" w:hAnsi="Times New Roman"/>
          <w:b w:val="false"/>
          <w:i w:val="false"/>
          <w:color w:val="000000"/>
          <w:sz w:val="22"/>
        </w:rPr>
        <w:t> </w:t>
      </w:r>
      <w:r>
        <w:rPr>
          <w:rFonts w:ascii="Times New Roman" w:hAnsi="Times New Roman"/>
          <w:b w:val="false"/>
          <w:i w:val="false"/>
          <w:color w:val="000000"/>
          <w:sz w:val="22"/>
        </w:rPr>
        <w:t>For reporting of spontaneous terminations of pregnancy, a health care provider who practices within a hospital, clinic, or other health facility may file the required reporting forms with the department or may authorize one staff person to fulfill the reporting requirements. For reporting of induced terminations of pregnancy, the physician performing the termination shall file the required reporting forms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w:t>
      </w:r>
      <w:r>
        <w:rPr>
          <w:rFonts w:ascii="Times New Roman" w:hAnsi="Times New Roman"/>
          <w:b w:val="false"/>
          <w:i w:val="false"/>
          <w:color w:val="000000"/>
          <w:sz w:val="22"/>
        </w:rPr>
        <w:t> </w:t>
      </w:r>
      <w:r>
        <w:rPr>
          <w:rFonts w:ascii="Times New Roman" w:hAnsi="Times New Roman"/>
          <w:b w:val="false"/>
          <w:i w:val="false"/>
          <w:color w:val="000000"/>
          <w:sz w:val="22"/>
        </w:rPr>
        <w:t>Reporting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fails to submit a report in accordance with </w:t>
      </w:r>
      <w:r>
        <w:rPr>
          <w:rFonts w:ascii="Times New Roman" w:hAnsi="Times New Roman"/>
          <w:b w:val="false"/>
          <w:i w:val="false"/>
          <w:color w:val="000000"/>
          <w:sz w:val="22"/>
        </w:rPr>
        <w:t>2017 Iowa Acts, Senate File 471, section 3</w:t>
      </w:r>
      <w:r>
        <w:rPr>
          <w:rFonts w:ascii="Times New Roman" w:hAnsi="Times New Roman"/>
          <w:b w:val="false"/>
          <w:i w:val="false"/>
          <w:color w:val="000000"/>
          <w:sz w:val="22"/>
        </w:rPr>
        <w:t>(3), and these rules by the end of 30 days following the due date shall be subject to a late fee of $500 for each additional 30-day period or portion of a 30-day period the report is overdue. The fee shall be collected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required to report in accordance with </w:t>
      </w:r>
      <w:r>
        <w:rPr>
          <w:rFonts w:ascii="Times New Roman" w:hAnsi="Times New Roman"/>
          <w:b w:val="false"/>
          <w:i w:val="false"/>
          <w:color w:val="000000"/>
          <w:sz w:val="22"/>
        </w:rPr>
        <w:t>2017 Iowa Acts, Senate File 471, section 3</w:t>
      </w:r>
      <w:r>
        <w:rPr>
          <w:rFonts w:ascii="Times New Roman" w:hAnsi="Times New Roman"/>
          <w:b w:val="false"/>
          <w:i w:val="false"/>
          <w:color w:val="000000"/>
          <w:sz w:val="22"/>
        </w:rPr>
        <w:t xml:space="preserve">(3), who has not submitted a report or who has submitted only an incomplete report more than one year following the due date may, in an action brought by the board of medicine in the manner in which actions are brought to enforce Iowa Code chapter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be directed by a court of competent jurisdiction to submit a complete report within a time period stated by court order or be subject to contempt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intentionally or recklessly falsifies a report required under </w:t>
      </w:r>
      <w:r>
        <w:rPr>
          <w:rFonts w:ascii="Times New Roman" w:hAnsi="Times New Roman"/>
          <w:b w:val="false"/>
          <w:i w:val="false"/>
          <w:color w:val="000000"/>
          <w:sz w:val="22"/>
        </w:rPr>
        <w:t>2017 Iowa Acts, Senate File 471, section 3</w:t>
      </w:r>
      <w:r>
        <w:rPr>
          <w:rFonts w:ascii="Times New Roman" w:hAnsi="Times New Roman"/>
          <w:b w:val="false"/>
          <w:i w:val="false"/>
          <w:color w:val="000000"/>
          <w:sz w:val="22"/>
        </w:rPr>
        <w:t xml:space="preserve">, is subject to a civil penalty of $100. The civil penalty shall be collected by the department pursuant to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knowingly violates a provision of these rules is guilty of a serious misdemeanor pursuant to Iowa Code section </w:t>
      </w:r>
      <w:hyperlink r:id="rId21">
        <w:r>
          <w:rPr>
            <w:rStyle w:val="Hyperlink"/>
            <w:rFonts w:ascii="Times New Roman" w:hAnsi="Times New Roman"/>
            <w:b w:val="false"/>
            <w:i w:val="false"/>
            <w:color w:val="000000"/>
            <w:sz w:val="22"/>
          </w:rPr>
          <w:t>144.52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3394C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144.52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Senate File 471, section 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3394C</w:t>
      </w:r>
      <w:r>
        <w:rPr>
          <w:rFonts w:ascii="Times New Roman" w:hAnsi="Times New Roman"/>
          <w:b w:val="false"/>
          <w:i w:val="false"/>
          <w:color w:val="000000"/>
          <w:sz w:val="21"/>
        </w:rPr>
        <w:t xml:space="preserve"> (Notice ARC 3211C, IAB 7/19/17)</w:t>
      </w:r>
      <w:r>
        <w:rPr>
          <w:rFonts w:ascii="Times New Roman" w:hAnsi="Times New Roman"/>
          <w:b w:val="false"/>
          <w:i w:val="false"/>
          <w:color w:val="000000"/>
          <w:sz w:val="21"/>
        </w:rPr>
        <w:t>, IAB 10/11/17, effective 11/15/17]</w:t>
      </w:r>
    </w:p>
    <w:p>
      <w:pPr>
        <w:pBdr>
          <w:bottom w:space="2"/>
        </w:pBdr>
        <w:spacing w:before="0" w:after="0"/>
        <w:ind w:left="120"/>
        <w:jc w:val="both"/>
      </w:pPr>
      <w:r>
        <w:rPr>
          <w:rFonts w:ascii="Times New Roman" w:hAnsi="Times New Roman"/>
          <w:b w:val="false"/>
          <w:i w:val="false"/>
          <w:color w:val="000000"/>
          <w:sz w:val="22"/>
        </w:rPr>
        <w:t>January 16, 2013, effective date of the rescission of Chapter 100 and the adoption of new Chapter 100 [ARC 0483C] delayed until adjournment of the 2013 General Assembly by the Administrative Rules Review Committee at its meeting held January 8, 2013; delay lifted at the meeting held March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48D.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4.pdf" Type="http://schemas.openxmlformats.org/officeDocument/2006/relationships/hyperlink" Id="rId11"/>
    <Relationship TargetMode="External" Target="https://www.legis.iowa.gov/docs/ico/chapter/144.12A.pdf" Type="http://schemas.openxmlformats.org/officeDocument/2006/relationships/hyperlink" Id="rId12"/>
    <Relationship TargetMode="External" Target="https://www.legis.iowa.gov/docs/iac/rule/641.95.6.pdf" Type="http://schemas.openxmlformats.org/officeDocument/2006/relationships/hyperlink" Id="rId13"/>
    <Relationship TargetMode="External" Target="https://www.legis.iowa.gov/docs/iac/rule/641.100.3.pdf" Type="http://schemas.openxmlformats.org/officeDocument/2006/relationships/hyperlink" Id="rId14"/>
    <Relationship TargetMode="External" Target="https://www.legis.iowa.gov/docs/ico/chapter/252A.3A.pdf" Type="http://schemas.openxmlformats.org/officeDocument/2006/relationships/hyperlink" Id="rId15"/>
    <Relationship TargetMode="External" Target="https://www.legis.iowa.gov/docs/iac/rule/641.95.6.pdf" Type="http://schemas.openxmlformats.org/officeDocument/2006/relationships/hyperlink" Id="rId16"/>
    <Relationship TargetMode="External" Target="https://www.legis.iowa.gov/docs/ico/chapter/144.29A.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chapter/641.173.pdf" Type="http://schemas.openxmlformats.org/officeDocument/2006/relationships/hyperlink" Id="rId20"/>
    <Relationship TargetMode="External" Target="https://www.legis.iowa.gov/docs/ico/chapter/144.52.pdf" Type="http://schemas.openxmlformats.org/officeDocument/2006/relationships/hyperlink" Id="rId21"/>
    <Relationship TargetMode="External" Target="https://www.legis.iowa.gov/docs/ico/chapter/144.29A.pdf" Type="http://schemas.openxmlformats.org/officeDocument/2006/relationships/hyperlink" Id="rId22"/>
    <Relationship TargetMode="External" Target="https://www.legis.iowa.gov/docs/ico/chapter/144.52.pdf" Type="http://schemas.openxmlformats.org/officeDocument/2006/relationships/hyperlink" Id="rId23"/>
    <Relationship TargetMode="External" Target="https://www.legis.iowa.gov/docs/ico/chapter/252A.3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