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IOWA COMPREHENSIVE PLAN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605—9.1</w:t>
      </w:r>
      <w:r>
        <w:rPr>
          <w:rFonts w:ascii="Times New Roman" w:hAnsi="Times New Roman"/>
          <w:b/>
          <w:i w:val="false"/>
          <w:color w:val="000000"/>
          <w:sz w:val="22"/>
        </w:rPr>
        <w:t xml:space="preserve">(29C) </w:t>
      </w:r>
      <w:r>
        <w:rPr>
          <w:rFonts w:ascii="Times New Roman" w:hAnsi="Times New Roman"/>
          <w:b/>
          <w:i w:val="false"/>
          <w:color w:val="000000"/>
          <w:sz w:val="22"/>
        </w:rPr>
        <w:t xml:space="preserve">Description.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 xml:space="preserve"> requires the director of the homeland security and emergency management department to prepare a comprehensive plan for homeland security, disaster response, recovery, mitigation, and emergency resource management for the state. This comprehensive plan is comprised of the following parts: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Iowa Emergency Response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Iowa Hazard Mitigation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Iowa Disaster Recovery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Iowa Critical Asset Protection Plan (confidential per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Confidential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2328C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6830C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605—9.2</w:t>
      </w:r>
      <w:r>
        <w:rPr>
          <w:rFonts w:ascii="Times New Roman" w:hAnsi="Times New Roman"/>
          <w:b/>
          <w:i w:val="false"/>
          <w:color w:val="000000"/>
          <w:sz w:val="22"/>
        </w:rPr>
        <w:t xml:space="preserve">(29C) </w:t>
      </w:r>
      <w:r>
        <w:rPr>
          <w:rFonts w:ascii="Times New Roman" w:hAnsi="Times New Roman"/>
          <w:b/>
          <w:i w:val="false"/>
          <w:color w:val="000000"/>
          <w:sz w:val="22"/>
        </w:rPr>
        <w:t xml:space="preserve">Iowa Emergency Response Plan. </w:t>
      </w:r>
      <w:r>
        <w:rPr>
          <w:rFonts w:ascii="Times New Roman" w:hAnsi="Times New Roman"/>
          <w:b w:val="false"/>
          <w:i w:val="false"/>
          <w:color w:val="000000"/>
          <w:sz w:val="22"/>
        </w:rPr>
        <w:t xml:space="preserve">The Iowa Emergency Response Plan is developed in accordance with Iowa Code section </w:t>
      </w:r>
      <w:hyperlink r:id="rId7">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 xml:space="preserve"> and has been adopted, published, and maintained by the department. This plan details the state government response to a wide range of natural, technological or human-caused disasters.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digital copy of this plan will be provided to the state library located in the Ola Babcock Miller Building, 1112 East Grand Avenue, Des Moines,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This plan shall be distributed to state agencies and departments that have been assigned emergency functions and to all local emergency management agencies.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Iowa Emergency Response Plan serves as the state disaster emergency response document.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This plan shall be available for public view at the Homeland Security and Emergency Management Department, 7900 Hickman Road, Suite 500, Windsor Heights,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2328C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6830C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605—9.3</w:t>
      </w:r>
      <w:r>
        <w:rPr>
          <w:rFonts w:ascii="Times New Roman" w:hAnsi="Times New Roman"/>
          <w:b/>
          <w:i w:val="false"/>
          <w:color w:val="000000"/>
          <w:sz w:val="22"/>
        </w:rPr>
        <w:t xml:space="preserve">(29C) </w:t>
      </w:r>
      <w:r>
        <w:rPr>
          <w:rFonts w:ascii="Times New Roman" w:hAnsi="Times New Roman"/>
          <w:b/>
          <w:i w:val="false"/>
          <w:color w:val="000000"/>
          <w:sz w:val="22"/>
        </w:rPr>
        <w:t xml:space="preserve">Iowa Hazard Mitigation Plan. </w:t>
      </w:r>
      <w:r>
        <w:rPr>
          <w:rFonts w:ascii="Times New Roman" w:hAnsi="Times New Roman"/>
          <w:b w:val="false"/>
          <w:i w:val="false"/>
          <w:color w:val="000000"/>
          <w:sz w:val="22"/>
        </w:rPr>
        <w:t xml:space="preserve">The Iowa Hazard Mitigation Plan is developed in accordance with Iowa Code section </w:t>
      </w:r>
      <w:hyperlink r:id="rId8">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 xml:space="preserve"> and has been adopted on September 18, 2023, published, and maintained by the department. This plan details the state government goals, objectives, and strategies to mitigate a wide range of natural, technological, or human-caused disasters in accordance with </w:t>
      </w:r>
      <w:r>
        <w:rPr>
          <w:rFonts w:ascii="Times New Roman" w:hAnsi="Times New Roman"/>
          <w:b w:val="false"/>
          <w:i w:val="false"/>
          <w:color w:val="000000"/>
          <w:sz w:val="22"/>
        </w:rPr>
        <w:t>Section 322 of the Stafford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5165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digital copy of this plan will be provided to the state library located in the Ola Babcock Miller Building, 1112 East Grand Avenue, Des Moines,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This plan shall be distributed to state agencies and departments that have participated in the writing of the plan or are assigned hazard mitigation functions and to all local emergency management agencies.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Iowa Hazard Mitigation Plan serves as the state hazard mitigation document and demonstrates the state’s commitment to reduce risks from natural, technological, and human-caused hazards and serves as a guide for the commitment of resources to reducing the effects of natural, technological, and human-caused hazards.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Iowa Hazard Mitigation Plan shall be reviewed and amended as appropriate at a minimum of every five years.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This plan shall be available for public view at the Homeland Security and Emergency Management Department, 7900 Hickman Road, Suite 500, Windsor Heights,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9149B</w:t>
      </w:r>
      <w:r>
        <w:rPr>
          <w:rFonts w:ascii="Times New Roman" w:hAnsi="Times New Roman"/>
          <w:b w:val="false"/>
          <w:i w:val="false"/>
          <w:color w:val="000000"/>
          <w:sz w:val="16"/>
        </w:rPr>
        <w:t>, IAB 10/6/10, effective 9/17/10</w:t>
      </w:r>
      <w:r>
        <w:rPr>
          <w:rFonts w:ascii="Times New Roman" w:hAnsi="Times New Roman"/>
          <w:b w:val="false"/>
          <w:i w:val="false"/>
          <w:color w:val="000000"/>
          <w:sz w:val="16"/>
        </w:rPr>
        <w:t xml:space="preserve">; </w:t>
      </w:r>
      <w:r>
        <w:rPr>
          <w:rFonts w:ascii="Times New Roman" w:hAnsi="Times New Roman"/>
          <w:b/>
          <w:i w:val="false"/>
          <w:color w:val="000000"/>
          <w:sz w:val="16"/>
        </w:rPr>
        <w:t>ARC 9244B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 xml:space="preserve">; </w:t>
      </w:r>
      <w:r>
        <w:rPr>
          <w:rFonts w:ascii="Times New Roman" w:hAnsi="Times New Roman"/>
          <w:b/>
          <w:i w:val="false"/>
          <w:color w:val="000000"/>
          <w:sz w:val="16"/>
        </w:rPr>
        <w:t>ARC 1241C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2328C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4012C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6830C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 xml:space="preserve">; </w:t>
      </w:r>
      <w:r>
        <w:rPr>
          <w:rFonts w:ascii="Times New Roman" w:hAnsi="Times New Roman"/>
          <w:b/>
          <w:i w:val="false"/>
          <w:color w:val="000000"/>
          <w:sz w:val="16"/>
        </w:rPr>
        <w:t>ARC 7068C</w:t>
      </w:r>
      <w:r>
        <w:rPr>
          <w:rFonts w:ascii="Times New Roman" w:hAnsi="Times New Roman"/>
          <w:b w:val="false"/>
          <w:i w:val="false"/>
          <w:color w:val="000000"/>
          <w:sz w:val="16"/>
        </w:rPr>
        <w:t>, IAB 9/6/23, effective 10/11/23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605—9.4</w:t>
      </w:r>
      <w:r>
        <w:rPr>
          <w:rFonts w:ascii="Times New Roman" w:hAnsi="Times New Roman"/>
          <w:b/>
          <w:i w:val="false"/>
          <w:color w:val="000000"/>
          <w:sz w:val="22"/>
        </w:rPr>
        <w:t xml:space="preserve">(29C) </w:t>
      </w:r>
      <w:r>
        <w:rPr>
          <w:rFonts w:ascii="Times New Roman" w:hAnsi="Times New Roman"/>
          <w:b/>
          <w:i w:val="false"/>
          <w:color w:val="000000"/>
          <w:sz w:val="22"/>
        </w:rPr>
        <w:t xml:space="preserve">Iowa Disaster Recovery Plan. </w:t>
      </w:r>
      <w:r>
        <w:rPr>
          <w:rFonts w:ascii="Times New Roman" w:hAnsi="Times New Roman"/>
          <w:b w:val="false"/>
          <w:i w:val="false"/>
          <w:color w:val="000000"/>
          <w:sz w:val="22"/>
        </w:rPr>
        <w:t xml:space="preserve">The Iowa Disaster Recovery Plan is developed in accordance with Iowa Code section </w:t>
      </w:r>
      <w:hyperlink r:id="rId9">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 xml:space="preserve"> and has been adopted on September 17, 2018, published, and maintained by the department. This plan details the state government goals, objectives, and strategies to recover from a wide range of natural, technological, or human-caused disasters.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digital copy of this plan will be provided to the state library located in the Ola Babcock Miller Building, 1112 East Grand Avenue, Des Moines,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This plan shall be distributed to state agencies and departments that have been assigned recovery functions and to all local emergency management agencies.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Iowa Disaster Recovery Plan serves as the state disaster recovery document.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This plan shall be available for public view at the Homeland Security and Emergency Management Department, 7900 Hickman Road, Suite 500, Windsor Heights,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2328C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4012C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6830C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29C.8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4/29/77, Notice 1/12/77—published 5/18/77, effective 6/22/77]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12/8/78—published 12/27/78, effective 2/1/79]</w:t>
      </w:r>
    </w:p>
    <w:p>
      <w:pPr>
        <w:spacing w:before="0" w:after="0"/>
        <w:ind w:left="120"/>
        <w:jc w:val="center"/>
      </w:pPr>
      <w:r>
        <w:rPr>
          <w:rFonts w:ascii="Times New Roman" w:hAnsi="Times New Roman"/>
          <w:b w:val="false"/>
          <w:i w:val="false"/>
          <w:color w:val="000000"/>
          <w:sz w:val="21"/>
        </w:rPr>
        <w:t>[Filed emergency 6/5/81—published 6/24/81, effective 6/5/81]</w:t>
      </w:r>
    </w:p>
    <w:p>
      <w:pPr>
        <w:spacing w:before="0" w:after="0"/>
        <w:ind w:left="120"/>
        <w:jc w:val="center"/>
      </w:pPr>
      <w:r>
        <w:rPr>
          <w:rFonts w:ascii="Times New Roman" w:hAnsi="Times New Roman"/>
          <w:b w:val="false"/>
          <w:i w:val="false"/>
          <w:color w:val="000000"/>
          <w:sz w:val="21"/>
        </w:rPr>
        <w:t>[Filed emergency 1/28/82—published 2/17/82, effective 1/29/82]</w:t>
      </w:r>
    </w:p>
    <w:p>
      <w:pPr>
        <w:spacing w:before="0" w:after="0"/>
        <w:ind w:left="120"/>
        <w:jc w:val="center"/>
      </w:pPr>
      <w:r>
        <w:rPr>
          <w:rFonts w:ascii="Times New Roman" w:hAnsi="Times New Roman"/>
          <w:b w:val="false"/>
          <w:i w:val="false"/>
          <w:color w:val="000000"/>
          <w:sz w:val="21"/>
        </w:rPr>
        <w:t>[Filed 3/20/90, Notice 2/7/90—published 4/18/90, effective 5/23/90]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emergency 3/28/03—published 4/16/03, effective 3/28/03]</w:t>
      </w:r>
    </w:p>
    <w:p>
      <w:pPr>
        <w:spacing w:before="0" w:after="0"/>
        <w:ind w:left="120"/>
        <w:jc w:val="center"/>
      </w:pPr>
      <w:r>
        <w:rPr>
          <w:rFonts w:ascii="Times New Roman" w:hAnsi="Times New Roman"/>
          <w:b w:val="false"/>
          <w:i w:val="false"/>
          <w:color w:val="000000"/>
          <w:sz w:val="21"/>
        </w:rPr>
        <w:t>[Filed 5/28/03, Notice 4/16/03—published 6/25/03, effective 7/30/03]</w:t>
      </w:r>
    </w:p>
    <w:p>
      <w:pPr>
        <w:spacing w:before="0" w:after="0"/>
        <w:ind w:left="120"/>
        <w:jc w:val="center"/>
      </w:pPr>
      <w:r>
        <w:rPr>
          <w:rFonts w:ascii="Times New Roman" w:hAnsi="Times New Roman"/>
          <w:b w:val="false"/>
          <w:i w:val="false"/>
          <w:color w:val="000000"/>
          <w:sz w:val="21"/>
        </w:rPr>
        <w:t>[Filed emergency 9/10/04—published 9/29/04, effective 9/10/04]</w:t>
      </w:r>
    </w:p>
    <w:p>
      <w:pPr>
        <w:spacing w:before="0" w:after="0"/>
        <w:ind w:left="120"/>
        <w:jc w:val="center"/>
      </w:pPr>
      <w:r>
        <w:rPr>
          <w:rFonts w:ascii="Times New Roman" w:hAnsi="Times New Roman"/>
          <w:b w:val="false"/>
          <w:i w:val="false"/>
          <w:color w:val="000000"/>
          <w:sz w:val="21"/>
        </w:rPr>
        <w:t>[Filed 11/3/04, Notice 9/29/04—published 11/24/04, effective 12/29/04]</w:t>
      </w:r>
    </w:p>
    <w:p>
      <w:pPr>
        <w:spacing w:before="0" w:after="0"/>
        <w:ind w:left="120"/>
        <w:jc w:val="center"/>
      </w:pPr>
      <w:r>
        <w:rPr>
          <w:rFonts w:ascii="Times New Roman" w:hAnsi="Times New Roman"/>
          <w:b w:val="false"/>
          <w:i w:val="false"/>
          <w:color w:val="000000"/>
          <w:sz w:val="21"/>
        </w:rPr>
        <w:t>[Filed emergency 9/17/07—published 10/10/07, effective 9/17/07]</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9149B, IAB 10/6/10, effective 9/17/10]</w:t>
      </w:r>
    </w:p>
    <w:p>
      <w:pPr>
        <w:spacing w:before="0" w:after="0"/>
        <w:ind w:left="120"/>
        <w:jc w:val="center"/>
      </w:pPr>
      <w:r>
        <w:rPr>
          <w:rFonts w:ascii="Times New Roman" w:hAnsi="Times New Roman"/>
          <w:b w:val="false"/>
          <w:i w:val="false"/>
          <w:color w:val="000000"/>
          <w:sz w:val="21"/>
        </w:rPr>
        <w:t>[Filed ARC 9244B</w:t>
      </w:r>
      <w:r>
        <w:rPr>
          <w:rFonts w:ascii="Times New Roman" w:hAnsi="Times New Roman"/>
          <w:b w:val="false"/>
          <w:i w:val="false"/>
          <w:color w:val="000000"/>
          <w:sz w:val="21"/>
        </w:rPr>
        <w:t xml:space="preserve"> (Notice ARC 9150B, IAB 10/6/10)</w:t>
      </w:r>
      <w:r>
        <w:rPr>
          <w:rFonts w:ascii="Times New Roman" w:hAnsi="Times New Roman"/>
          <w:b w:val="false"/>
          <w:i w:val="false"/>
          <w:color w:val="000000"/>
          <w:sz w:val="21"/>
        </w:rPr>
        <w:t>, IAB 12/1/10, effective 1/5/11]</w:t>
      </w:r>
    </w:p>
    <w:p>
      <w:pPr>
        <w:spacing w:before="0" w:after="0"/>
        <w:ind w:left="120"/>
        <w:jc w:val="center"/>
      </w:pPr>
      <w:r>
        <w:rPr>
          <w:rFonts w:ascii="Times New Roman" w:hAnsi="Times New Roman"/>
          <w:b w:val="false"/>
          <w:i w:val="false"/>
          <w:color w:val="000000"/>
          <w:sz w:val="21"/>
        </w:rPr>
        <w:t>[Filed ARC 1241C</w:t>
      </w:r>
      <w:r>
        <w:rPr>
          <w:rFonts w:ascii="Times New Roman" w:hAnsi="Times New Roman"/>
          <w:b w:val="false"/>
          <w:i w:val="false"/>
          <w:color w:val="000000"/>
          <w:sz w:val="21"/>
        </w:rPr>
        <w:t xml:space="preserve"> (Notice ARC 1093C,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2328C</w:t>
      </w:r>
      <w:r>
        <w:rPr>
          <w:rFonts w:ascii="Times New Roman" w:hAnsi="Times New Roman"/>
          <w:b w:val="false"/>
          <w:i w:val="false"/>
          <w:color w:val="000000"/>
          <w:sz w:val="21"/>
        </w:rPr>
        <w:t xml:space="preserve"> (Notice ARC 2212C,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4012C</w:t>
      </w:r>
      <w:r>
        <w:rPr>
          <w:rFonts w:ascii="Times New Roman" w:hAnsi="Times New Roman"/>
          <w:b w:val="false"/>
          <w:i w:val="false"/>
          <w:color w:val="000000"/>
          <w:sz w:val="21"/>
        </w:rPr>
        <w:t xml:space="preserve"> (Notice ARC 3846C, IAB 6/20/18)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6830C</w:t>
      </w:r>
      <w:r>
        <w:rPr>
          <w:rFonts w:ascii="Times New Roman" w:hAnsi="Times New Roman"/>
          <w:b w:val="false"/>
          <w:i w:val="false"/>
          <w:color w:val="000000"/>
          <w:sz w:val="21"/>
        </w:rPr>
        <w:t xml:space="preserve"> (Notice ARC 6527C, IAB 9/21/22)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7068C</w:t>
      </w:r>
      <w:r>
        <w:rPr>
          <w:rFonts w:ascii="Times New Roman" w:hAnsi="Times New Roman"/>
          <w:b w:val="false"/>
          <w:i w:val="false"/>
          <w:color w:val="000000"/>
          <w:sz w:val="21"/>
        </w:rPr>
        <w:t xml:space="preserve"> (Notice ARC 7045C, IAB 7/12/23)</w:t>
      </w:r>
      <w:r>
        <w:rPr>
          <w:rFonts w:ascii="Times New Roman" w:hAnsi="Times New Roman"/>
          <w:b w:val="false"/>
          <w:i w:val="false"/>
          <w:color w:val="000000"/>
          <w:sz w:val="21"/>
        </w:rPr>
        <w:t>, IAB 9/6/23, effective 10/11/23]</w:t>
      </w:r>
    </w:p>
    <w:p>
      <w:pPr>
        <w:pBdr>
          <w:bottom w:space="2"/>
        </w:pBdr>
        <w:spacing w:before="0" w:after="0"/>
        <w:ind w:left="120"/>
        <w:jc w:val="both"/>
      </w:pPr>
      <w:r>
        <w:rPr>
          <w:rFonts w:ascii="Times New Roman" w:hAnsi="Times New Roman"/>
          <w:b w:val="false"/>
          <w:i w:val="false"/>
          <w:color w:val="000000"/>
          <w:sz w:val="22"/>
        </w:rPr>
        <w:t xml:space="preserve">Effective date of Chapter 6 delayed by the Administrative Rules Review Committee for 70 days pursuant to Iowa Code section </w:t>
      </w:r>
      <w:hyperlink r:id="rId1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8.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9C.8.pdf" Type="http://schemas.openxmlformats.org/officeDocument/2006/relationships/hyperlink" Id="rId7"/>
    <Relationship TargetMode="External" Target="https://www.legis.iowa.gov/docs/ico/chapter/29C.8.pdf" Type="http://schemas.openxmlformats.org/officeDocument/2006/relationships/hyperlink" Id="rId8"/>
    <Relationship TargetMode="External" Target="https://www.legis.iowa.gov/docs/ico/chapter/29C.8.pdf" Type="http://schemas.openxmlformats.org/officeDocument/2006/relationships/hyperlink" Id="rId9"/>
    <Relationship TargetMode="External" Target="https://www.legis.iowa.gov/docs/ico/chapter/29C.8.pdf" Type="http://schemas.openxmlformats.org/officeDocument/2006/relationships/hyperlink" Id="rId10"/>
    <Relationship TargetMode="External" Target="https://www.legis.iowa.gov/docs/ico/chapter/17A.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