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605—6.1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homeland security and emergency management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2325C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605—6.2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director of the homeland security and emergency management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administrator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2325C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605—6.4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agency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agency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605—6.5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agency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agency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(e.g., agency head, members of multimembered agency head, administrative law judge from the department of inspections and appeals);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8">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6.6</w:t>
        </w:r>
      </w:hyperlink>
      <w:r>
        <w:rPr>
          <w:rFonts w:ascii="Times New Roman" w:hAnsi="Times New Roman"/>
          <w:b w:val="false"/>
          <w:i w:val="false"/>
          <w:color w:val="000000"/>
          <w:sz w:val="22"/>
        </w:rPr>
        <w:t>(17A), that the presiding officer be an administrative law judge.</w:t>
      </w:r>
    </w:p>
    <w:p>
      <w:pPr>
        <w:spacing w:before="0" w:after="0"/>
        <w:ind w:left="120"/>
        <w:jc w:val="both"/>
      </w:pPr>
      <w:r>
        <w:rPr>
          <w:rFonts w:ascii="Times New Roman" w:hAnsi="Times New Roman"/>
          <w:b/>
          <w:i w:val="false"/>
          <w:color w:val="000000"/>
          <w:sz w:val="22"/>
        </w:rPr>
        <w:t>605—6.6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agency head or members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val="false"/>
          <w:color w:val="000000"/>
          <w:sz w:val="22"/>
        </w:rPr>
        <w:t>The agency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agency nor any officer of the agency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val="false"/>
          <w:color w:val="000000"/>
          <w:sz w:val="22"/>
        </w:rPr>
        <w:t>The agency shall issue a written ruling specifying the grounds for its decision within 20 days after a request for an administrative law judge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agency.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agency heads and members of multimembered agency heads, when reviewing a proposed decision upon intra-agency appeal, shall have the powers of and shall comply with the provisions of this chapter which apply to presiding officers.</w:t>
      </w:r>
    </w:p>
    <w:p>
      <w:pPr>
        <w:spacing w:before="210" w:after="0"/>
        <w:ind w:left="120"/>
        <w:jc w:val="both"/>
      </w:pPr>
      <w:r>
        <w:rPr>
          <w:rFonts w:ascii="Times New Roman" w:hAnsi="Times New Roman"/>
          <w:b/>
          <w:i w:val="false"/>
          <w:color w:val="000000"/>
          <w:sz w:val="22"/>
        </w:rPr>
        <w:t>605—6.7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agency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605—6.8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p>
      <w:pPr>
        <w:spacing w:before="0" w:after="0"/>
        <w:ind w:left="120"/>
        <w:jc w:val="both"/>
      </w:pPr>
      <w:r>
        <w:rPr>
          <w:rFonts w:ascii="Times New Roman" w:hAnsi="Times New Roman"/>
          <w:b/>
          <w:i w:val="false"/>
          <w:color w:val="000000"/>
          <w:sz w:val="22"/>
        </w:rPr>
        <w:t>605—6.9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0">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hyperlink r:id="rId11">
        <w:r>
          <w:rPr>
            <w:rStyle w:val="Hyperlink"/>
            <w:rFonts w:ascii="Times New Roman" w:hAnsi="Times New Roman"/>
            <w:b w:val="false"/>
            <w:i w:val="false"/>
            <w:color w:val="000000"/>
            <w:sz w:val="22"/>
          </w:rPr>
          <w:t>6.9(3)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6.23(9)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grounds, including those listed in subrule </w:t>
      </w:r>
      <w:hyperlink r:id="rId13">
        <w:r>
          <w:rPr>
            <w:rStyle w:val="Hyperlink"/>
            <w:rFonts w:ascii="Times New Roman" w:hAnsi="Times New Roman"/>
            <w:b w:val="false"/>
            <w:i w:val="false"/>
            <w:color w:val="000000"/>
            <w:sz w:val="22"/>
          </w:rPr>
          <w:t>6.9(1)</w:t>
        </w:r>
      </w:hyperlink>
      <w:r>
        <w:rPr>
          <w:rFonts w:ascii="Times New Roman" w:hAnsi="Times New Roman"/>
          <w:b w:val="false"/>
          <w:i w:val="false"/>
          <w:color w:val="000000"/>
          <w:sz w:val="22"/>
        </w:rPr>
        <w:t xml:space="preserve">, the party shall file a motion supported by an affidavit pursuant to Iowa Code section </w:t>
      </w:r>
      <w:hyperlink r:id="rId14">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15">
        <w:r>
          <w:rPr>
            <w:rStyle w:val="Hyperlink"/>
            <w:rFonts w:ascii="Times New Roman" w:hAnsi="Times New Roman"/>
            <w:b w:val="false"/>
            <w:i w:val="false"/>
            <w:color w:val="000000"/>
            <w:sz w:val="22"/>
          </w:rPr>
          <w:t>6.25</w:t>
        </w:r>
      </w:hyperlink>
      <w:r>
        <w:rPr>
          <w:rFonts w:ascii="Times New Roman" w:hAnsi="Times New Roman"/>
          <w:b w:val="false"/>
          <w:i w:val="false"/>
          <w:color w:val="000000"/>
          <w:sz w:val="22"/>
        </w:rPr>
        <w:t xml:space="preserve">(17A) and seek a stay under rule </w:t>
      </w:r>
      <w:hyperlink r:id="rId16">
        <w:r>
          <w:rPr>
            <w:rStyle w:val="Hyperlink"/>
            <w:rFonts w:ascii="Times New Roman" w:hAnsi="Times New Roman"/>
            <w:b w:val="false"/>
            <w:i w:val="false"/>
            <w:color w:val="000000"/>
            <w:sz w:val="22"/>
          </w:rPr>
          <w:t>6.29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605—6.10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605—6.11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val="false"/>
          <w:color w:val="000000"/>
          <w:sz w:val="22"/>
        </w:rPr>
        <w:t>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val="false"/>
          <w:color w:val="000000"/>
          <w:sz w:val="22"/>
        </w:rPr>
        <w:t>Answer. 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605—6.12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agency, simultaneously with their filing. Except for the original notice of hearing and an application for rehearing as provided in Iowa Code section </w:t>
      </w:r>
      <w:hyperlink r:id="rId17">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presiding officer as identified in the notice of hearing. All pleadings, motions, documents or other papers that are required to be served upon a party shall be filed simultaneously with the Homeland Security and Emergency Management Department, 7900 Hickman Road, Suite 500, Windsor Heights, Iowa 50324.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emergency management division,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(agency office and address)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2325C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605—6.13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18">
        <w:r>
          <w:rPr>
            <w:rStyle w:val="Hyperlink"/>
            <w:rFonts w:ascii="Times New Roman" w:hAnsi="Times New Roman"/>
            <w:b w:val="false"/>
            <w:i w:val="false"/>
            <w:color w:val="000000"/>
            <w:sz w:val="22"/>
          </w:rPr>
          <w:t>6.13(1)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605—6.14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605—6.15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agency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agency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Motions for summary judgment shall comply with the requirements of Iowa Rule of Civil Procedure 237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w:t>
      </w:r>
      <w:hyperlink r:id="rId19">
        <w:r>
          <w:rPr>
            <w:rStyle w:val="Hyperlink"/>
            <w:rFonts w:ascii="Times New Roman" w:hAnsi="Times New Roman"/>
            <w:b w:val="false"/>
            <w:i w:val="false"/>
            <w:color w:val="000000"/>
            <w:sz w:val="22"/>
          </w:rPr>
          <w:t>6.28</w:t>
        </w:r>
      </w:hyperlink>
      <w:r>
        <w:rPr>
          <w:rFonts w:ascii="Times New Roman" w:hAnsi="Times New Roman"/>
          <w:b w:val="false"/>
          <w:i w:val="false"/>
          <w:color w:val="000000"/>
          <w:sz w:val="22"/>
        </w:rPr>
        <w:t xml:space="preserve">(17A) and appeal pursuant to </w:t>
      </w:r>
      <w:hyperlink r:id="rId20">
        <w:r>
          <w:rPr>
            <w:rStyle w:val="Hyperlink"/>
            <w:rFonts w:ascii="Times New Roman" w:hAnsi="Times New Roman"/>
            <w:b w:val="false"/>
            <w:i w:val="false"/>
            <w:color w:val="000000"/>
            <w:sz w:val="22"/>
          </w:rPr>
          <w:t>6.27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605—6.16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21">
        <w:r>
          <w:rPr>
            <w:rStyle w:val="Hyperlink"/>
            <w:rFonts w:ascii="Times New Roman" w:hAnsi="Times New Roman"/>
            <w:b w:val="false"/>
            <w:i w:val="false"/>
            <w:color w:val="000000"/>
            <w:sz w:val="22"/>
          </w:rPr>
          <w:t>6.16(2)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605—6.17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605—6.18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agency rules. Unless otherwise provided, a withdrawal shall be with prejudice.</w:t>
      </w:r>
    </w:p>
    <w:p>
      <w:pPr>
        <w:spacing w:before="0" w:after="0"/>
        <w:ind w:left="120"/>
        <w:jc w:val="both"/>
      </w:pPr>
      <w:r>
        <w:rPr>
          <w:rFonts w:ascii="Times New Roman" w:hAnsi="Times New Roman"/>
          <w:b/>
          <w:i w:val="false"/>
          <w:color w:val="000000"/>
          <w:sz w:val="22"/>
        </w:rPr>
        <w:t>605—6.19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605—6.20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605—6.21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605—6.22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rule </w:t>
      </w:r>
      <w:hyperlink r:id="rId22">
        <w:r>
          <w:rPr>
            <w:rStyle w:val="Hyperlink"/>
            <w:rFonts w:ascii="Times New Roman" w:hAnsi="Times New Roman"/>
            <w:b w:val="false"/>
            <w:i w:val="false"/>
            <w:color w:val="000000"/>
            <w:sz w:val="22"/>
          </w:rPr>
          <w:t>6.27(17A)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236.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23">
        <w:r>
          <w:rPr>
            <w:rStyle w:val="Hyperlink"/>
            <w:rFonts w:ascii="Times New Roman" w:hAnsi="Times New Roman"/>
            <w:b w:val="false"/>
            <w:i w:val="false"/>
            <w:color w:val="000000"/>
            <w:sz w:val="22"/>
          </w:rPr>
          <w:t>6.25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24">
        <w:r>
          <w:rPr>
            <w:rStyle w:val="Hyperlink"/>
            <w:rFonts w:ascii="Times New Roman" w:hAnsi="Times New Roman"/>
            <w:b w:val="false"/>
            <w:i w:val="false"/>
            <w:color w:val="000000"/>
            <w:sz w:val="22"/>
          </w:rPr>
          <w:t>6.29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605—6.23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agency or seeking the advice or help of persons other than those with a personal interest in, or those engaged in personally investigating as defined in subrule </w:t>
      </w:r>
      <w:hyperlink r:id="rId25">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26">
        <w:r>
          <w:rPr>
            <w:rStyle w:val="Hyperlink"/>
            <w:rFonts w:ascii="Times New Roman" w:hAnsi="Times New Roman"/>
            <w:b w:val="false"/>
            <w:i w:val="false"/>
            <w:color w:val="000000"/>
            <w:sz w:val="22"/>
          </w:rPr>
          <w:t>6.12(17A)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subrule </w:t>
      </w:r>
      <w:hyperlink r:id="rId27">
        <w:r>
          <w:rPr>
            <w:rStyle w:val="Hyperlink"/>
            <w:rFonts w:ascii="Times New Roman" w:hAnsi="Times New Roman"/>
            <w:b w:val="false"/>
            <w:i w:val="false"/>
            <w:color w:val="000000"/>
            <w:sz w:val="22"/>
          </w:rPr>
          <w:t>6.23(1)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28">
        <w:r>
          <w:rPr>
            <w:rStyle w:val="Hyperlink"/>
            <w:rFonts w:ascii="Times New Roman" w:hAnsi="Times New Roman"/>
            <w:b w:val="false"/>
            <w:i w:val="false"/>
            <w:color w:val="000000"/>
            <w:sz w:val="22"/>
          </w:rPr>
          <w:t>6.17(17A)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or disclosed.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agency. Violation of ex parte communication prohibitions by agency personnel shall be reported to the director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2325C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605—6.24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homeland security and emergency management department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2325C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605—6.25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the director’s own motion, the director may review an interlocutory order of the presiding officer. In determining whether to do so, the director shall weigh the extent to which granting the interlocutory appeal would expedite final resolution of the case and the extent to which review of that interlocutory order by the agency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2325C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6.26(1)</w:t>
      </w:r>
      <w:r>
        <w:rPr>
          <w:rFonts w:ascii="Times New Roman" w:hAnsi="Times New Roman"/>
          <w:b w:val="false"/>
          <w:i w:val="false"/>
          <w:color w:val="000000"/>
          <w:sz w:val="22"/>
        </w:rPr>
        <w:t> </w:t>
      </w:r>
      <w:r>
        <w:rPr>
          <w:rFonts w:ascii="Times New Roman" w:hAnsi="Times New Roman"/>
          <w:b w:val="false"/>
          <w:i w:val="false"/>
          <w:color w:val="000000"/>
          <w:sz w:val="22"/>
        </w:rPr>
        <w:t>When the director presides over the reception of evidence at the hearing, the director’s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director does not preside at the reception of evidence, the presiding officer shall make a proposed decision. The proposed decision becomes the final decision of the agency without further proceedings unless there is an appeal to, or review on motion of, the director within the time provided in rule </w:t>
      </w:r>
      <w:hyperlink r:id="rId30">
        <w:r>
          <w:rPr>
            <w:rStyle w:val="Hyperlink"/>
            <w:rFonts w:ascii="Times New Roman" w:hAnsi="Times New Roman"/>
            <w:b w:val="false"/>
            <w:i w:val="false"/>
            <w:color w:val="000000"/>
            <w:sz w:val="22"/>
          </w:rPr>
          <w:t>605—6.27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2325C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director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director may initiate review of a proposed decision on the director’s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director.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director may remand a case to the presiding officer for further hearing, or the director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director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director may resolve the appeal on the briefs or provide an opportunity for oral argument. The director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2325C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605—6.28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subrule </w:t>
      </w:r>
      <w:hyperlink r:id="rId31">
        <w:r>
          <w:rPr>
            <w:rStyle w:val="Hyperlink"/>
            <w:rFonts w:ascii="Times New Roman" w:hAnsi="Times New Roman"/>
            <w:b w:val="false"/>
            <w:i w:val="false"/>
            <w:color w:val="000000"/>
            <w:sz w:val="22"/>
          </w:rPr>
          <w:t>6.27(4)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director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homeland security and emergency management department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agency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2325C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605—6.29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director for a stay of an order issued in that proceeding or for other temporary remedies, pending review by the agency. The petition shall be filed with the notice of appeal and shall state the reasons justifying a stay or other temporary remedy. The director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director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director shall consider the factors listed in Iowa Code section </w:t>
      </w:r>
      <w:hyperlink r:id="rId32">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homeland security and emergency management department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2325C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605—6.30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605—6.31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agency may issue a written order in compliance with Iowa Code section </w:t>
      </w:r>
      <w:hyperlink r:id="rId33">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agency by emergency adjudicative order. Before issuing an emergency adjudicative order the agency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agency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agency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agency’s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agency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agency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agency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agency proceedings are scheduled for completion. After issuance of an emergency adjudicative order, continuance of further agency proceedings to a later date will be granted only in compelling circumstances upon application in writing.</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ARC 2325C</w:t>
      </w:r>
      <w:r>
        <w:rPr>
          <w:rFonts w:ascii="Times New Roman" w:hAnsi="Times New Roman"/>
          <w:b w:val="false"/>
          <w:i w:val="false"/>
          <w:color w:val="000000"/>
          <w:sz w:val="21"/>
        </w:rPr>
        <w:t xml:space="preserve"> (Notice ARC 2215C, IAB 10/28/15)</w:t>
      </w:r>
      <w:r>
        <w:rPr>
          <w:rFonts w:ascii="Times New Roman" w:hAnsi="Times New Roman"/>
          <w:b w:val="false"/>
          <w:i w:val="false"/>
          <w:color w:val="000000"/>
          <w:sz w:val="21"/>
        </w:rPr>
        <w:t>, IAB 12/23/15, effective 1/27/16]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17A.11.pdf" Type="http://schemas.openxmlformats.org/officeDocument/2006/relationships/hyperlink" Id="rId8"/>
    <Relationship TargetMode="External" Target="https://www.legis.iowa.gov/docs/iac/rule/605.6.6.pdf" Type="http://schemas.openxmlformats.org/officeDocument/2006/relationships/hyperlink" Id="rId9"/>
    <Relationship TargetMode="External" Target="https://www.legis.iowa.gov/docs/ico/chapter/17A.17.pdf" Type="http://schemas.openxmlformats.org/officeDocument/2006/relationships/hyperlink" Id="rId10"/>
    <Relationship TargetMode="External" Target="https://www.legis.iowa.gov/docs/iac/rule/605.6.9.pdf" Type="http://schemas.openxmlformats.org/officeDocument/2006/relationships/hyperlink" Id="rId11"/>
    <Relationship TargetMode="External" Target="https://www.legis.iowa.gov/docs/iac/rule/605.6.23.pdf" Type="http://schemas.openxmlformats.org/officeDocument/2006/relationships/hyperlink" Id="rId12"/>
    <Relationship TargetMode="External" Target="https://www.legis.iowa.gov/docs/iac/rule/605.6.9.pdf" Type="http://schemas.openxmlformats.org/officeDocument/2006/relationships/hyperlink" Id="rId13"/>
    <Relationship TargetMode="External" Target="https://www.legis.iowa.gov/docs/ico/chapter/17A.17.pdf" Type="http://schemas.openxmlformats.org/officeDocument/2006/relationships/hyperlink" Id="rId14"/>
    <Relationship TargetMode="External" Target="https://www.legis.iowa.gov/docs/iac/rule/605.6.25.pdf" Type="http://schemas.openxmlformats.org/officeDocument/2006/relationships/hyperlink" Id="rId15"/>
    <Relationship TargetMode="External" Target="https://www.legis.iowa.gov/docs/iac/rule/605.6.29.pdf" Type="http://schemas.openxmlformats.org/officeDocument/2006/relationships/hyperlink" Id="rId16"/>
    <Relationship TargetMode="External" Target="https://www.legis.iowa.gov/docs/ico/chapter/17A.16.pdf" Type="http://schemas.openxmlformats.org/officeDocument/2006/relationships/hyperlink" Id="rId17"/>
    <Relationship TargetMode="External" Target="https://www.legis.iowa.gov/docs/iac/rule/605.6.13.pdf" Type="http://schemas.openxmlformats.org/officeDocument/2006/relationships/hyperlink" Id="rId18"/>
    <Relationship TargetMode="External" Target="https://www.legis.iowa.gov/docs/iac/rule/605.6.28.pdf" Type="http://schemas.openxmlformats.org/officeDocument/2006/relationships/hyperlink" Id="rId19"/>
    <Relationship TargetMode="External" Target="https://www.legis.iowa.gov/docs/iac/rule/605.6.27.pdf" Type="http://schemas.openxmlformats.org/officeDocument/2006/relationships/hyperlink" Id="rId20"/>
    <Relationship TargetMode="External" Target="https://www.legis.iowa.gov/docs/iac/rule/605.6.16.pdf" Type="http://schemas.openxmlformats.org/officeDocument/2006/relationships/hyperlink" Id="rId21"/>
    <Relationship TargetMode="External" Target="https://www.legis.iowa.gov/docs/iac/rule/605.6.27.pdf" Type="http://schemas.openxmlformats.org/officeDocument/2006/relationships/hyperlink" Id="rId22"/>
    <Relationship TargetMode="External" Target="https://www.legis.iowa.gov/docs/iac/rule/605.6.25.pdf" Type="http://schemas.openxmlformats.org/officeDocument/2006/relationships/hyperlink" Id="rId23"/>
    <Relationship TargetMode="External" Target="https://www.legis.iowa.gov/docs/iac/rule/605.6.29.pdf" Type="http://schemas.openxmlformats.org/officeDocument/2006/relationships/hyperlink" Id="rId24"/>
    <Relationship TargetMode="External" Target="https://www.legis.iowa.gov/docs/iac/rule/605.6.9.pdf" Type="http://schemas.openxmlformats.org/officeDocument/2006/relationships/hyperlink" Id="rId25"/>
    <Relationship TargetMode="External" Target="https://www.legis.iowa.gov/docs/iac/rule/605.6.12.pdf" Type="http://schemas.openxmlformats.org/officeDocument/2006/relationships/hyperlink" Id="rId26"/>
    <Relationship TargetMode="External" Target="https://www.legis.iowa.gov/docs/iac/rule/605.6.23.pdf" Type="http://schemas.openxmlformats.org/officeDocument/2006/relationships/hyperlink" Id="rId27"/>
    <Relationship TargetMode="External" Target="https://www.legis.iowa.gov/docs/iac/rule/605.6.17.pdf" Type="http://schemas.openxmlformats.org/officeDocument/2006/relationships/hyperlink" Id="rId28"/>
    <Relationship TargetMode="External" Target="https://www.legis.iowa.gov/docs/ico/chapter/17A.13.pdf" Type="http://schemas.openxmlformats.org/officeDocument/2006/relationships/hyperlink" Id="rId29"/>
    <Relationship TargetMode="External" Target="https://www.legis.iowa.gov/docs/iac/rule/605.6.27.pdf" Type="http://schemas.openxmlformats.org/officeDocument/2006/relationships/hyperlink" Id="rId30"/>
    <Relationship TargetMode="External" Target="https://www.legis.iowa.gov/docs/iac/rule/605.6.27.pdf" Type="http://schemas.openxmlformats.org/officeDocument/2006/relationships/hyperlink" Id="rId31"/>
    <Relationship TargetMode="External" Target="https://www.legis.iowa.gov/docs/ico/chapter/17A.19.pdf" Type="http://schemas.openxmlformats.org/officeDocument/2006/relationships/hyperlink" Id="rId32"/>
    <Relationship TargetMode="External" Target="https://www.legis.iowa.gov/docs/ico/chapter/17A.18.pdf" Type="http://schemas.openxmlformats.org/officeDocument/2006/relationships/hyperlink" Id="rId33"/>
    <Relationship TargetMode="External" Target="https://www.legis.iowa.gov/docs/ico/chapter/17A.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