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HOMELAND SECURITY AND EMERGENCY RESPONSE TEAMS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605—12.1</w:t>
      </w:r>
      <w:r>
        <w:rPr>
          <w:rFonts w:ascii="Times New Roman" w:hAnsi="Times New Roman"/>
          <w:b/>
          <w:i w:val="false"/>
          <w:color w:val="000000"/>
          <w:sz w:val="22"/>
        </w:rPr>
        <w:t xml:space="preserve">(29C) </w:t>
      </w:r>
      <w:r>
        <w:rPr>
          <w:rFonts w:ascii="Times New Roman" w:hAnsi="Times New Roman"/>
          <w:b/>
          <w:i w:val="false"/>
          <w:color w:val="000000"/>
          <w:sz w:val="22"/>
        </w:rPr>
        <w:t xml:space="preserve">Purpose. </w:t>
      </w:r>
      <w:r>
        <w:rPr>
          <w:rFonts w:ascii="Times New Roman" w:hAnsi="Times New Roman"/>
          <w:b w:val="false"/>
          <w:i w:val="false"/>
          <w:color w:val="000000"/>
          <w:sz w:val="22"/>
        </w:rPr>
        <w:t>The duties of the director of the homeland security and emergency management department include the development and ongoing operation of homeland security and emergency response teams to be deployed by the state to supplement and enhance local resources during times of disaster and emergency. These rules are intended to specify how teams and team members will be designated, minimum standards that shall be maintained, and the use of the teams.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2330C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“Governor’s disaster proclamation” </w:t>
      </w:r>
      <w:r>
        <w:rPr>
          <w:rFonts w:ascii="Times New Roman" w:hAnsi="Times New Roman"/>
          <w:b w:val="false"/>
          <w:i w:val="false"/>
          <w:color w:val="000000"/>
          <w:sz w:val="22"/>
        </w:rPr>
        <w:t xml:space="preserve">means the proclamation of disaster emergency issued by the governor in accordance with Iowa Code section </w:t>
      </w:r>
      <w:hyperlink r:id="rId5">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“Homeland security advisory committee” </w:t>
      </w:r>
      <w:r>
        <w:rPr>
          <w:rFonts w:ascii="Times New Roman" w:hAnsi="Times New Roman"/>
          <w:b w:val="false"/>
          <w:i w:val="false"/>
          <w:color w:val="000000"/>
          <w:sz w:val="22"/>
        </w:rPr>
        <w:t>means the advisory committee created by the director for the purpose of providing advice on public safety response issues within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2330C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605—12.3</w:t>
      </w:r>
      <w:r>
        <w:rPr>
          <w:rFonts w:ascii="Times New Roman" w:hAnsi="Times New Roman"/>
          <w:b/>
          <w:i w:val="false"/>
          <w:color w:val="000000"/>
          <w:sz w:val="22"/>
        </w:rPr>
        <w:t xml:space="preserve">(29C) </w:t>
      </w:r>
      <w:r>
        <w:rPr>
          <w:rFonts w:ascii="Times New Roman" w:hAnsi="Times New Roman"/>
          <w:b/>
          <w:i w:val="false"/>
          <w:color w:val="000000"/>
          <w:sz w:val="22"/>
        </w:rPr>
        <w:t xml:space="preserve">Homeland security and emergency response teams.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requests to create homeland security and emergency response teams based on identified needs, on recommendations from the homeland security advisory committee, and at the request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Each team shall be designated by the director. To be eligible for designation, a team shall provide a written application to the director that details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of assistance that the team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response team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Team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24/7 contact information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Team agency, including head of agency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Team commander and assistant commander, including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Title, names, and responsibilities of deployable response personnel assigned to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Listing of applicable local, state, and national standards and certifications to which team members are trained and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Detailed listing of the team’s major response assets that are related to the team’s mission. The listing shall provide details related to self-sufficiency including the amount of time the team can remain self-sufficient.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Listing of communications assets, including radio frequencies used and any interoperability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estimate of the time required to assemble the team members and assets and deploy upon the request of the director or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Upon receipt of the written application from the team, the director shall review the application. The director may seek additional information from the team. The team shall provide the requested information in a timely fashion.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approval of the application, the director shall issue a letter formally designating the team as an “Iowa homeland security and emergency response team” in accordance with Iowa Code section </w:t>
      </w:r>
      <w:hyperlink r:id="rId6">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 xml:space="preserve">. The director may enter into an agreement with the team in accordance with Iowa Code chapter </w:t>
      </w:r>
      <w:hyperlink r:id="rId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val="false"/>
          <w:color w:val="000000"/>
          <w:sz w:val="22"/>
        </w:rPr>
        <w:t>Upon acceptance as a homeland security and emergency response team, the team shall routinely update all records to accurately reflect membership rosters and major assets at the team’s disposal. The team shall update records anytime personnel are added to or removed from the team.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2330C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605—12.4</w:t>
      </w:r>
      <w:r>
        <w:rPr>
          <w:rFonts w:ascii="Times New Roman" w:hAnsi="Times New Roman"/>
          <w:b/>
          <w:i w:val="false"/>
          <w:color w:val="000000"/>
          <w:sz w:val="22"/>
        </w:rPr>
        <w:t xml:space="preserve">(29C) </w:t>
      </w:r>
      <w:r>
        <w:rPr>
          <w:rFonts w:ascii="Times New Roman" w:hAnsi="Times New Roman"/>
          <w:b/>
          <w:i w:val="false"/>
          <w:color w:val="000000"/>
          <w:sz w:val="22"/>
        </w:rPr>
        <w:t xml:space="preserve">Use of homeland security and emergency response teams.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A designated team shall be deployed as a state asset only by a directive from the director or pursuant to a governor’s disaster proclamation, unless the sponsoring agency’s response team is needed to perform emergency services within its own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 xml:space="preserve">A designated team may be deployed as a state asset to supplement and enhance disrupted or overburdened local emergency and disaster operations. A team may also be deployed as a state asset to other states pursuant to the interstate emergency management assistance compact as described in Iowa Code section </w:t>
      </w:r>
      <w:hyperlink r:id="rId8">
        <w:r>
          <w:rPr>
            <w:rStyle w:val="Hyperlink"/>
            <w:rFonts w:ascii="Times New Roman" w:hAnsi="Times New Roman"/>
            <w:b w:val="false"/>
            <w:i w:val="false"/>
            <w:color w:val="000000"/>
            <w:sz w:val="22"/>
          </w:rPr>
          <w:t>29C.21</w:t>
        </w:r>
      </w:hyperlink>
      <w:r>
        <w:rPr>
          <w:rFonts w:ascii="Times New Roman" w:hAnsi="Times New Roman"/>
          <w:b w:val="false"/>
          <w:i w:val="false"/>
          <w:color w:val="000000"/>
          <w:sz w:val="22"/>
        </w:rPr>
        <w:t xml:space="preserve"> with the concurrence of the sponsoring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2330C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605—12.5</w:t>
      </w:r>
      <w:r>
        <w:rPr>
          <w:rFonts w:ascii="Times New Roman" w:hAnsi="Times New Roman"/>
          <w:b/>
          <w:i w:val="false"/>
          <w:color w:val="000000"/>
          <w:sz w:val="22"/>
        </w:rPr>
        <w:t xml:space="preserve">(29C) </w:t>
      </w:r>
      <w:r>
        <w:rPr>
          <w:rFonts w:ascii="Times New Roman" w:hAnsi="Times New Roman"/>
          <w:b/>
          <w:i w:val="false"/>
          <w:color w:val="000000"/>
          <w:sz w:val="22"/>
        </w:rPr>
        <w:t xml:space="preserve">Homeland security and emergency response team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homeland security and emergency response team shall be compensated for its expenses while it is deployed as a state asset in accordance with rule </w:t>
      </w:r>
      <w:hyperlink r:id="rId9">
        <w:r>
          <w:rPr>
            <w:rStyle w:val="Hyperlink"/>
            <w:rFonts w:ascii="Times New Roman" w:hAnsi="Times New Roman"/>
            <w:b w:val="false"/>
            <w:i w:val="false"/>
            <w:color w:val="000000"/>
            <w:sz w:val="22"/>
          </w:rPr>
          <w:t>605—12.4</w:t>
        </w:r>
      </w:hyperlink>
      <w:r>
        <w:rPr>
          <w:rFonts w:ascii="Times New Roman" w:hAnsi="Times New Roman"/>
          <w:b w:val="false"/>
          <w:i w:val="false"/>
          <w:color w:val="000000"/>
          <w:sz w:val="22"/>
        </w:rPr>
        <w:t>(29C), subject to availability of funds. The application for compensation shall be in a manner as specified by the director. Compensation shall be made to the team or the team’s governing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a homeland security and emergency response team listed on the team roster filed pursuant to subrule </w:t>
      </w:r>
      <w:hyperlink r:id="rId10">
        <w:r>
          <w:rPr>
            <w:rStyle w:val="Hyperlink"/>
            <w:rFonts w:ascii="Times New Roman" w:hAnsi="Times New Roman"/>
            <w:b w:val="false"/>
            <w:i w:val="false"/>
            <w:color w:val="000000"/>
            <w:sz w:val="22"/>
          </w:rPr>
          <w:t>12.3(5)</w:t>
        </w:r>
      </w:hyperlink>
      <w:r>
        <w:rPr>
          <w:rFonts w:ascii="Times New Roman" w:hAnsi="Times New Roman"/>
          <w:b w:val="false"/>
          <w:i w:val="false"/>
          <w:color w:val="000000"/>
          <w:sz w:val="22"/>
        </w:rPr>
        <w:t xml:space="preserve">, while acting under the directive of the director or pursuant to a governor’s disaster proclamation, shall be considered an employee of the state under Iowa Code section </w:t>
      </w:r>
      <w:hyperlink r:id="rId11">
        <w:r>
          <w:rPr>
            <w:rStyle w:val="Hyperlink"/>
            <w:rFonts w:ascii="Times New Roman" w:hAnsi="Times New Roman"/>
            <w:b w:val="false"/>
            <w:i w:val="false"/>
            <w:color w:val="000000"/>
            <w:sz w:val="22"/>
          </w:rPr>
          <w:t>669.21</w:t>
        </w:r>
      </w:hyperlink>
      <w:r>
        <w:rPr>
          <w:rFonts w:ascii="Times New Roman" w:hAnsi="Times New Roman"/>
          <w:b w:val="false"/>
          <w:i w:val="false"/>
          <w:color w:val="000000"/>
          <w:sz w:val="22"/>
        </w:rPr>
        <w:t xml:space="preserve">. Disability, workers’ compensation, and death benefits for designated team members participating in a response or recovery operation initiated by the director or governor pursuant to rule </w:t>
      </w:r>
      <w:hyperlink r:id="rId12">
        <w:r>
          <w:rPr>
            <w:rStyle w:val="Hyperlink"/>
            <w:rFonts w:ascii="Times New Roman" w:hAnsi="Times New Roman"/>
            <w:b w:val="false"/>
            <w:i w:val="false"/>
            <w:color w:val="000000"/>
            <w:sz w:val="22"/>
          </w:rPr>
          <w:t>605—12.4</w:t>
        </w:r>
      </w:hyperlink>
      <w:r>
        <w:rPr>
          <w:rFonts w:ascii="Times New Roman" w:hAnsi="Times New Roman"/>
          <w:b w:val="false"/>
          <w:i w:val="false"/>
          <w:color w:val="000000"/>
          <w:sz w:val="22"/>
        </w:rPr>
        <w:t xml:space="preserve">(29C) or participating in a training or exercise activity approved by the director shall be paid by the state in a manner consistent with the provisions of Iowa Code chapter </w:t>
      </w:r>
      <w:hyperlink r:id="rId1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as appropriate. The department of administrative services shall process claims for compensable losses of deployed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homeland security and emergency response team’s materials, equipment and supplies consumed or damaged while the team is deployed in accordance with rule </w:t>
      </w:r>
      <w:hyperlink r:id="rId1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(29C) shall be reimbursed on a replacement cost basis, subject to the availability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request funds from the executive council to address any obligations under rule </w:t>
      </w:r>
      <w:hyperlink r:id="rId17">
        <w:r>
          <w:rPr>
            <w:rStyle w:val="Hyperlink"/>
            <w:rFonts w:ascii="Times New Roman" w:hAnsi="Times New Roman"/>
            <w:b w:val="false"/>
            <w:i w:val="false"/>
            <w:color w:val="000000"/>
            <w:sz w:val="22"/>
          </w:rPr>
          <w:t>605—12.5</w:t>
        </w:r>
      </w:hyperlink>
      <w:r>
        <w:rPr>
          <w:rFonts w:ascii="Times New Roman" w:hAnsi="Times New Roman"/>
          <w:b w:val="false"/>
          <w:i w:val="false"/>
          <w:color w:val="000000"/>
          <w:sz w:val="22"/>
        </w:rPr>
        <w:t>(29C).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2330C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605—12.6</w:t>
      </w:r>
      <w:r>
        <w:rPr>
          <w:rFonts w:ascii="Times New Roman" w:hAnsi="Times New Roman"/>
          <w:b/>
          <w:i w:val="false"/>
          <w:color w:val="000000"/>
          <w:sz w:val="22"/>
        </w:rPr>
        <w:t xml:space="preserve">(29C) </w:t>
      </w:r>
      <w:r>
        <w:rPr>
          <w:rFonts w:ascii="Times New Roman" w:hAnsi="Times New Roman"/>
          <w:b/>
          <w:i w:val="false"/>
          <w:color w:val="000000"/>
          <w:sz w:val="22"/>
        </w:rPr>
        <w:t xml:space="preserve">Alternate deployment of homeland security and emergency response teams.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At its discretion, a homeland security and emergency response team may deploy at the direct request of a political subdivision of the state without a directive from the director or without a governor’s disaster proclamation.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rule </w:t>
      </w:r>
      <w:hyperlink r:id="rId1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(29C) do not apply to a team deployed under </w:t>
      </w:r>
      <w:hyperlink r:id="rId19">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(29C). A team deployed upon local request may seek compensation from the political subdivision making the request and in accordance with any mutual aid agreements that may exist at the time of deployment.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a team deployment, a governor’s disaster proclamation is issued, the director shall specify the date and time when the team may be deployed under rules </w:t>
      </w:r>
      <w:hyperlink r:id="rId20">
        <w:r>
          <w:rPr>
            <w:rStyle w:val="Hyperlink"/>
            <w:rFonts w:ascii="Times New Roman" w:hAnsi="Times New Roman"/>
            <w:b w:val="false"/>
            <w:i w:val="false"/>
            <w:color w:val="000000"/>
            <w:sz w:val="22"/>
          </w:rPr>
          <w:t>605—12.4</w:t>
        </w:r>
      </w:hyperlink>
      <w:r>
        <w:rPr>
          <w:rFonts w:ascii="Times New Roman" w:hAnsi="Times New Roman"/>
          <w:b w:val="false"/>
          <w:i w:val="false"/>
          <w:color w:val="000000"/>
          <w:sz w:val="22"/>
        </w:rPr>
        <w:t xml:space="preserve">(29C) and </w:t>
      </w:r>
      <w:hyperlink r:id="rId21">
        <w:r>
          <w:rPr>
            <w:rStyle w:val="Hyperlink"/>
            <w:rFonts w:ascii="Times New Roman" w:hAnsi="Times New Roman"/>
            <w:b w:val="false"/>
            <w:i w:val="false"/>
            <w:color w:val="000000"/>
            <w:sz w:val="22"/>
          </w:rPr>
          <w:t>605—12.5</w:t>
        </w:r>
      </w:hyperlink>
      <w:r>
        <w:rPr>
          <w:rFonts w:ascii="Times New Roman" w:hAnsi="Times New Roman"/>
          <w:b w:val="false"/>
          <w:i w:val="false"/>
          <w:color w:val="000000"/>
          <w:sz w:val="22"/>
        </w:rPr>
        <w:t>(29C).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2330C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3/19/07, Notice 12/20/06—published 4/11/07, effective 5/16/07]</w:t>
      </w:r>
    </w:p>
    <w:p>
      <w:pPr>
        <w:spacing w:before="0" w:after="0"/>
        <w:ind w:left="120"/>
        <w:jc w:val="center"/>
      </w:pPr>
      <w:r>
        <w:rPr>
          <w:rFonts w:ascii="Times New Roman" w:hAnsi="Times New Roman"/>
          <w:b w:val="false"/>
          <w:i w:val="false"/>
          <w:color w:val="000000"/>
          <w:sz w:val="21"/>
        </w:rPr>
        <w:t>[Filed ARC 2330C</w:t>
      </w:r>
      <w:r>
        <w:rPr>
          <w:rFonts w:ascii="Times New Roman" w:hAnsi="Times New Roman"/>
          <w:b w:val="false"/>
          <w:i w:val="false"/>
          <w:color w:val="000000"/>
          <w:sz w:val="21"/>
        </w:rPr>
        <w:t xml:space="preserve"> (Notice ARC 2210C, IAB 10/28/15)</w:t>
      </w:r>
      <w:r>
        <w:rPr>
          <w:rFonts w:ascii="Times New Roman" w:hAnsi="Times New Roman"/>
          <w:b w:val="false"/>
          <w:i w:val="false"/>
          <w:color w:val="000000"/>
          <w:sz w:val="21"/>
        </w:rPr>
        <w:t>, IAB 12/23/15, effective 1/27/16]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6.pdf" Type="http://schemas.openxmlformats.org/officeDocument/2006/relationships/hyperlink" Id="rId5"/>
    <Relationship TargetMode="External" Target="https://www.legis.iowa.gov/docs/ico/chapter/29C.8.pdf" Type="http://schemas.openxmlformats.org/officeDocument/2006/relationships/hyperlink" Id="rId6"/>
    <Relationship TargetMode="External" Target="https://www.legis.iowa.gov/docs/ico/chapter/28E.pdf" Type="http://schemas.openxmlformats.org/officeDocument/2006/relationships/hyperlink" Id="rId7"/>
    <Relationship TargetMode="External" Target="https://www.legis.iowa.gov/docs/ico/chapter/29C.21.pdf" Type="http://schemas.openxmlformats.org/officeDocument/2006/relationships/hyperlink" Id="rId8"/>
    <Relationship TargetMode="External" Target="https://www.legis.iowa.gov/docs/iac/rule/605.12.4.pdf" Type="http://schemas.openxmlformats.org/officeDocument/2006/relationships/hyperlink" Id="rId9"/>
    <Relationship TargetMode="External" Target="https://www.legis.iowa.gov/docs/iac/rule/605.12.3.pdf" Type="http://schemas.openxmlformats.org/officeDocument/2006/relationships/hyperlink" Id="rId10"/>
    <Relationship TargetMode="External" Target="https://www.legis.iowa.gov/docs/ico/chapter/669.21.pdf" Type="http://schemas.openxmlformats.org/officeDocument/2006/relationships/hyperlink" Id="rId11"/>
    <Relationship TargetMode="External" Target="https://www.legis.iowa.gov/docs/iac/rule/605.12.4.pdf" Type="http://schemas.openxmlformats.org/officeDocument/2006/relationships/hyperlink" Id="rId12"/>
    <Relationship TargetMode="External" Target="https://www.legis.iowa.gov/docs/ico/chapter/85.pdf" Type="http://schemas.openxmlformats.org/officeDocument/2006/relationships/hyperlink" Id="rId13"/>
    <Relationship TargetMode="External" Target="https://www.legis.iowa.gov/docs/ico/chapter/410.pdf" Type="http://schemas.openxmlformats.org/officeDocument/2006/relationships/hyperlink" Id="rId14"/>
    <Relationship TargetMode="External" Target="https://www.legis.iowa.gov/docs/ico/chapter/411.pdf" Type="http://schemas.openxmlformats.org/officeDocument/2006/relationships/hyperlink" Id="rId15"/>
    <Relationship TargetMode="External" Target="https://www.legis.iowa.gov/docs/iac/rule/605.12.4.pdf" Type="http://schemas.openxmlformats.org/officeDocument/2006/relationships/hyperlink" Id="rId16"/>
    <Relationship TargetMode="External" Target="https://www.legis.iowa.gov/docs/iac/rule/605.12.5.pdf" Type="http://schemas.openxmlformats.org/officeDocument/2006/relationships/hyperlink" Id="rId17"/>
    <Relationship TargetMode="External" Target="https://www.legis.iowa.gov/docs/iac/rule/605.12.5.pdf" Type="http://schemas.openxmlformats.org/officeDocument/2006/relationships/hyperlink" Id="rId18"/>
    <Relationship TargetMode="External" Target="https://www.legis.iowa.gov/docs/iac/rule/605.12.6.pdf" Type="http://schemas.openxmlformats.org/officeDocument/2006/relationships/hyperlink" Id="rId19"/>
    <Relationship TargetMode="External" Target="https://www.legis.iowa.gov/docs/iac/rule/605.12.4.pdf" Type="http://schemas.openxmlformats.org/officeDocument/2006/relationships/hyperlink" Id="rId20"/>
    <Relationship TargetMode="External" Target="https://www.legis.iowa.gov/docs/iac/rule/605.12.5.pdf" Type="http://schemas.openxmlformats.org/officeDocument/2006/relationships/hyperlink" Id="rId21"/>
    <Relationship TargetMode="External" Target="https://www.legis.iowa.gov/docs/ico/chapter/29C.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