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EMERGENCY ASSISTANCE</w:t>
      </w:r>
    </w:p>
    <w:p>
      <w:pPr>
        <w:spacing w:before="0" w:after="0"/>
        <w:ind w:left="120"/>
        <w:jc w:val="center"/>
      </w:pPr>
      <w:r>
        <w:rPr>
          <w:rFonts w:ascii="Times New Roman" w:hAnsi="Times New Roman"/>
          <w:b w:val="false"/>
          <w:i w:val="false"/>
          <w:color w:val="000000"/>
          <w:sz w:val="14"/>
        </w:rPr>
        <w:t>[Prior to 6/28/23, see Human Services Department[441] Ch 58]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IOWA DISASTER AID INDIVIDUAL ASSISTANCE GRANT PROGRAM</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This division implements a state program of financial assistance to meet disaster-related expenses, food-related costs, or serious needs of individuals or families who are adversely affected by a state-declared disaster emergency. The program is intended to meet needs that cannot be met by other means of financial assistance.</w:t>
      </w:r>
    </w:p>
    <w:p>
      <w:pPr>
        <w:spacing w:before="0" w:after="0"/>
        <w:ind w:left="120"/>
        <w:jc w:val="both"/>
      </w:pPr>
      <w:r>
        <w:rPr>
          <w:rFonts w:ascii="Times New Roman" w:hAnsi="Times New Roman"/>
          <w:b/>
          <w:i w:val="false"/>
          <w:color w:val="000000"/>
          <w:sz w:val="22"/>
        </w:rPr>
        <w:t>605—11.1</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residence”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“bona fide address,” </w:t>
      </w:r>
      <w:r>
        <w:rPr>
          <w:rFonts w:ascii="Times New Roman" w:hAnsi="Times New Roman"/>
          <w:b w:val="false"/>
          <w:i w:val="false"/>
          <w:color w:val="000000"/>
          <w:sz w:val="22"/>
        </w:rPr>
        <w:t xml:space="preserve">as set forth in Iowa Code section </w:t>
      </w:r>
      <w:hyperlink r:id="rId4">
        <w:r>
          <w:rPr>
            <w:rStyle w:val="Hyperlink"/>
            <w:rFonts w:ascii="Times New Roman" w:hAnsi="Times New Roman"/>
            <w:b w:val="false"/>
            <w:i w:val="false"/>
            <w:color w:val="000000"/>
            <w:sz w:val="22"/>
          </w:rPr>
          <w:t>321.1(6C)</w:t>
        </w:r>
      </w:hyperlink>
      <w:r>
        <w:rPr>
          <w:rFonts w:ascii="Times New Roman" w:hAnsi="Times New Roman"/>
          <w:b w:val="false"/>
          <w:i w:val="false"/>
          <w:color w:val="000000"/>
          <w:sz w:val="22"/>
        </w:rPr>
        <w:t xml:space="preserve">, means the pre-disaster street or highway address of an individual’s dwelling or dwelling unit. The bona fide residence of a person with more than one dwelling is the dwelling for which the person claims a homestead tax credit under Iowa Code chapter </w:t>
      </w:r>
      <w:hyperlink r:id="rId5">
        <w:r>
          <w:rPr>
            <w:rStyle w:val="Hyperlink"/>
            <w:rFonts w:ascii="Times New Roman" w:hAnsi="Times New Roman"/>
            <w:b w:val="false"/>
            <w:i w:val="false"/>
            <w:color w:val="000000"/>
            <w:sz w:val="22"/>
          </w:rPr>
          <w:t>425</w:t>
        </w:r>
      </w:hyperlink>
      <w:r>
        <w:rPr>
          <w:rFonts w:ascii="Times New Roman" w:hAnsi="Times New Roman"/>
          <w:b w:val="false"/>
          <w:i w:val="false"/>
          <w:color w:val="000000"/>
          <w:sz w:val="22"/>
        </w:rPr>
        <w:t xml:space="preserve">, if applicable. The bona fide residence of a homeless person is a primary nighttime residence meeting one of the criteria listed in Iowa Code section </w:t>
      </w:r>
      <w:hyperlink r:id="rId6">
        <w:r>
          <w:rPr>
            <w:rStyle w:val="Hyperlink"/>
            <w:rFonts w:ascii="Times New Roman" w:hAnsi="Times New Roman"/>
            <w:b w:val="false"/>
            <w:i w:val="false"/>
            <w:color w:val="000000"/>
            <w:sz w:val="22"/>
          </w:rPr>
          <w:t>48A.2(3)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homeland security and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“dwelling unit” </w:t>
      </w:r>
      <w:r>
        <w:rPr>
          <w:rFonts w:ascii="Times New Roman" w:hAnsi="Times New Roman"/>
          <w:b w:val="false"/>
          <w:i w:val="false"/>
          <w:color w:val="000000"/>
          <w:sz w:val="22"/>
        </w:rPr>
        <w:t xml:space="preserve">means the structure in which a household resides. “Dwelling” or “dwelling unit” includes permanent structures, mobile homes, manufactured homes, modular homes, fifth-wheel travel trailers, travel trailers, and motor homes in which a household resides.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coordinator” </w:t>
      </w:r>
      <w:r>
        <w:rPr>
          <w:rFonts w:ascii="Times New Roman" w:hAnsi="Times New Roman"/>
          <w:b w:val="false"/>
          <w:i w:val="false"/>
          <w:color w:val="000000"/>
          <w:sz w:val="22"/>
        </w:rPr>
        <w:t xml:space="preserve">means the person appointed by the local emergency management commission pursuant to Iowa Code sections </w:t>
      </w:r>
      <w:hyperlink r:id="rId7">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 xml:space="preserve"> to be responsible for development of the countywide emergency operations plan and for coordination and assistance to government officials when an emergency or disaster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“Fifth-wheel travel trailer,” </w:t>
      </w:r>
      <w:r>
        <w:rPr>
          <w:rFonts w:ascii="Times New Roman" w:hAnsi="Times New Roman"/>
          <w:b w:val="false"/>
          <w:i w:val="false"/>
          <w:color w:val="000000"/>
          <w:sz w:val="22"/>
        </w:rPr>
        <w:t xml:space="preserve">as set forth in Iowa Code section </w:t>
      </w:r>
      <w:hyperlink r:id="rId9">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“c,”</w:t>
      </w:r>
      <w:r>
        <w:rPr>
          <w:rFonts w:ascii="Times New Roman" w:hAnsi="Times New Roman"/>
          <w:b w:val="false"/>
          <w:i w:val="false"/>
          <w:color w:val="000000"/>
          <w:sz w:val="22"/>
        </w:rPr>
        <w:t xml:space="preserve"> means a type of travel trailer which is towed by a pickup by a connecting device known as a fifth wheel. However, this type of travel trailer may have an overall length which shall not exceed 45 feet.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w:t>
      </w:r>
      <w:r>
        <w:rPr>
          <w:rFonts w:ascii="Times New Roman" w:hAnsi="Times New Roman"/>
          <w:b w:val="false"/>
          <w:i w:val="false"/>
          <w:color w:val="000000"/>
          <w:sz w:val="22"/>
        </w:rPr>
        <w:t>means the pre-disaster dwelling or dwelling unit for a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home”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“modular home,” </w:t>
      </w:r>
      <w:r>
        <w:rPr>
          <w:rFonts w:ascii="Times New Roman" w:hAnsi="Times New Roman"/>
          <w:b w:val="false"/>
          <w:i w:val="false"/>
          <w:color w:val="000000"/>
          <w:sz w:val="22"/>
        </w:rPr>
        <w:t xml:space="preserve">as set forth in Iowa Code section </w:t>
      </w:r>
      <w:hyperlink r:id="rId10">
        <w:r>
          <w:rPr>
            <w:rStyle w:val="Hyperlink"/>
            <w:rFonts w:ascii="Times New Roman" w:hAnsi="Times New Roman"/>
            <w:b w:val="false"/>
            <w:i w:val="false"/>
            <w:color w:val="000000"/>
            <w:sz w:val="22"/>
          </w:rPr>
          <w:t>321.1(36C)</w:t>
        </w:r>
      </w:hyperlink>
      <w:r>
        <w:rPr>
          <w:rFonts w:ascii="Times New Roman" w:hAnsi="Times New Roman"/>
          <w:b w:val="false"/>
          <w:i w:val="false"/>
          <w:color w:val="000000"/>
          <w:sz w:val="22"/>
        </w:rPr>
        <w:t xml:space="preserve">, is a factory-built structure constructed under authority of </w:t>
      </w:r>
      <w:r>
        <w:rPr>
          <w:rFonts w:ascii="Times New Roman" w:hAnsi="Times New Roman"/>
          <w:b w:val="false"/>
          <w:i w:val="false"/>
          <w:color w:val="000000"/>
          <w:sz w:val="22"/>
        </w:rPr>
        <w:t>42 U.S.C. §5403</w:t>
      </w:r>
      <w:r>
        <w:rPr>
          <w:rFonts w:ascii="Times New Roman" w:hAnsi="Times New Roman"/>
          <w:b w:val="false"/>
          <w:i w:val="false"/>
          <w:color w:val="000000"/>
          <w:sz w:val="22"/>
        </w:rPr>
        <w:t xml:space="preserve"> as amended to August 25, 2022, which is required by federal law to display a seal from the United States Department of Housing and Urban Development, and was constructed on or after June 15, 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“Manufactured or mobile home,” </w:t>
      </w:r>
      <w:r>
        <w:rPr>
          <w:rFonts w:ascii="Times New Roman" w:hAnsi="Times New Roman"/>
          <w:b w:val="false"/>
          <w:i w:val="false"/>
          <w:color w:val="000000"/>
          <w:sz w:val="22"/>
        </w:rPr>
        <w:t xml:space="preserve">as set forth in Iowa Code section </w:t>
      </w:r>
      <w:hyperlink r:id="rId11">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“a,”</w:t>
      </w:r>
      <w:r>
        <w:rPr>
          <w:rFonts w:ascii="Times New Roman" w:hAnsi="Times New Roman"/>
          <w:b w:val="false"/>
          <w:i w:val="false"/>
          <w:color w:val="000000"/>
          <w:sz w:val="22"/>
        </w:rPr>
        <w:t xml:space="preserve"> means any vehicle without motive power used or so manufactured or constructed as to permit its being used as a conveyance upon the public streets and highways and so designed, constructed, or reconstructed as will permit the vehicle to be used as a place for human habitation by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“Mitigation” </w:t>
      </w:r>
      <w:r>
        <w:rPr>
          <w:rFonts w:ascii="Times New Roman" w:hAnsi="Times New Roman"/>
          <w:b w:val="false"/>
          <w:i w:val="false"/>
          <w:color w:val="000000"/>
          <w:sz w:val="22"/>
        </w:rPr>
        <w:t>means the effort to reduce the loss of life and property by lessening the impact of disasters to reduce human and financial consequences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home,” </w:t>
      </w:r>
      <w:r>
        <w:rPr>
          <w:rFonts w:ascii="Times New Roman" w:hAnsi="Times New Roman"/>
          <w:b w:val="false"/>
          <w:i w:val="false"/>
          <w:color w:val="000000"/>
          <w:sz w:val="22"/>
        </w:rPr>
        <w:t xml:space="preserve">as set forth in Iowa Code section </w:t>
      </w:r>
      <w:hyperlink r:id="rId12">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“d,”</w:t>
      </w:r>
      <w:r>
        <w:rPr>
          <w:rFonts w:ascii="Times New Roman" w:hAnsi="Times New Roman"/>
          <w:b w:val="false"/>
          <w:i w:val="false"/>
          <w:color w:val="000000"/>
          <w:sz w:val="22"/>
        </w:rPr>
        <w:t xml:space="preserve"> means a motor vehicle designed as an integral unit to be used as a conveyance upon the public streets and highways and for use as a temporary or recreational dwelling and having at least four, two of which shall be systems specified in paragraph “1,” “4,” or “5” of this definition, of the following permanently installed systems which meet American National Standards Institute and National Fire Protection Association standards in effect on the date of manufacture: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Cooking facilities.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Ice box or mechanical refrigerator.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Potable water supply including plumbing and a sink with faucet either self-contained or with connections for an external source, or both.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Self-contained toilet or a toilet connected to a plumbing system with connection for external water disposal, or both.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Heating or air conditioning system or both, separate from the vehicle engine or the vehicle engine electrical system.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110- to 115-volt alternating current electrical system separate from the vehicle engine electrical system either with its own power supply or with a connection for an external source, or both, or a liquefied petroleum system and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expense” </w:t>
      </w:r>
      <w:r>
        <w:rPr>
          <w:rFonts w:ascii="Times New Roman" w:hAnsi="Times New Roman"/>
          <w:b w:val="false"/>
          <w:i w:val="false"/>
          <w:color w:val="000000"/>
          <w:sz w:val="22"/>
        </w:rPr>
        <w:t>means the cost associated with acquiring an item or items, obtaining a service, or paying for any other activity that meets a serious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 xml:space="preserve">means one or more persons, jointly or severally, in whom is vested all or part of the legal title to property or all or part of the beneficial ownership and a right to present use and enjoyment of the property. “Owner” includes a mortgagee in possession.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 </w:t>
      </w:r>
      <w:r>
        <w:rPr>
          <w:rFonts w:ascii="Times New Roman" w:hAnsi="Times New Roman"/>
          <w:b w:val="false"/>
          <w:i w:val="false"/>
          <w:color w:val="000000"/>
          <w:sz w:val="22"/>
        </w:rPr>
        <w:t xml:space="preserve">means an amount paid to the landlord under the rental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 sanitary, and secure” </w:t>
      </w:r>
      <w:r>
        <w:rPr>
          <w:rFonts w:ascii="Times New Roman" w:hAnsi="Times New Roman"/>
          <w:b w:val="false"/>
          <w:i w:val="false"/>
          <w:color w:val="000000"/>
          <w:sz w:val="22"/>
        </w:rPr>
        <w:t>means free from disaster-related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need” </w:t>
      </w:r>
      <w:r>
        <w:rPr>
          <w:rFonts w:ascii="Times New Roman" w:hAnsi="Times New Roman"/>
          <w:b w:val="false"/>
          <w:i w:val="false"/>
          <w:color w:val="000000"/>
          <w:sz w:val="22"/>
        </w:rPr>
        <w:t>means the item or service is essential to the household to prevent, mitigate, or overcome a disaster-related hardship, injury, or adverse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“Tenant” </w:t>
      </w:r>
      <w:r>
        <w:rPr>
          <w:rFonts w:ascii="Times New Roman" w:hAnsi="Times New Roman"/>
          <w:b w:val="false"/>
          <w:i w:val="false"/>
          <w:color w:val="000000"/>
          <w:sz w:val="22"/>
        </w:rPr>
        <w:t>means a person or persons entitled under a rental agreement to occupy a dwelling or dwelling unit to the exclusion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“Travel trailer,” </w:t>
      </w:r>
      <w:r>
        <w:rPr>
          <w:rFonts w:ascii="Times New Roman" w:hAnsi="Times New Roman"/>
          <w:b w:val="false"/>
          <w:i w:val="false"/>
          <w:color w:val="000000"/>
          <w:sz w:val="22"/>
        </w:rPr>
        <w:t xml:space="preserve">as set forth in Iowa Code section </w:t>
      </w:r>
      <w:hyperlink r:id="rId13">
        <w:r>
          <w:rPr>
            <w:rStyle w:val="Hyperlink"/>
            <w:rFonts w:ascii="Times New Roman" w:hAnsi="Times New Roman"/>
            <w:b w:val="false"/>
            <w:i w:val="false"/>
            <w:color w:val="000000"/>
            <w:sz w:val="22"/>
          </w:rPr>
          <w:t>321.1(36D)</w:t>
        </w:r>
      </w:hyperlink>
      <w:r>
        <w:rPr>
          <w:rFonts w:ascii="Times New Roman" w:hAnsi="Times New Roman"/>
          <w:b w:val="false"/>
          <w:i/>
          <w:color w:val="000000"/>
          <w:sz w:val="22"/>
        </w:rPr>
        <w:t>“b,”</w:t>
      </w:r>
      <w:r>
        <w:rPr>
          <w:rFonts w:ascii="Times New Roman" w:hAnsi="Times New Roman"/>
          <w:b w:val="false"/>
          <w:i w:val="false"/>
          <w:color w:val="000000"/>
          <w:sz w:val="22"/>
        </w:rPr>
        <w:t xml:space="preserve"> means a vehicle without motive power used, manufactured, or constructed to permit its use as a conveyance upon the public streets and highways and designed to permit its use as a place of human habitation by one or more persons. The vehicle may be up to 8 feet, 6 inches in width and its overall length shall not exceed 45 feet. The vehicle shall be customarily or ordinarily used for vacation or recreational purposes and not used as a place of permanent habitation. If the vehicle is used in this state as a place of human habitation for more than 180 consecutive days in one location, the vehicle shall be classed as a manufactured or mobile home regardless of the size limitations provided in this definition.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5596C</w:t>
      </w:r>
      <w:r>
        <w:rPr>
          <w:rFonts w:ascii="Times New Roman" w:hAnsi="Times New Roman"/>
          <w:b w:val="false"/>
          <w:i w:val="false"/>
          <w:color w:val="000000"/>
          <w:sz w:val="16"/>
        </w:rPr>
        <w:t>, IAB 5/5/21, effective 7/1/21</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w:t>
      </w:r>
      <w:r>
        <w:rPr>
          <w:rFonts w:ascii="Times New Roman" w:hAnsi="Times New Roman"/>
          <w:b/>
          <w:i w:val="false"/>
          <w:color w:val="000000"/>
          <w:sz w:val="22"/>
        </w:rPr>
        <w:t xml:space="preserve">(29C)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Disaster declaration. </w:t>
      </w:r>
      <w:r>
        <w:rPr>
          <w:rFonts w:ascii="Times New Roman" w:hAnsi="Times New Roman"/>
          <w:b w:val="false"/>
          <w:i w:val="false"/>
          <w:color w:val="000000"/>
          <w:sz w:val="22"/>
        </w:rPr>
        <w:t>The Iowa individual assistance grant program (IIAGP) shall be implemented when the governor issues a declaration of a state of disaster emergency that authorizes individual assistance. The program shall be in effect only in those counties named in the declaration. Assistance shall be provided for a period not to exceed 120 days from the date of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Voucher system. </w:t>
      </w:r>
      <w:r>
        <w:rPr>
          <w:rFonts w:ascii="Times New Roman" w:hAnsi="Times New Roman"/>
          <w:b w:val="false"/>
          <w:i w:val="false"/>
          <w:color w:val="000000"/>
          <w:sz w:val="22"/>
        </w:rPr>
        <w:t>The IIAGP will be implemented through a reimbursement or voucher system. Reimbursement may include checks or gift cards provided to the applicant for replacement food or personal property only. The applicant must sign a promise to purchase replacement food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Program extensions.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may be extended beyond 120 days through an extension of the governor’s disaster proclamation;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may be extended in 30-day intervals requested by the applicant household through the contracted entity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9128B</w:t>
      </w:r>
      <w:r>
        <w:rPr>
          <w:rFonts w:ascii="Times New Roman" w:hAnsi="Times New Roman"/>
          <w:b w:val="false"/>
          <w:i w:val="false"/>
          <w:color w:val="000000"/>
          <w:sz w:val="16"/>
        </w:rPr>
        <w:t>, IAB 10/6/10,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9312B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w:t>
      </w:r>
      <w:r>
        <w:rPr>
          <w:rFonts w:ascii="Times New Roman" w:hAnsi="Times New Roman"/>
          <w:b/>
          <w:i w:val="false"/>
          <w:color w:val="000000"/>
          <w:sz w:val="22"/>
        </w:rPr>
        <w:t xml:space="preserve">(29C) </w:t>
      </w:r>
      <w:r>
        <w:rPr>
          <w:rFonts w:ascii="Times New Roman" w:hAnsi="Times New Roman"/>
          <w:b/>
          <w:i w:val="false"/>
          <w:color w:val="000000"/>
          <w:sz w:val="22"/>
        </w:rPr>
        <w:t xml:space="preserve">Application for assistance. </w:t>
      </w:r>
      <w:r>
        <w:rPr>
          <w:rFonts w:ascii="Times New Roman" w:hAnsi="Times New Roman"/>
          <w:b w:val="false"/>
          <w:i w:val="false"/>
          <w:color w:val="000000"/>
          <w:sz w:val="22"/>
        </w:rPr>
        <w:t>To request assistance for disaster-related expenses, the household shall complete Form 470-4448 and submit it within 45 days of the disaster declaration to the contracted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are available from an approved administrative entity, as well as the Internet website of the department at </w:t>
      </w:r>
      <w:hyperlink r:id="rId14">
        <w:r>
          <w:rPr>
            <w:rStyle w:val="Hyperlink"/>
            <w:rFonts w:ascii="Times New Roman" w:hAnsi="Times New Roman"/>
            <w:b w:val="false"/>
            <w:i w:val="false"/>
            <w:color w:val="000000"/>
            <w:sz w:val="22"/>
            <w:u w:val="single"/>
          </w:rPr>
          <w:t>www.homelandsecurity.iowa.gov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declaration of the household’s annual income, accompanied by a current pay stub, W-2 form, or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authorization to release confidential information to personnel involved in administering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certification of the accuracy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assurance that the household had no insurance coverage for claimed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commitment to refund any part of a grant awarded that is duplicated by insurance or by any other assistance program, such as but not limited to local community development groups and charities, the Small Business Administration, or the Federal Emergency Management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short, handwritten narrative of how the disaster event caused the claimed loss, including an itemized list of items damaged by the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a picture identification document for the adult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vehicle damage is claimed, current copies of the vehicle registration and liability insurance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application period may be extended beyond 45 days through an extension of the governor’s disaster proclamation. If the forty-fifth day falls on a Saturday, Sunday, or holiday, the deadline is moved to the following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9128B</w:t>
      </w:r>
      <w:r>
        <w:rPr>
          <w:rFonts w:ascii="Times New Roman" w:hAnsi="Times New Roman"/>
          <w:b w:val="false"/>
          <w:i w:val="false"/>
          <w:color w:val="000000"/>
          <w:sz w:val="16"/>
        </w:rPr>
        <w:t>, IAB 10/6/10,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9312B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605—11.4</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assistance, an applicant household must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household’s bona fide residence was located in the area identified in the disaster declaration during the designated incident period and the household verifies occupancy at that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Household members are citizens of the United States or are legally residing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household’s self-declared annual income is at or less than 200 percent of the federal poverty level for a household of that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Poverty guidelines are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income available to the household is counted, including wages, child support, interest from investments or bank accounts, social security benefits, and retirement income. Proof of income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The household has unmet disaster-related expenses or serious needs that are not covered by insurance. The applicant must provide claim documentation from the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The household has not previously received assistance from this program or another program for the same loss in the same disaster.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val="false"/>
          <w:color w:val="000000"/>
          <w:sz w:val="22"/>
        </w:rPr>
        <w:t>Household eligibility for home repair assistance for a dwelling or dwelling unit damaged due to a proclaimed disaster is only available for a household that owns and occupies the dwelling or dwelling unit being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will be denied if preexisting conditions are the cause of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rental dwellings, dwelling units, or landlord-owned equipment are excluded under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605—11.5</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Eligible categories of assistance. </w:t>
      </w:r>
      <w:r>
        <w:rPr>
          <w:rFonts w:ascii="Times New Roman" w:hAnsi="Times New Roman"/>
          <w:b w:val="false"/>
          <w:i w:val="false"/>
          <w:color w:val="000000"/>
          <w:sz w:val="22"/>
        </w:rPr>
        <w:t>Expenses eligible for grant funding shall be limited to personal property, food assistance, home repair and temporary housing and shall not exceed a total of $5,000. Assistance is available under the program for the following disaster-related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Personal property and food assistance may be issued for damage to personal property or food replacement. Eligible items for personal property assistance may include but are not limited to the following items, based on the item’s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Appliances or equipment,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household appliances,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Microwaves,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Dehumidifiers,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Window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Large household appliances, if the appliance is owned by the household and not a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Outdoor equipment,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Lawn mowers,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Snow blowers.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Personal hygiene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Basic household items,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Furnishings (e.g., tables, chairs, dressers, couches, end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Beds (e.g., mattresses, bedding),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Curtains or window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 or booster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Strollers,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Storage totes,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Televisions,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Laptop or desktop computers,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Area 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Short-term transportation, such as bus 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Debris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Vehicle repair or replacement, if a total loss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personal property items, as determined by the department, in order to assist the household in making the dwelling or dwelling unit safe, sanitary, and secure.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Home repair assistance may be issued for home repair for an owner-occupied dwelling or dwelling unit as needed to make the dwelling or dwelling unit safe, sanitary, and secure, up to a maximum of $5,000.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Assistance will be denied if preexisting conditions are the cause of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Repairs to rental dwellings or dwelling units or landlord-owned equipment are excluded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may be authorized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repair of structural components, such as the foundation and 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repair of floors, walls, ceilings, doors, windows, and carpeting of essential interior living space that was occupied at the time of the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Mitigation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Debris removal, including trees.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Bathroom, including toilet, sink, and tub/shower.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Sump pump installation (in a flood event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Electrical or mechanical repairs.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Air-conditioning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Water well repair for dwellings or dwelling units with no other source of water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Water softener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Temporary housing assistance may be issued to a household for lodging at a licensed establishment, such as a hotel or motel. The household’s home must be considered to be destroyed, uninhabitable, inaccessible, or unavailable to the household. Total temporary housing assistance may not exceed $5,000 and is included as part of disaster assistance.</w:t>
      </w:r>
    </w:p>
    <w:p>
      <w:pPr>
        <w:spacing w:before="0" w:after="0"/>
        <w:ind w:left="120"/>
        <w:jc w:val="both"/>
      </w:pPr>
      <w:r>
        <w:rPr>
          <w:rFonts w:ascii="Times New Roman" w:hAnsi="Times New Roman"/>
          <w:b w:val="false"/>
          <w:i w:val="false"/>
          <w:color w:val="000000"/>
          <w:sz w:val="22"/>
        </w:rPr>
        <w:t>Temporary housing assistance may also be granted for rental unit application fees, deposits, and first month’s rent for a new dwelling.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Replacement, repair, or provision of other items of necessity may be approved by the department on a case-by-case basis, up to a maximum of $5,000.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605—11.6</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determination and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The contracted entity or designee shall confirm that the bona fide address provided on the application is a valid address and is reasonably believed to be in the disaster-affected area. The department or contracted entity reserves the right to view the damaged property prior to providing any assistance pursuant to IIAGP.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Designated staff in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 applicants’ names and addresses as reports are submitted by the administrative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 review, and provide timely submission of invoices by the administrative entity for payment and shall process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For applications with a voucher or reimbursement request, the department or its designee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eligibility and the amount of payment within the rules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the applicant household of the eligibility decision in accordance with notice requirements in </w:t>
      </w:r>
      <w:hyperlink r:id="rId15">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vouchers to an eligible household to purchase needed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vendors for goods and services purchased with vouchers.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9128B</w:t>
      </w:r>
      <w:r>
        <w:rPr>
          <w:rFonts w:ascii="Times New Roman" w:hAnsi="Times New Roman"/>
          <w:b w:val="false"/>
          <w:i w:val="false"/>
          <w:color w:val="000000"/>
          <w:sz w:val="16"/>
        </w:rPr>
        <w:t>, IAB 10/6/10,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9312B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605—11.7</w:t>
      </w:r>
      <w:r>
        <w:rPr>
          <w:rFonts w:ascii="Times New Roman" w:hAnsi="Times New Roman"/>
          <w:b/>
          <w:i w:val="false"/>
          <w:color w:val="000000"/>
          <w:sz w:val="22"/>
        </w:rPr>
        <w:t xml:space="preserve">(29C)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may request reconsideration of decisions regarding eligibility and the amount of assistance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request reconsideration, the household shall submit a written request to the Iowa Department of Homeland Security and Emergency Management, 7900 Hickman Road, Windsor Heights, Iowa 50324, within 30 days of the date of the letter notifying the household of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any additional evidence or documentation submitted and issue a reconsideration decision within 30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household may appeal the department’s reconsideration decision according to procedures in </w:t>
      </w:r>
      <w:hyperlink r:id="rId1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must be submitted in writing to the Iowa Department of Homeland Security and Emergency Management, 7900 Hickman Road, Windsor Heights, Iowa 50324, within 30 days of the date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appeal is filed on the date the envelope sent to the department is postmarked or, when the postmarked envelope is not available, on the date the appeal is stamped received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9312B</w:t>
      </w:r>
      <w:r>
        <w:rPr>
          <w:rFonts w:ascii="Times New Roman" w:hAnsi="Times New Roman"/>
          <w:b w:val="false"/>
          <w:i w:val="false"/>
          <w:color w:val="000000"/>
          <w:sz w:val="16"/>
        </w:rPr>
        <w:t>, IAB 12/29/10, effective 3/1/11</w:t>
      </w:r>
      <w:r>
        <w:rPr>
          <w:rFonts w:ascii="Times New Roman" w:hAnsi="Times New Roman"/>
          <w:b w:val="false"/>
          <w:i w:val="false"/>
          <w:color w:val="000000"/>
          <w:sz w:val="16"/>
        </w:rPr>
        <w:t xml:space="preserve">; </w:t>
      </w:r>
      <w:r>
        <w:rPr>
          <w:rFonts w:ascii="Times New Roman" w:hAnsi="Times New Roman"/>
          <w:b/>
          <w:i w:val="false"/>
          <w:color w:val="000000"/>
          <w:sz w:val="16"/>
        </w:rPr>
        <w:t>ARC 1353C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605—11.8</w:t>
      </w:r>
      <w:r>
        <w:rPr>
          <w:rFonts w:ascii="Times New Roman" w:hAnsi="Times New Roman"/>
          <w:b/>
          <w:i w:val="false"/>
          <w:color w:val="000000"/>
          <w:sz w:val="22"/>
        </w:rPr>
        <w:t xml:space="preserve">(29C) </w:t>
      </w:r>
      <w:r>
        <w:rPr>
          <w:rFonts w:ascii="Times New Roman" w:hAnsi="Times New Roman"/>
          <w:b/>
          <w:i w:val="false"/>
          <w:color w:val="000000"/>
          <w:sz w:val="22"/>
        </w:rPr>
        <w:t xml:space="preserve">Discontinuance of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Deferral to federal assistance. </w:t>
      </w:r>
      <w:r>
        <w:rPr>
          <w:rFonts w:ascii="Times New Roman" w:hAnsi="Times New Roman"/>
          <w:b w:val="false"/>
          <w:i w:val="false"/>
          <w:color w:val="000000"/>
          <w:sz w:val="22"/>
        </w:rPr>
        <w:t xml:space="preserve">Upon declaration of a disaster by the President of the United States under the Robert T. Stafford Disaster Relief and Emergency Assistance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Sections 5121 to 5207, the Iowa individual assistance grant program administered under this chapter shall be discontinued in the geographic area designated by the federal individual assistance program. Upon issuance of the presidential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applications shall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applications that are in process but are not yet approved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seeking assistance under this program shall be advised to apply for federal disaster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Exhaustion of funds. </w:t>
      </w:r>
      <w:r>
        <w:rPr>
          <w:rFonts w:ascii="Times New Roman" w:hAnsi="Times New Roman"/>
          <w:b w:val="false"/>
          <w:i w:val="false"/>
          <w:color w:val="000000"/>
          <w:sz w:val="22"/>
        </w:rPr>
        <w:t>The program shall be discontinued when funds available for the program have been exhausted. To ensure equitable treatment, applications for assistance shall be approved on a first-come, first-served basis until all funds have been depleted. “First-come, first-served” is determined by the date the application is approved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Partial payment. </w:t>
      </w:r>
      <w:r>
        <w:rPr>
          <w:rFonts w:ascii="Times New Roman" w:hAnsi="Times New Roman"/>
          <w:b w:val="false"/>
          <w:i w:val="false"/>
          <w:color w:val="000000"/>
          <w:sz w:val="22"/>
        </w:rPr>
        <w:t>Because funds are limited, applications may be approved for less than the amount requested. Payment cannot be approved beyond the amount of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Reserved funds. </w:t>
      </w:r>
      <w:r>
        <w:rPr>
          <w:rFonts w:ascii="Times New Roman" w:hAnsi="Times New Roman"/>
          <w:b w:val="false"/>
          <w:i w:val="false"/>
          <w:color w:val="000000"/>
          <w:sz w:val="22"/>
        </w:rPr>
        <w:t>A portion of allocated funds shall be reserved for final appeal decisions reversing the department’s denial that are received after funds for the program have been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Untimely applications. </w:t>
      </w:r>
      <w:r>
        <w:rPr>
          <w:rFonts w:ascii="Times New Roman" w:hAnsi="Times New Roman"/>
          <w:b w:val="false"/>
          <w:i w:val="false"/>
          <w:color w:val="000000"/>
          <w:sz w:val="22"/>
        </w:rPr>
        <w:t>Applications received after the program is discontinued shall be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605—11.9</w:t>
      </w:r>
      <w:r>
        <w:rPr>
          <w:rFonts w:ascii="Times New Roman" w:hAnsi="Times New Roman"/>
          <w:b w:val="false"/>
          <w:i w:val="false"/>
          <w:color w:val="000000"/>
          <w:sz w:val="22"/>
        </w:rPr>
        <w:t xml:space="preserve"> to </w:t>
      </w:r>
      <w:r>
        <w:rPr>
          <w:rFonts w:ascii="Times New Roman" w:hAnsi="Times New Roman"/>
          <w:b/>
          <w:i w:val="false"/>
          <w:color w:val="000000"/>
          <w:sz w:val="22"/>
        </w:rPr>
        <w:t>11.20</w:t>
      </w:r>
      <w:r>
        <w:rPr>
          <w:rFonts w:ascii="Times New Roman" w:hAnsi="Times New Roman"/>
          <w:b w:val="false"/>
          <w:i w:val="false"/>
          <w:color w:val="000000"/>
          <w:sz w:val="22"/>
        </w:rPr>
        <w:t>Reserved.</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18">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IOWA DISASTER CASE ADVOCACY</w:t>
      </w:r>
    </w:p>
    <w:p>
      <w:pPr>
        <w:spacing w:before="0" w:after="0"/>
        <w:ind w:left="120"/>
        <w:jc w:val="both"/>
      </w:pPr>
      <w:r>
        <w:rPr>
          <w:rFonts w:ascii="Times New Roman" w:hAnsi="Times New Roman"/>
          <w:b/>
          <w:i w:val="false"/>
          <w:color w:val="000000"/>
          <w:sz w:val="22"/>
        </w:rPr>
        <w:t>605—11.21</w:t>
      </w:r>
      <w:r>
        <w:rPr>
          <w:rFonts w:ascii="Times New Roman" w:hAnsi="Times New Roman"/>
          <w:b/>
          <w:i w:val="false"/>
          <w:color w:val="000000"/>
          <w:sz w:val="22"/>
        </w:rPr>
        <w:t xml:space="preserve">(29C)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these rules is to guide the provision of the Iowa disaster case advocacy (IDCA) program during the time of emergency disaster for individual assistance when a disaster is proclaimed by the governor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605—11.22</w:t>
      </w:r>
      <w:r>
        <w:rPr>
          <w:rFonts w:ascii="Times New Roman" w:hAnsi="Times New Roman"/>
          <w:b/>
          <w:i w:val="false"/>
          <w:color w:val="000000"/>
          <w:sz w:val="22"/>
        </w:rPr>
        <w:t xml:space="preserve">(29C)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“Contracted entity” </w:t>
      </w:r>
      <w:r>
        <w:rPr>
          <w:rFonts w:ascii="Times New Roman" w:hAnsi="Times New Roman"/>
          <w:b w:val="false"/>
          <w:i w:val="false"/>
          <w:color w:val="000000"/>
          <w:sz w:val="22"/>
        </w:rPr>
        <w:t>means an entity chosen by the department as the contracted administrator for the IDCA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management coordinator” </w:t>
      </w:r>
      <w:r>
        <w:rPr>
          <w:rFonts w:ascii="Times New Roman" w:hAnsi="Times New Roman"/>
          <w:b w:val="false"/>
          <w:i w:val="false"/>
          <w:color w:val="000000"/>
          <w:sz w:val="22"/>
        </w:rPr>
        <w:t xml:space="preserve">means the person appointed by the local emergency management commission pursuant to Iowa Code sections </w:t>
      </w:r>
      <w:hyperlink r:id="rId19">
        <w:r>
          <w:rPr>
            <w:rStyle w:val="Hyperlink"/>
            <w:rFonts w:ascii="Times New Roman" w:hAnsi="Times New Roman"/>
            <w:b w:val="false"/>
            <w:i w:val="false"/>
            <w:color w:val="000000"/>
            <w:sz w:val="22"/>
          </w:rPr>
          <w:t>29C.9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29C.10</w:t>
        </w:r>
      </w:hyperlink>
      <w:r>
        <w:rPr>
          <w:rFonts w:ascii="Times New Roman" w:hAnsi="Times New Roman"/>
          <w:b w:val="false"/>
          <w:i w:val="false"/>
          <w:color w:val="000000"/>
          <w:sz w:val="22"/>
        </w:rPr>
        <w:t xml:space="preserve"> to be responsible for development of the countywide emergency operations plan and for coordination and assistance to government officials when an emergency or disaster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w:t>
      </w:r>
      <w:r>
        <w:rPr>
          <w:rFonts w:ascii="Times New Roman" w:hAnsi="Times New Roman"/>
          <w:b w:val="false"/>
          <w:i w:val="false"/>
          <w:color w:val="000000"/>
          <w:sz w:val="22"/>
        </w:rPr>
        <w:t>means all adults and children who lived in the pre-disaster residence who request assistance, as well as any persons, such as infants, spouses, or part-time residents, who were not present at the time of the disaster but who are expected to return during the assistance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services” </w:t>
      </w:r>
      <w:r>
        <w:rPr>
          <w:rFonts w:ascii="Times New Roman" w:hAnsi="Times New Roman"/>
          <w:b w:val="false"/>
          <w:i w:val="false"/>
          <w:color w:val="000000"/>
          <w:sz w:val="22"/>
        </w:rPr>
        <w:t>means the guidance and advice in obtaining a service, or assistance in obtaining resources from various providers for any other activity that addresses a serious 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605—11.23</w:t>
      </w:r>
      <w:r>
        <w:rPr>
          <w:rFonts w:ascii="Times New Roman" w:hAnsi="Times New Roman"/>
          <w:b/>
          <w:i w:val="false"/>
          <w:color w:val="000000"/>
          <w:sz w:val="22"/>
        </w:rPr>
        <w:t xml:space="preserve">(29C) </w:t>
      </w:r>
      <w:r>
        <w:rPr>
          <w:rFonts w:ascii="Times New Roman" w:hAnsi="Times New Roman"/>
          <w:b/>
          <w:i w:val="false"/>
          <w:color w:val="000000"/>
          <w:sz w:val="22"/>
        </w:rPr>
        <w:t xml:space="preserve">Program implementation.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color w:val="000000"/>
          <w:sz w:val="22"/>
        </w:rPr>
        <w:t xml:space="preserve">Disaster proclamation. </w:t>
      </w:r>
      <w:r>
        <w:rPr>
          <w:rFonts w:ascii="Times New Roman" w:hAnsi="Times New Roman"/>
          <w:b w:val="false"/>
          <w:i w:val="false"/>
          <w:color w:val="000000"/>
          <w:sz w:val="22"/>
        </w:rPr>
        <w:t xml:space="preserve">The Iowa disaster case advocacy (IDCA) program shall be implemented when the governor issues a proclamation of a state of emergency disaster that authorizes individual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be in effect only in those counties named in the proclamation.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shall commence on the day following the governor’s disaster proclamation and shall be provided for a period of up to 180 days from the date of proclamation.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may be extended in intervals up to 90 days when adequate justification is presented to the department, but not to exceed 730 days from the date of the proclamation.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disaster transforms to become a presidentially declared disaster and a Federal Emergency Management Agency (FEMA) disaster case management (DCM) grant is approved, then assistance may be provided for a period of up to 24 months from the date of the proclamation.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reporting of the numbers of contacts, cases opened, cases pending, cases closed, and other required reports requested by the department shall be submitted with a frequency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Audits of disaster case files, as well as cost management and expenditures, may be randomly performed by the department without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color w:val="000000"/>
          <w:sz w:val="22"/>
        </w:rPr>
        <w:t xml:space="preserve">Contracting. </w:t>
      </w:r>
      <w:r>
        <w:rPr>
          <w:rFonts w:ascii="Times New Roman" w:hAnsi="Times New Roman"/>
          <w:b w:val="false"/>
          <w:i w:val="false"/>
          <w:color w:val="000000"/>
          <w:sz w:val="22"/>
        </w:rPr>
        <w:t xml:space="preserve">The administrative entity currently under contract for the Iowa disaster aid individual assistance grant program (IIAGP) shall receive an amended contract to specify administration of the IDCA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Future contract renewals shall be inclusive with the IIAGP and as amended to include the IDCA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local contracted entity is under contract with the state to provide other services or is implementing a state or federal program and the contract contains a sufficient surety bond or other adequate financial responsibility provision, the department shall accept the existing surety bond or financial responsibility provisions in lieu of applying a new or additional surety bond or financial responsibility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coordinate activities with emergency management coordinators and voluntary organizations active in the disaster while the program is active. The contracted entity may subcontract with other entities to provide disaster case advocacy with the approval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605—11.24</w:t>
      </w:r>
      <w:r>
        <w:rPr>
          <w:rFonts w:ascii="Times New Roman" w:hAnsi="Times New Roman"/>
          <w:b/>
          <w:i w:val="false"/>
          <w:color w:val="000000"/>
          <w:sz w:val="22"/>
        </w:rPr>
        <w:t xml:space="preserve">(29C)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To be eligible for assistance, an applicant household must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household’s residence was located in the area identified in the disaster proclamation during the designated incident period and the household verifies occupancy at that residence.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val="false"/>
          <w:color w:val="000000"/>
          <w:sz w:val="22"/>
        </w:rPr>
        <w:t>Household members are citizens of the United States or are legally residing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household has disaster-related needs that represent a burden that the family is unable to resolve.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605—11.25</w:t>
      </w:r>
      <w:r>
        <w:rPr>
          <w:rFonts w:ascii="Times New Roman" w:hAnsi="Times New Roman"/>
          <w:b/>
          <w:i w:val="false"/>
          <w:color w:val="000000"/>
          <w:sz w:val="22"/>
        </w:rPr>
        <w:t xml:space="preserve">(29C) </w:t>
      </w:r>
      <w:r>
        <w:rPr>
          <w:rFonts w:ascii="Times New Roman" w:hAnsi="Times New Roman"/>
          <w:b/>
          <w:i w:val="false"/>
          <w:color w:val="000000"/>
          <w:sz w:val="22"/>
        </w:rPr>
        <w:t xml:space="preserve">Services. </w:t>
      </w:r>
      <w:r>
        <w:rPr>
          <w:rFonts w:ascii="Times New Roman" w:hAnsi="Times New Roman"/>
          <w:b w:val="false"/>
          <w:i w:val="false"/>
          <w:color w:val="000000"/>
          <w:sz w:val="22"/>
        </w:rPr>
        <w:t xml:space="preserve">Disaster case advocacy is a time-limited resource and process that involves a partnership between a case manager and a household impacted by a disaster (also known as a client) to develop and carry out a disaster recovery plan. This partnership provides the client with a single point of contact to facilitate access to a broad range of resources, promoting sustainable assistance for individuals and a household’s recovery. These services are client-focused and provided in a manner consistent with standards for trauma-informed practice in human services.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605—11.26</w:t>
      </w:r>
      <w:r>
        <w:rPr>
          <w:rFonts w:ascii="Times New Roman" w:hAnsi="Times New Roman"/>
          <w:b/>
          <w:i w:val="false"/>
          <w:color w:val="000000"/>
          <w:sz w:val="22"/>
        </w:rPr>
        <w:t xml:space="preserve">(29C) </w:t>
      </w:r>
      <w:r>
        <w:rPr>
          <w:rFonts w:ascii="Times New Roman" w:hAnsi="Times New Roman"/>
          <w:b/>
          <w:i w:val="false"/>
          <w:color w:val="000000"/>
          <w:sz w:val="22"/>
        </w:rPr>
        <w:t xml:space="preserve">Disaster-caused unmet needs. </w:t>
      </w:r>
      <w:r>
        <w:rPr>
          <w:rFonts w:ascii="Times New Roman" w:hAnsi="Times New Roman"/>
          <w:b w:val="false"/>
          <w:i w:val="false"/>
          <w:color w:val="000000"/>
          <w:sz w:val="22"/>
        </w:rPr>
        <w:t xml:space="preserve">A disaster-caused unmet need is an unresourced item, support, or assistance that has been assessed by a representative from a local, state, tribal, federal agency, voluntary, or faith-based organization and that is needed for the client to recover from the disaster. Unmet disaster-caused needs may also include basic and immediate needs, such as food, clothing, shelter, or first aid, and long-term needs, such as financial, physical, emotional or spiritual well-being.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605—11.27</w:t>
      </w:r>
      <w:r>
        <w:rPr>
          <w:rFonts w:ascii="Times New Roman" w:hAnsi="Times New Roman"/>
          <w:b/>
          <w:i w:val="false"/>
          <w:color w:val="000000"/>
          <w:sz w:val="22"/>
        </w:rPr>
        <w:t xml:space="preserve">(29C) </w:t>
      </w:r>
      <w:r>
        <w:rPr>
          <w:rFonts w:ascii="Times New Roman" w:hAnsi="Times New Roman"/>
          <w:b/>
          <w:i w:val="false"/>
          <w:color w:val="000000"/>
          <w:sz w:val="22"/>
        </w:rPr>
        <w:t xml:space="preserve">Resources. </w:t>
      </w:r>
      <w:r>
        <w:rPr>
          <w:rFonts w:ascii="Times New Roman" w:hAnsi="Times New Roman"/>
          <w:b w:val="false"/>
          <w:i w:val="false"/>
          <w:color w:val="000000"/>
          <w:sz w:val="22"/>
        </w:rPr>
        <w:t xml:space="preserve">Applicable resources may include, but not be limited to, insurance payments, state assistance, voluntary/faith-based and local community assistance, federal disaster assistance, small business administration loans, and personal resources.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605—11.28</w:t>
      </w:r>
      <w:r>
        <w:rPr>
          <w:rFonts w:ascii="Times New Roman" w:hAnsi="Times New Roman"/>
          <w:b/>
          <w:i w:val="false"/>
          <w:color w:val="000000"/>
          <w:sz w:val="22"/>
        </w:rPr>
        <w:t xml:space="preserve">(29C) </w:t>
      </w:r>
      <w:r>
        <w:rPr>
          <w:rFonts w:ascii="Times New Roman" w:hAnsi="Times New Roman"/>
          <w:b/>
          <w:i w:val="false"/>
          <w:color w:val="000000"/>
          <w:sz w:val="22"/>
        </w:rPr>
        <w:t xml:space="preserve">Standards and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The contracted entity shall provide clients with ease of access to disaster case advocacy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duplications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have policies and procedures to meet requirements regarding maintaining confidentiality set forth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contracted entity shall develop memorandums of agreement, memorandums of understanding, and release of information that will allow coordinated case advocacy and services and prevent the duplication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11.28(3)</w:t>
      </w:r>
      <w:r>
        <w:rPr>
          <w:rFonts w:ascii="Times New Roman" w:hAnsi="Times New Roman"/>
          <w:b w:val="false"/>
          <w:i w:val="false"/>
          <w:color w:val="000000"/>
          <w:sz w:val="22"/>
        </w:rPr>
        <w:t> </w:t>
      </w:r>
      <w:r>
        <w:rPr>
          <w:rFonts w:ascii="Times New Roman" w:hAnsi="Times New Roman"/>
          <w:b w:val="false"/>
          <w:i/>
          <w:color w:val="000000"/>
          <w:sz w:val="22"/>
        </w:rPr>
        <w:t xml:space="preserve">Engagement. </w:t>
      </w:r>
      <w:r>
        <w:rPr>
          <w:rFonts w:ascii="Times New Roman" w:hAnsi="Times New Roman"/>
          <w:b w:val="false"/>
          <w:i w:val="false"/>
          <w:color w:val="000000"/>
          <w:sz w:val="22"/>
        </w:rPr>
        <w:t>The case manager shall create a sustainable, trusting partnership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11.28(4)</w:t>
      </w: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The case manager shall perform screening to determine eligibility and disaster-related unmet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11.28(5)</w:t>
      </w:r>
      <w:r>
        <w:rPr>
          <w:rFonts w:ascii="Times New Roman" w:hAnsi="Times New Roman"/>
          <w:b w:val="false"/>
          <w:i w:val="false"/>
          <w:color w:val="000000"/>
          <w:sz w:val="22"/>
        </w:rPr>
        <w:t> </w:t>
      </w:r>
      <w:r>
        <w:rPr>
          <w:rFonts w:ascii="Times New Roman" w:hAnsi="Times New Roman"/>
          <w:b w:val="false"/>
          <w:i/>
          <w:color w:val="000000"/>
          <w:sz w:val="22"/>
        </w:rPr>
        <w:t xml:space="preserve">Intake and assessment. </w:t>
      </w:r>
      <w:r>
        <w:rPr>
          <w:rFonts w:ascii="Times New Roman" w:hAnsi="Times New Roman"/>
          <w:b w:val="false"/>
          <w:i w:val="false"/>
          <w:color w:val="000000"/>
          <w:sz w:val="22"/>
        </w:rPr>
        <w:t>The case manager shall perform intake and assessment procedures to triage disaster-related needs of eligible households.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case manager shall conduct an assessment specifically seeking targeted information to identify a client’s disaster-related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assessment should focus on planning for recovery and meeting recovery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assessment should be conducted in person, when feasible, and should follow all standards for confidentiality and engagement.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11.28(6)</w:t>
      </w:r>
      <w:r>
        <w:rPr>
          <w:rFonts w:ascii="Times New Roman" w:hAnsi="Times New Roman"/>
          <w:b w:val="false"/>
          <w:i w:val="false"/>
          <w:color w:val="000000"/>
          <w:sz w:val="22"/>
        </w:rPr>
        <w:t> </w:t>
      </w:r>
      <w:r>
        <w:rPr>
          <w:rFonts w:ascii="Times New Roman" w:hAnsi="Times New Roman"/>
          <w:b w:val="false"/>
          <w:i/>
          <w:color w:val="000000"/>
          <w:sz w:val="22"/>
        </w:rPr>
        <w:t xml:space="preserve">Recovery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recovery plan should outline tasks for both the client and case manager based on an assessment and documentation of needed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should identify priority needs and connect the client with resources, establish benchmarks and goals to measure progress toward recovery, and outline a case closure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should be a joint effort between the case manager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case manager should explain the available options, the resource and recovery alternatives, and the support services offered by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11.28(7)</w:t>
      </w:r>
      <w:r>
        <w:rPr>
          <w:rFonts w:ascii="Times New Roman" w:hAnsi="Times New Roman"/>
          <w:b w:val="false"/>
          <w:i w:val="false"/>
          <w:color w:val="000000"/>
          <w:sz w:val="22"/>
        </w:rPr>
        <w:t> </w:t>
      </w:r>
      <w:r>
        <w:rPr>
          <w:rFonts w:ascii="Times New Roman" w:hAnsi="Times New Roman"/>
          <w:b w:val="false"/>
          <w:i/>
          <w:color w:val="000000"/>
          <w:sz w:val="22"/>
        </w:rPr>
        <w:t xml:space="preserve">Action and advocacy. </w:t>
      </w:r>
      <w:r>
        <w:rPr>
          <w:rFonts w:ascii="Times New Roman" w:hAnsi="Times New Roman"/>
          <w:b w:val="false"/>
          <w:i w:val="false"/>
          <w:color w:val="000000"/>
          <w:sz w:val="22"/>
        </w:rPr>
        <w:t>The case manager’s role in recovery includes: providing, referring or arranging for needed services and resources; verifying unmet needs, completing documentation and checking duplication of benefits; and actively advocating for the client through presentation, participation in recovery groups and interface with government and nongovernment resource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11.28(8)</w:t>
      </w: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Monitoring the services allows the case manager to keep documents up to date, to determine if the chosen resources are providing the services needed, and to evaluate whether adjustments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11.28(9)</w:t>
      </w:r>
      <w:r>
        <w:rPr>
          <w:rFonts w:ascii="Times New Roman" w:hAnsi="Times New Roman"/>
          <w:b w:val="false"/>
          <w:i w:val="false"/>
          <w:color w:val="000000"/>
          <w:sz w:val="22"/>
        </w:rPr>
        <w:t> </w:t>
      </w:r>
      <w:r>
        <w:rPr>
          <w:rFonts w:ascii="Times New Roman" w:hAnsi="Times New Roman"/>
          <w:b w:val="false"/>
          <w:i/>
          <w:color w:val="000000"/>
          <w:sz w:val="22"/>
        </w:rPr>
        <w:t xml:space="preserve">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Closure procedures should be outlined in the recovery plan and the roles and responsibilities of the client and case manager clearly defined.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closure acknowledges the recovery goals achieved, recognizes the progress made toward unmet goals, and identifies needed resources to continue progress.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605—11.29</w:t>
      </w:r>
      <w:r>
        <w:rPr>
          <w:rFonts w:ascii="Times New Roman" w:hAnsi="Times New Roman"/>
          <w:b/>
          <w:i w:val="false"/>
          <w:color w:val="000000"/>
          <w:sz w:val="22"/>
        </w:rPr>
        <w:t xml:space="preserve">(29C) </w:t>
      </w:r>
      <w:r>
        <w:rPr>
          <w:rFonts w:ascii="Times New Roman" w:hAnsi="Times New Roman"/>
          <w:b/>
          <w:i w:val="false"/>
          <w:color w:val="000000"/>
          <w:sz w:val="22"/>
        </w:rPr>
        <w:t xml:space="preserve">Planning and training. </w:t>
      </w:r>
      <w:r>
        <w:rPr>
          <w:rFonts w:ascii="Times New Roman" w:hAnsi="Times New Roman"/>
          <w:b w:val="false"/>
          <w:i w:val="false"/>
          <w:color w:val="000000"/>
          <w:sz w:val="22"/>
        </w:rPr>
        <w:t xml:space="preserve">Training shall adhere to the disaster case management criteria, as prescribed by the federal Administration for Children and Families, and follow the disaster case advocacy guidelines as designed by the Iowa disaster human resource council or the approved rules of the department. The department shall request from the executive council of the state of Iowa funds to perform training in disaster case advocacy as requested and required to prepare for disaster response.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605—11.30</w:t>
      </w:r>
      <w:r>
        <w:rPr>
          <w:rFonts w:ascii="Times New Roman" w:hAnsi="Times New Roman"/>
          <w:b/>
          <w:i w:val="false"/>
          <w:color w:val="000000"/>
          <w:sz w:val="22"/>
        </w:rPr>
        <w:t xml:space="preserve">(29C) </w:t>
      </w:r>
      <w:r>
        <w:rPr>
          <w:rFonts w:ascii="Times New Roman" w:hAnsi="Times New Roman"/>
          <w:b/>
          <w:i w:val="false"/>
          <w:color w:val="000000"/>
          <w:sz w:val="22"/>
        </w:rPr>
        <w:t xml:space="preserve">Payment for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11.30(1)</w:t>
      </w:r>
      <w:r>
        <w:rPr>
          <w:rFonts w:ascii="Times New Roman" w:hAnsi="Times New Roman"/>
          <w:b w:val="false"/>
          <w:i w:val="false"/>
          <w:color w:val="000000"/>
          <w:sz w:val="22"/>
        </w:rPr>
        <w:t> </w:t>
      </w:r>
      <w:r>
        <w:rPr>
          <w:rFonts w:ascii="Times New Roman" w:hAnsi="Times New Roman"/>
          <w:b w:val="false"/>
          <w:i w:val="false"/>
          <w:color w:val="000000"/>
          <w:sz w:val="22"/>
        </w:rPr>
        <w:t>The department will negotiate payment with the contracted entity when the contract is established. Payment will be based on the contracted entity’s actual direct and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11.30(2)</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the contracted entity’s federally approved indirect cost rates as required by the federal Office of Management and Budget (OMB).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11.30(3)</w:t>
      </w:r>
      <w:r>
        <w:rPr>
          <w:rFonts w:ascii="Times New Roman" w:hAnsi="Times New Roman"/>
          <w:b w:val="false"/>
          <w:i w:val="false"/>
          <w:color w:val="000000"/>
          <w:sz w:val="22"/>
        </w:rPr>
        <w:t> </w:t>
      </w:r>
      <w:r>
        <w:rPr>
          <w:rFonts w:ascii="Times New Roman" w:hAnsi="Times New Roman"/>
          <w:b w:val="false"/>
          <w:i w:val="false"/>
          <w:color w:val="000000"/>
          <w:sz w:val="22"/>
        </w:rPr>
        <w:t>The local administrative entity may draw down grant funding to pay valid claims on at least a weekly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11.30(4)</w:t>
      </w:r>
      <w:r>
        <w:rPr>
          <w:rFonts w:ascii="Times New Roman" w:hAnsi="Times New Roman"/>
          <w:b w:val="false"/>
          <w:i w:val="false"/>
          <w:color w:val="000000"/>
          <w:sz w:val="22"/>
        </w:rPr>
        <w:t> </w:t>
      </w:r>
      <w:r>
        <w:rPr>
          <w:rFonts w:ascii="Times New Roman" w:hAnsi="Times New Roman"/>
          <w:b w:val="false"/>
          <w:i w:val="false"/>
          <w:color w:val="000000"/>
          <w:sz w:val="22"/>
        </w:rPr>
        <w:t xml:space="preserve">Exhaustion of funds. The program shall be discontinued when the funds available for the program have been exhausted. The department will notify the contracted entity of the total available funds for the IDCA program once funds have been approved by the executive council. To ensure equitable treatment, assistance shall be approved on a first-come, first-served basis until all funds have been exhausted.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605—11.31</w:t>
      </w:r>
      <w:r>
        <w:rPr>
          <w:rFonts w:ascii="Times New Roman" w:hAnsi="Times New Roman"/>
          <w:b/>
          <w:i w:val="false"/>
          <w:color w:val="000000"/>
          <w:sz w:val="22"/>
        </w:rPr>
        <w:t xml:space="preserve">(29C)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may request reconsideration of decisions regarding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request reconsideration, the household shall submit a written request to the Iowa Department of Homeland Security and Emergency Management, 7900 Hickman Road, Windsor Heights, Iowa 50324, within 30 days of the date of the letter notifying the household of the contracted entity’s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any additional evidence or documentation submitted and issue a reconsideration decision within 30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The household may appeal the department’s reconsideration decision according to procedures in </w:t>
      </w:r>
      <w:hyperlink r:id="rId2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must be submitted in writing to the Iowa Department of Homeland Security and Emergency Management, 7900 Hickman Road, Windsor Heights, Iowa 50324, within 30 days of the date of the reconsideration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appeal is filed on the date the envelope sent to the department is postmarked or, when the postmarked envelope is not available, on the date the appeal is stamped received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3058C</w:t>
      </w:r>
      <w:r>
        <w:rPr>
          <w:rFonts w:ascii="Times New Roman" w:hAnsi="Times New Roman"/>
          <w:b w:val="false"/>
          <w:i w:val="false"/>
          <w:color w:val="000000"/>
          <w:sz w:val="16"/>
        </w:rPr>
        <w:t>, IAB 5/10/17,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6850C</w:t>
      </w:r>
      <w:r>
        <w:rPr>
          <w:rFonts w:ascii="Times New Roman" w:hAnsi="Times New Roman"/>
          <w:b w:val="false"/>
          <w:i w:val="false"/>
          <w:color w:val="000000"/>
          <w:sz w:val="16"/>
        </w:rPr>
        <w:t>, IAB 2/8/23, effective 4/1/23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29C.20B</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605—11.32</w:t>
      </w:r>
      <w:r>
        <w:rPr>
          <w:rFonts w:ascii="Times New Roman" w:hAnsi="Times New Roman"/>
          <w:b w:val="false"/>
          <w:i w:val="false"/>
          <w:color w:val="000000"/>
          <w:sz w:val="22"/>
        </w:rPr>
        <w:t xml:space="preserve"> to </w:t>
      </w:r>
      <w:r>
        <w:rPr>
          <w:rFonts w:ascii="Times New Roman" w:hAnsi="Times New Roman"/>
          <w:b/>
          <w:i w:val="false"/>
          <w:color w:val="000000"/>
          <w:sz w:val="22"/>
        </w:rPr>
        <w:t>11.40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TEMPORARY MEASURES RELATED TO DISASTERS</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5/10/17</w:t>
      </w:r>
      <w:r>
        <w:rPr>
          <w:rFonts w:ascii="Times New Roman" w:hAnsi="Times New Roman"/>
          <w:b w:val="false"/>
          <w:i w:val="false"/>
          <w:color w:val="000000"/>
          <w:sz w:val="22"/>
        </w:rPr>
        <w:t>, effective 7/1/17</w:t>
      </w:r>
    </w:p>
    <w:p>
      <w:pPr>
        <w:spacing w:before="210" w:after="0"/>
        <w:ind w:left="120"/>
        <w:jc w:val="both"/>
      </w:pPr>
      <w:r>
        <w:rPr>
          <w:rFonts w:ascii="Times New Roman" w:hAnsi="Times New Roman"/>
          <w:b/>
          <w:i w:val="false"/>
          <w:color w:val="000000"/>
          <w:sz w:val="22"/>
        </w:rPr>
        <w:t>605—11.41</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605—11.42</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605—11.43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605—11.44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605—11.45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605—11.46</w:t>
      </w:r>
      <w:r>
        <w:rPr>
          <w:rFonts w:ascii="Times New Roman" w:hAnsi="Times New Roman"/>
          <w:b w:val="false"/>
          <w:i w:val="false"/>
          <w:color w:val="000000"/>
          <w:sz w:val="22"/>
        </w:rPr>
        <w:t xml:space="preserve"> to </w:t>
      </w:r>
      <w:r>
        <w:rPr>
          <w:rFonts w:ascii="Times New Roman" w:hAnsi="Times New Roman"/>
          <w:b/>
          <w:i w:val="false"/>
          <w:color w:val="000000"/>
          <w:sz w:val="22"/>
        </w:rPr>
        <w:t>11.50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IOWANS HELPING IOWANS UNMET NEEDS DISASTER ASSISTANCE PROGRAM</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5/10/17</w:t>
      </w:r>
      <w:r>
        <w:rPr>
          <w:rFonts w:ascii="Times New Roman" w:hAnsi="Times New Roman"/>
          <w:b w:val="false"/>
          <w:i w:val="false"/>
          <w:color w:val="000000"/>
          <w:sz w:val="22"/>
        </w:rPr>
        <w:t>, effective 7/1/17</w:t>
      </w:r>
    </w:p>
    <w:p>
      <w:pPr>
        <w:spacing w:before="210" w:after="0"/>
        <w:ind w:left="120"/>
        <w:jc w:val="both"/>
      </w:pPr>
      <w:r>
        <w:rPr>
          <w:rFonts w:ascii="Times New Roman" w:hAnsi="Times New Roman"/>
          <w:b/>
          <w:i w:val="false"/>
          <w:color w:val="000000"/>
          <w:sz w:val="22"/>
        </w:rPr>
        <w:t>605—11.51</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605—11.52</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605—11.57</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605—11.59</w:t>
      </w:r>
      <w:r>
        <w:rPr>
          <w:rFonts w:ascii="Times New Roman" w:hAnsi="Times New Roman"/>
          <w:b w:val="false"/>
          <w:i w:val="false"/>
          <w:color w:val="000000"/>
          <w:sz w:val="22"/>
        </w:rPr>
        <w:t xml:space="preserve"> and </w:t>
      </w:r>
      <w:r>
        <w:rPr>
          <w:rFonts w:ascii="Times New Roman" w:hAnsi="Times New Roman"/>
          <w:b/>
          <w:i w:val="false"/>
          <w:color w:val="000000"/>
          <w:sz w:val="22"/>
        </w:rPr>
        <w:t>11.60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TICKET TO HOPE PROGRAM</w:t>
      </w:r>
    </w:p>
    <w:p>
      <w:pPr>
        <w:spacing w:before="0" w:after="0"/>
        <w:ind w:left="120"/>
        <w:jc w:val="left"/>
      </w:pPr>
    </w:p>
    <w:p>
      <w:pPr>
        <w:spacing w:before="0" w:after="0"/>
        <w:ind w:left="120"/>
        <w:jc w:val="center"/>
      </w:pP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5/10/17</w:t>
      </w:r>
      <w:r>
        <w:rPr>
          <w:rFonts w:ascii="Times New Roman" w:hAnsi="Times New Roman"/>
          <w:b w:val="false"/>
          <w:i w:val="false"/>
          <w:color w:val="000000"/>
          <w:sz w:val="22"/>
        </w:rPr>
        <w:t>, effective 7/1/17</w:t>
      </w:r>
    </w:p>
    <w:p>
      <w:pPr>
        <w:spacing w:before="210" w:after="0"/>
        <w:ind w:left="120"/>
        <w:jc w:val="both"/>
      </w:pPr>
      <w:r>
        <w:rPr>
          <w:rFonts w:ascii="Times New Roman" w:hAnsi="Times New Roman"/>
          <w:b/>
          <w:i w:val="false"/>
          <w:color w:val="000000"/>
          <w:sz w:val="22"/>
        </w:rPr>
        <w:t>605—11.61</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605—11.62</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605—11.63</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605—11.64</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605—11.65</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605—11.67</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605—11.68</w:t>
      </w:r>
      <w:r>
        <w:rPr>
          <w:rFonts w:ascii="Times New Roman" w:hAnsi="Times New Roman"/>
          <w:b w:val="false"/>
          <w:i w:val="false"/>
          <w:color w:val="000000"/>
          <w:sz w:val="22"/>
        </w:rPr>
        <w:t>Reserved.</w:t>
      </w:r>
    </w:p>
    <w:p>
      <w:pPr>
        <w:spacing w:before="0" w:after="0"/>
        <w:ind w:left="120"/>
        <w:jc w:val="center"/>
      </w:pPr>
      <w:r>
        <w:rPr>
          <w:rFonts w:ascii="Times New Roman" w:hAnsi="Times New Roman"/>
          <w:b w:val="false"/>
          <w:i w:val="false"/>
          <w:color w:val="000000"/>
          <w:sz w:val="21"/>
        </w:rPr>
        <w:t>[Filed emergency 10/12/90 after Notice 8/22/90—published 10/31/90, effective 11/1/90]</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5/14/92, Notice 3/18/92—published 6/10/92, effective 8/1/92]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3/5/07—published 3/28/07, effective 3/5/07]</w:t>
      </w:r>
    </w:p>
    <w:p>
      <w:pPr>
        <w:spacing w:before="0" w:after="0"/>
        <w:ind w:left="120"/>
        <w:jc w:val="center"/>
      </w:pPr>
      <w:r>
        <w:rPr>
          <w:rFonts w:ascii="Times New Roman" w:hAnsi="Times New Roman"/>
          <w:b w:val="false"/>
          <w:i w:val="false"/>
          <w:color w:val="000000"/>
          <w:sz w:val="21"/>
        </w:rPr>
        <w:t>[Filed emergency 6/13/07 after Notice 3/28/07—published 7/4/07, effective 7/1/07]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7577B</w:t>
      </w:r>
      <w:r>
        <w:rPr>
          <w:rFonts w:ascii="Times New Roman" w:hAnsi="Times New Roman"/>
          <w:b w:val="false"/>
          <w:i w:val="false"/>
          <w:color w:val="000000"/>
          <w:sz w:val="21"/>
        </w:rPr>
        <w:t xml:space="preserve"> (Notice ARC 6995B, IAB 7/30/08)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Emergency ARC 7603B, IAB 3/11/09, effective 2/11/09]</w:t>
      </w:r>
    </w:p>
    <w:p>
      <w:pPr>
        <w:spacing w:before="0" w:after="0"/>
        <w:ind w:left="120"/>
        <w:jc w:val="center"/>
      </w:pPr>
      <w:r>
        <w:rPr>
          <w:rFonts w:ascii="Times New Roman" w:hAnsi="Times New Roman"/>
          <w:b w:val="false"/>
          <w:i w:val="false"/>
          <w:color w:val="000000"/>
          <w:sz w:val="21"/>
        </w:rPr>
        <w:t>[Filed Emergency ARC 7641B, IAB 3/25/09, effective 3/1/09]</w:t>
      </w:r>
    </w:p>
    <w:p>
      <w:pPr>
        <w:spacing w:before="0" w:after="0"/>
        <w:ind w:left="120"/>
        <w:jc w:val="center"/>
      </w:pPr>
      <w:r>
        <w:rPr>
          <w:rFonts w:ascii="Times New Roman" w:hAnsi="Times New Roman"/>
          <w:b w:val="false"/>
          <w:i w:val="false"/>
          <w:color w:val="000000"/>
          <w:sz w:val="21"/>
        </w:rPr>
        <w:t>[Filed ARC 7830B</w:t>
      </w:r>
      <w:r>
        <w:rPr>
          <w:rFonts w:ascii="Times New Roman" w:hAnsi="Times New Roman"/>
          <w:b w:val="false"/>
          <w:i w:val="false"/>
          <w:color w:val="000000"/>
          <w:sz w:val="21"/>
        </w:rPr>
        <w:t xml:space="preserve"> (Notice ARC 7642B,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8007B</w:t>
      </w:r>
      <w:r>
        <w:rPr>
          <w:rFonts w:ascii="Times New Roman" w:hAnsi="Times New Roman"/>
          <w:b w:val="false"/>
          <w:i w:val="false"/>
          <w:color w:val="000000"/>
          <w:sz w:val="21"/>
        </w:rPr>
        <w:t xml:space="preserve"> (Notice ARC 7604B, IAB 3/11/09)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8640B</w:t>
      </w:r>
      <w:r>
        <w:rPr>
          <w:rFonts w:ascii="Times New Roman" w:hAnsi="Times New Roman"/>
          <w:b w:val="false"/>
          <w:i w:val="false"/>
          <w:color w:val="000000"/>
          <w:sz w:val="21"/>
        </w:rPr>
        <w:t xml:space="preserve"> (Notice ARC 8460B,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Emergency ARC 9130B, IAB 10/6/10, effective 9/15/10]</w:t>
      </w:r>
      <w:r>
        <w:br/>
      </w:r>
      <w:r>
        <w:rPr>
          <w:rFonts w:ascii="Times New Roman" w:hAnsi="Times New Roman"/>
          <w:b w:val="false"/>
          <w:i w:val="false"/>
          <w:color w:val="000000"/>
          <w:sz w:val="21"/>
        </w:rPr>
        <w:t>[Filed Emergency ARC 9128B, IAB 10/6/10, effective 10/1/10]</w:t>
      </w:r>
    </w:p>
    <w:p>
      <w:pPr>
        <w:spacing w:before="0" w:after="0"/>
        <w:ind w:left="120"/>
        <w:jc w:val="center"/>
      </w:pPr>
      <w:r>
        <w:rPr>
          <w:rFonts w:ascii="Times New Roman" w:hAnsi="Times New Roman"/>
          <w:b w:val="false"/>
          <w:i w:val="false"/>
          <w:color w:val="000000"/>
          <w:sz w:val="21"/>
        </w:rPr>
        <w:t>[Filed ARC 9313B</w:t>
      </w:r>
      <w:r>
        <w:rPr>
          <w:rFonts w:ascii="Times New Roman" w:hAnsi="Times New Roman"/>
          <w:b w:val="false"/>
          <w:i w:val="false"/>
          <w:color w:val="000000"/>
          <w:sz w:val="21"/>
        </w:rPr>
        <w:t xml:space="preserve"> (Notice ARC 9131B,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9312B</w:t>
      </w:r>
      <w:r>
        <w:rPr>
          <w:rFonts w:ascii="Times New Roman" w:hAnsi="Times New Roman"/>
          <w:b w:val="false"/>
          <w:i w:val="false"/>
          <w:color w:val="000000"/>
          <w:sz w:val="21"/>
        </w:rPr>
        <w:t xml:space="preserve"> (Notice ARC 9129B, IAB 10/6/10)</w:t>
      </w:r>
      <w:r>
        <w:rPr>
          <w:rFonts w:ascii="Times New Roman" w:hAnsi="Times New Roman"/>
          <w:b w:val="false"/>
          <w:i w:val="false"/>
          <w:color w:val="000000"/>
          <w:sz w:val="21"/>
        </w:rPr>
        <w:t>, IAB 12/29/10, effective 3/1/11]</w:t>
      </w:r>
    </w:p>
    <w:p>
      <w:pPr>
        <w:spacing w:before="0" w:after="0"/>
        <w:ind w:left="120"/>
        <w:jc w:val="center"/>
      </w:pPr>
      <w:r>
        <w:rPr>
          <w:rFonts w:ascii="Times New Roman" w:hAnsi="Times New Roman"/>
          <w:b w:val="false"/>
          <w:i w:val="false"/>
          <w:color w:val="000000"/>
          <w:sz w:val="21"/>
        </w:rPr>
        <w:t>[Filed ARC 1353C</w:t>
      </w:r>
      <w:r>
        <w:rPr>
          <w:rFonts w:ascii="Times New Roman" w:hAnsi="Times New Roman"/>
          <w:b w:val="false"/>
          <w:i w:val="false"/>
          <w:color w:val="000000"/>
          <w:sz w:val="21"/>
        </w:rPr>
        <w:t xml:space="preserve"> (Notice ARC 1257C, IAB 12/25/13)</w:t>
      </w:r>
      <w:r>
        <w:rPr>
          <w:rFonts w:ascii="Times New Roman" w:hAnsi="Times New Roman"/>
          <w:b w:val="false"/>
          <w:i w:val="false"/>
          <w:color w:val="000000"/>
          <w:sz w:val="21"/>
        </w:rPr>
        <w:t>, IAB 3/5/14, effective 5/1/14]</w:t>
      </w:r>
    </w:p>
    <w:p>
      <w:pPr>
        <w:spacing w:before="0" w:after="0"/>
        <w:ind w:left="120"/>
        <w:jc w:val="center"/>
      </w:pPr>
      <w:r>
        <w:rPr>
          <w:rFonts w:ascii="Times New Roman" w:hAnsi="Times New Roman"/>
          <w:b w:val="false"/>
          <w:i w:val="false"/>
          <w:color w:val="000000"/>
          <w:sz w:val="21"/>
        </w:rPr>
        <w:t>[Filed ARC 3058C</w:t>
      </w:r>
      <w:r>
        <w:rPr>
          <w:rFonts w:ascii="Times New Roman" w:hAnsi="Times New Roman"/>
          <w:b w:val="false"/>
          <w:i w:val="false"/>
          <w:color w:val="000000"/>
          <w:sz w:val="21"/>
        </w:rPr>
        <w:t xml:space="preserve"> (Notice ARC 2898C, IAB 1/18/17)</w:t>
      </w:r>
      <w:r>
        <w:rPr>
          <w:rFonts w:ascii="Times New Roman" w:hAnsi="Times New Roman"/>
          <w:b w:val="false"/>
          <w:i w:val="false"/>
          <w:color w:val="000000"/>
          <w:sz w:val="21"/>
        </w:rPr>
        <w:t>, IAB 5/10/17, effective 7/1/17]</w:t>
      </w:r>
    </w:p>
    <w:p>
      <w:pPr>
        <w:spacing w:before="0" w:after="0"/>
        <w:ind w:left="120"/>
        <w:jc w:val="center"/>
      </w:pPr>
      <w:r>
        <w:rPr>
          <w:rFonts w:ascii="Times New Roman" w:hAnsi="Times New Roman"/>
          <w:b w:val="false"/>
          <w:i w:val="false"/>
          <w:color w:val="000000"/>
          <w:sz w:val="21"/>
        </w:rPr>
        <w:t>[Filed ARC 5596C</w:t>
      </w:r>
      <w:r>
        <w:rPr>
          <w:rFonts w:ascii="Times New Roman" w:hAnsi="Times New Roman"/>
          <w:b w:val="false"/>
          <w:i w:val="false"/>
          <w:color w:val="000000"/>
          <w:sz w:val="21"/>
        </w:rPr>
        <w:t xml:space="preserve"> (Notice ARC 5471C, IAB 2/24/21)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6850C</w:t>
      </w:r>
      <w:r>
        <w:rPr>
          <w:rFonts w:ascii="Times New Roman" w:hAnsi="Times New Roman"/>
          <w:b w:val="false"/>
          <w:i w:val="false"/>
          <w:color w:val="000000"/>
          <w:sz w:val="21"/>
        </w:rPr>
        <w:t xml:space="preserve"> (Notice ARC 6690C, IAB 11/30/22)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pdf" Type="http://schemas.openxmlformats.org/officeDocument/2006/relationships/hyperlink" Id="rId4"/>
    <Relationship TargetMode="External" Target="https://www.legis.iowa.gov/docs/ico/chapter/425.pdf" Type="http://schemas.openxmlformats.org/officeDocument/2006/relationships/hyperlink" Id="rId5"/>
    <Relationship TargetMode="External" Target="https://www.legis.iowa.gov/docs/ico/chapter/48A.2.pdf" Type="http://schemas.openxmlformats.org/officeDocument/2006/relationships/hyperlink" Id="rId6"/>
    <Relationship TargetMode="External" Target="https://www.legis.iowa.gov/docs/ico/chapter/29C.9.pdf" Type="http://schemas.openxmlformats.org/officeDocument/2006/relationships/hyperlink" Id="rId7"/>
    <Relationship TargetMode="External" Target="https://www.legis.iowa.gov/docs/ico/chapter/29C.10.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pdf" Type="http://schemas.openxmlformats.org/officeDocument/2006/relationships/hyperlink" Id="rId13"/>
    <Relationship TargetMode="External" Target="http://www.homelandsecurity.iowa.gov" Type="http://schemas.openxmlformats.org/officeDocument/2006/relationships/hyperlink" Id="rId14"/>
    <Relationship TargetMode="External" Target="https://www.legis.iowa.gov/docs/iac/chapter/441.16.pdf" Type="http://schemas.openxmlformats.org/officeDocument/2006/relationships/hyperlink" Id="rId15"/>
    <Relationship TargetMode="External" Target="https://www.legis.iowa.gov/docs/iac/chapter/441.7.pdf" Type="http://schemas.openxmlformats.org/officeDocument/2006/relationships/hyperlink" Id="rId16"/>
    <Relationship TargetMode="External" Target="https://www.legis.iowa.gov/docs/ico/chapter/29C.pdf" Type="http://schemas.openxmlformats.org/officeDocument/2006/relationships/hyperlink" Id="rId17"/>
    <Relationship TargetMode="External" Target="https://www.legis.iowa.gov/docs/ico/chapter/17A.7.pdf" Type="http://schemas.openxmlformats.org/officeDocument/2006/relationships/hyperlink" Id="rId18"/>
    <Relationship TargetMode="External" Target="https://www.legis.iowa.gov/docs/ico/chapter/29C.9.pdf" Type="http://schemas.openxmlformats.org/officeDocument/2006/relationships/hyperlink" Id="rId19"/>
    <Relationship TargetMode="External" Target="https://www.legis.iowa.gov/docs/ico/chapter/29C.10.pdf" Type="http://schemas.openxmlformats.org/officeDocument/2006/relationships/hyperlink" Id="rId20"/>
    <Relationship TargetMode="External" Target="https://www.legis.iowa.gov/docs/iac/chapter/441.7.pdf" Type="http://schemas.openxmlformats.org/officeDocument/2006/relationships/hyperlink" Id="rId21"/>
    <Relationship TargetMode="External" Target="https://www.legis.iowa.gov/docs/ico/chapter/234.6.pdf" Type="http://schemas.openxmlformats.org/officeDocument/2006/relationships/hyperlink" Id="rId22"/>
    <Relationship TargetMode="External" Target="https://www.legis.iowa.gov/docs/ico/chapter/29C.20B.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