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WILD TURKEY SPRING HUNTING</w:t>
      </w:r>
    </w:p>
    <w:p>
      <w:pPr>
        <w:spacing w:before="0" w:after="0"/>
        <w:ind w:left="120"/>
        <w:jc w:val="center"/>
      </w:pPr>
      <w:r>
        <w:rPr>
          <w:rFonts w:ascii="Times New Roman" w:hAnsi="Times New Roman"/>
          <w:b w:val="false"/>
          <w:i w:val="false"/>
          <w:color w:val="000000"/>
          <w:sz w:val="14"/>
        </w:rPr>
        <w:t>[Prior to 12/31/86, Conservation Commission[290] Ch 111]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RESIDENT WILD TURKEY SPRING HUNTING</w:t>
      </w:r>
    </w:p>
    <w:p>
      <w:pPr>
        <w:spacing w:before="0" w:after="0"/>
        <w:ind w:left="120"/>
        <w:jc w:val="both"/>
      </w:pPr>
      <w:r>
        <w:rPr>
          <w:rFonts w:ascii="Times New Roman" w:hAnsi="Times New Roman"/>
          <w:b/>
          <w:i w:val="false"/>
          <w:color w:val="000000"/>
          <w:sz w:val="22"/>
        </w:rPr>
        <w:t>571—98.1</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When hunting wild turkey, all hunters must have in possession a wild turkey spring hunting license valid for the current year, the unused transportation tag issued with that license, a hunting license, and evidence of having paid the habitat fee (if normally required to have a hunting license and to pay the habitat fee to hunt). No one, while hunting wild turkey, shall carry or have in possession any license or transportation tag issued to another hunter. No one who is issued a wild turkey license and transportation tag shall allow another person to use or possess that license or transportation tag while turkey hunting or tagging a turkey. A hunter having a license valid for one of the spring turkey seasons may accompany, call for, or otherwise assist any other hunter who has a valid turkey hunting license for any of the spring seasons. The hunter who is assisting may not shoot a turkey or carry a firearm or bow unless the hunter has a valid license with an unused tag for the current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Two types of licenses will be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 Combination shotgun-or-archery licenses shall be issued by season and shall be valid statewide in the designated season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 Archery-only licenses shall be valid statewide and shall be valid during all seasons open for spring turkey hunting, except the youth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licenses. </w:t>
      </w:r>
      <w:r>
        <w:rPr>
          <w:rFonts w:ascii="Times New Roman" w:hAnsi="Times New Roman"/>
          <w:b w:val="false"/>
          <w:i w:val="false"/>
          <w:color w:val="000000"/>
          <w:sz w:val="22"/>
        </w:rPr>
        <w:t>No one may apply for or obtain more than two paid spring wild turkey hunting licenses. A hunter may obtain no more than two combination shotgun-or-archery licenses, or two archery-only licenses, or one of each. If two paid combination shotgun-or-archery licenses are obtained, at least one must be for season 4. If one paid combination shotgun-or-archery license and one archery-only license are obtained, the combination shotgun-or-archery license must be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w:t>
      </w:r>
      <w:r>
        <w:rPr>
          <w:rFonts w:ascii="Times New Roman" w:hAnsi="Times New Roman"/>
          <w:b w:val="false"/>
          <w:i w:val="false"/>
          <w:color w:val="000000"/>
          <w:sz w:val="22"/>
        </w:rPr>
        <w:t> </w:t>
      </w:r>
      <w:r>
        <w:rPr>
          <w:rFonts w:ascii="Times New Roman" w:hAnsi="Times New Roman"/>
          <w:b w:val="false"/>
          <w:i/>
          <w:color w:val="000000"/>
          <w:sz w:val="22"/>
        </w:rPr>
        <w:t xml:space="preserve">Daily bag and possession limit. </w:t>
      </w:r>
      <w:r>
        <w:rPr>
          <w:rFonts w:ascii="Times New Roman" w:hAnsi="Times New Roman"/>
          <w:b w:val="false"/>
          <w:i w:val="false"/>
          <w:color w:val="000000"/>
          <w:sz w:val="22"/>
        </w:rPr>
        <w:t>Season possession limit, including daily bag limit, is one bearded (or male) wild turkey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shall be from one-half hour before sunrise to sunset.</w:t>
      </w:r>
    </w:p>
    <w:p>
      <w:pPr>
        <w:spacing w:before="0" w:after="0"/>
        <w:ind w:left="120"/>
        <w:jc w:val="both"/>
      </w:pPr>
      <w:r>
        <w:rPr>
          <w:rFonts w:ascii="Times New Roman" w:hAnsi="Times New Roman"/>
          <w:b/>
          <w:i w:val="false"/>
          <w:color w:val="000000"/>
          <w:sz w:val="22"/>
        </w:rPr>
        <w:t>571—98.2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Wild turkey may be taken in accordance with the type of license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Wild turkey may be taken by shotgun or muzzleloading shotgun not smaller than caliber .410 and shooting only shot sizes number 4 through 10 lead or nontoxic shot; and by bow and arrow as defined in paragraph </w:t>
      </w:r>
      <w:hyperlink r:id="rId5">
        <w:r>
          <w:rPr>
            <w:rStyle w:val="Hyperlink"/>
            <w:rFonts w:ascii="Times New Roman" w:hAnsi="Times New Roman"/>
            <w:b w:val="false"/>
            <w:i w:val="false"/>
            <w:color w:val="000000"/>
            <w:sz w:val="22"/>
          </w:rPr>
          <w:t>98.2(1)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have shotshells containing shot of any size other than number 4 through 10 lead or nontoxic shot on the person while hunting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 </w:t>
      </w:r>
      <w:r>
        <w:rPr>
          <w:rFonts w:ascii="Times New Roman" w:hAnsi="Times New Roman"/>
          <w:b w:val="false"/>
          <w:i w:val="false"/>
          <w:color w:val="000000"/>
          <w:sz w:val="22"/>
        </w:rPr>
        <w:t xml:space="preserve">Except for crossbows for persons with certain afflictions of the upper body, as provided in </w:t>
      </w:r>
      <w:hyperlink r:id="rId6">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only longbow, compound, or recurve bows shooting broadhead arrows are permitted. Blunthead arrows with a minimum diameter of 9/16 inch may also be used. Arrows must be at least 18 inches long. No explosive or chemical devices may be attached to the arrow, broadhead, or blunthead.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The use of live decoys, dogs, horses, motorized vehicles, aircraft, bait, crossbows, except as otherwise provided, and the use or aid of recorded or electronically amplified bird calls or sounds, or recorded or electronically amplified imitations of bird calls or sounds are prohibited.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products; or by-products of such materials transported to or placed in an area for the intent of attracting wildlife.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Zones. </w:t>
      </w:r>
      <w:r>
        <w:rPr>
          <w:rFonts w:ascii="Times New Roman" w:hAnsi="Times New Roman"/>
          <w:b w:val="false"/>
          <w:i w:val="false"/>
          <w:color w:val="000000"/>
          <w:sz w:val="22"/>
        </w:rPr>
        <w:t>A person with a resident wild turkey spring hunting license may take wild turkey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Seasons will be established in accordance with the type of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licenses. </w:t>
      </w:r>
      <w:r>
        <w:rPr>
          <w:rFonts w:ascii="Times New Roman" w:hAnsi="Times New Roman"/>
          <w:b w:val="false"/>
          <w:i w:val="false"/>
          <w:color w:val="000000"/>
          <w:sz w:val="22"/>
        </w:rPr>
        <w:t>Consecutive seasons are 4, 5, 7, and 19 days, respectively, with the first season beginning on the second Monday of April. These seasons shall be designated as seasons 1, 2, 3 and 4,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licenses. </w:t>
      </w:r>
      <w:r>
        <w:rPr>
          <w:rFonts w:ascii="Times New Roman" w:hAnsi="Times New Roman"/>
          <w:b w:val="false"/>
          <w:i w:val="false"/>
          <w:color w:val="000000"/>
          <w:sz w:val="22"/>
        </w:rPr>
        <w:t>The season shall be 35 days beginning on the second Monday of April.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5065C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 xml:space="preserve">; </w:t>
      </w:r>
      <w:r>
        <w:rPr>
          <w:rFonts w:ascii="Times New Roman" w:hAnsi="Times New Roman"/>
          <w:b/>
          <w:i w:val="false"/>
          <w:color w:val="000000"/>
          <w:sz w:val="16"/>
        </w:rPr>
        <w:t>ARC 6787C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571—98.3</w:t>
      </w:r>
      <w:r>
        <w:rPr>
          <w:rFonts w:ascii="Times New Roman" w:hAnsi="Times New Roman"/>
          <w:b/>
          <w:i w:val="false"/>
          <w:color w:val="000000"/>
          <w:sz w:val="22"/>
        </w:rPr>
        <w:t xml:space="preserve">(483A)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spring wild turkey hunting licenses will be sold using the electronic licensing system for Iowa (ELSI). Licenses may be purchased through ELSI license agents, by calling the ELSI telephone ordering system, or through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Spring wild turkey hunting licenses will be sold beginning December 15 through the last day of the season for which the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License quotas. There will be no quotas for combination shotgun-or-archery licenses or for archery-only licenses for resident hunters.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val="false"/>
          <w:color w:val="000000"/>
          <w:sz w:val="22"/>
        </w:rPr>
        <w:t>Landowner/tenant licenses. An eligible landowner or tenant may obtain a free combination shotgun-or-archery license or a free archery-only license. Nonresident landowners are not eligible for free turkey hunting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Free combination shotgun-or-archery licenses. </w:t>
      </w:r>
      <w:r>
        <w:rPr>
          <w:rFonts w:ascii="Times New Roman" w:hAnsi="Times New Roman"/>
          <w:b w:val="false"/>
          <w:i w:val="false"/>
          <w:color w:val="000000"/>
          <w:sz w:val="22"/>
        </w:rPr>
        <w:t>A free combination shotgun-or-archery license will be issued by season and will be valid only on the farm unit of the landowner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 archery-only licenses. </w:t>
      </w:r>
      <w:r>
        <w:rPr>
          <w:rFonts w:ascii="Times New Roman" w:hAnsi="Times New Roman"/>
          <w:b w:val="false"/>
          <w:i w:val="false"/>
          <w:color w:val="000000"/>
          <w:sz w:val="22"/>
        </w:rPr>
        <w:t>A free archery-only license will be valid for all seasons but only on the farm unit of the landowner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 of licenses. </w:t>
      </w:r>
      <w:r>
        <w:rPr>
          <w:rFonts w:ascii="Times New Roman" w:hAnsi="Times New Roman"/>
          <w:b w:val="false"/>
          <w:i w:val="false"/>
          <w:color w:val="000000"/>
          <w:sz w:val="22"/>
        </w:rPr>
        <w:t>One paid combination shotgun-or-archery license or one paid archery-only license may be obtained in addition to the free shotgun-or-archery license or the free archery-only license. If a free archery-only license and a paid combination shotgun-or-archery license are obtained, the shotgun-or-archery license must be for season 4. If a free shotgun-or-archery license and a paid shotgun-or-archery license are obtained, one of the licenses must be for season 4.</w:t>
      </w:r>
    </w:p>
    <w:p>
      <w:pPr>
        <w:spacing w:before="210" w:after="0"/>
        <w:ind w:left="120"/>
        <w:jc w:val="both"/>
      </w:pPr>
      <w:r>
        <w:rPr>
          <w:rFonts w:ascii="Times New Roman" w:hAnsi="Times New Roman"/>
          <w:b/>
          <w:i w:val="false"/>
          <w:color w:val="000000"/>
          <w:sz w:val="22"/>
        </w:rPr>
        <w:t>571—98.4</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spring hunting season. The tag shall be proof of possession of the carcass by the above-mentioned licensee.</w:t>
      </w:r>
    </w:p>
    <w:p>
      <w:pPr>
        <w:spacing w:before="0" w:after="0"/>
        <w:ind w:left="120"/>
        <w:jc w:val="both"/>
      </w:pPr>
      <w:r>
        <w:rPr>
          <w:rFonts w:ascii="Times New Roman" w:hAnsi="Times New Roman"/>
          <w:b/>
          <w:i w:val="false"/>
          <w:color w:val="000000"/>
          <w:sz w:val="22"/>
        </w:rPr>
        <w:t>571—98.5</w:t>
      </w:r>
      <w:r>
        <w:rPr>
          <w:rFonts w:ascii="Times New Roman" w:hAnsi="Times New Roman"/>
          <w:b/>
          <w:i w:val="false"/>
          <w:color w:val="000000"/>
          <w:sz w:val="22"/>
        </w:rPr>
        <w:t xml:space="preserve">(483A) </w:t>
      </w:r>
      <w:r>
        <w:rPr>
          <w:rFonts w:ascii="Times New Roman" w:hAnsi="Times New Roman"/>
          <w:b/>
          <w:i w:val="false"/>
          <w:color w:val="000000"/>
          <w:sz w:val="22"/>
        </w:rPr>
        <w:t xml:space="preserve">Eligibility for free landowner/tenant turkey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a free turkey hunting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or domestic partner as defined by the Iowa department of administrative services and juvenile child of an owner or tenant who reside with the owner or tenant are eligible for free turkey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98.5(3)</w:t>
      </w:r>
      <w:r>
        <w:rPr>
          <w:rFonts w:ascii="Times New Roman" w:hAnsi="Times New Roman"/>
          <w:b w:val="false"/>
          <w:i w:val="false"/>
          <w:color w:val="000000"/>
          <w:sz w:val="22"/>
        </w:rPr>
        <w:t> </w:t>
      </w:r>
      <w:r>
        <w:rPr>
          <w:rFonts w:ascii="Times New Roman" w:hAnsi="Times New Roman"/>
          <w:b w:val="false"/>
          <w:i/>
          <w:color w:val="000000"/>
          <w:sz w:val="22"/>
        </w:rPr>
        <w:t xml:space="preserve">Definition of “actively engaged in farming.”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that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98.5(6)</w:t>
      </w:r>
      <w:r>
        <w:rPr>
          <w:rFonts w:ascii="Times New Roman" w:hAnsi="Times New Roman"/>
          <w:b w:val="false"/>
          <w:i w:val="false"/>
          <w:color w:val="000000"/>
          <w:sz w:val="22"/>
        </w:rPr>
        <w:t> </w:t>
      </w:r>
      <w:r>
        <w:rPr>
          <w:rFonts w:ascii="Times New Roman" w:hAnsi="Times New Roman"/>
          <w:b w:val="false"/>
          <w:i/>
          <w:color w:val="000000"/>
          <w:sz w:val="22"/>
        </w:rPr>
        <w:t xml:space="preserve">Where free licenses are valid. </w:t>
      </w:r>
      <w:r>
        <w:rPr>
          <w:rFonts w:ascii="Times New Roman" w:hAnsi="Times New Roman"/>
          <w:b w:val="false"/>
          <w:i w:val="false"/>
          <w:color w:val="000000"/>
          <w:sz w:val="22"/>
        </w:rPr>
        <w:t>A free license is valid only on the farm unit of the landowner or tenant. “Farm unit” means all parcels of land that are at least two contiguous acres in size, that are operated as a unit for agricultural purposes, and that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from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98.5(7)</w:t>
      </w:r>
      <w:r>
        <w:rPr>
          <w:rFonts w:ascii="Times New Roman" w:hAnsi="Times New Roman"/>
          <w:b w:val="false"/>
          <w:i w:val="false"/>
          <w:color w:val="000000"/>
          <w:sz w:val="22"/>
        </w:rPr>
        <w:t> </w:t>
      </w:r>
      <w:r>
        <w:rPr>
          <w:rFonts w:ascii="Times New Roman" w:hAnsi="Times New Roman"/>
          <w:b w:val="false"/>
          <w:i/>
          <w:color w:val="000000"/>
          <w:sz w:val="22"/>
        </w:rPr>
        <w:t xml:space="preserve">How many free licenses may be obtained. </w:t>
      </w:r>
      <w:r>
        <w:rPr>
          <w:rFonts w:ascii="Times New Roman" w:hAnsi="Times New Roman"/>
          <w:b w:val="false"/>
          <w:i w:val="false"/>
          <w:color w:val="000000"/>
          <w:sz w:val="22"/>
        </w:rPr>
        <w:t>The maximum number of free licenses for the spring turkey season is two per farm unit, one for the landowner (or family member) and one for the tenant (or family member). If there is no tenant, the landowner’s family may obtain only one license. A tenant or the tenant’s family is entitled to only one free license even if the tenant farms land for more than one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98.5(8)</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spring wild turkey hunting licenses must register with DNR before the free licenses will be issued. Procedures for registering are described in </w:t>
      </w:r>
      <w:hyperlink r:id="rId7">
        <w:r>
          <w:rPr>
            <w:rStyle w:val="Hyperlink"/>
            <w:rFonts w:ascii="Times New Roman" w:hAnsi="Times New Roman"/>
            <w:b w:val="false"/>
            <w:i w:val="false"/>
            <w:color w:val="000000"/>
            <w:sz w:val="22"/>
          </w:rPr>
          <w:t>571—95.2(481A)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571—98.6</w:t>
      </w:r>
      <w:r>
        <w:rPr>
          <w:rFonts w:ascii="Times New Roman" w:hAnsi="Times New Roman"/>
          <w:b/>
          <w:i w:val="false"/>
          <w:color w:val="000000"/>
          <w:sz w:val="22"/>
        </w:rPr>
        <w:t xml:space="preserve">(483A) </w:t>
      </w:r>
      <w:r>
        <w:rPr>
          <w:rFonts w:ascii="Times New Roman" w:hAnsi="Times New Roman"/>
          <w:b/>
          <w:i w:val="false"/>
          <w:color w:val="000000"/>
          <w:sz w:val="22"/>
        </w:rPr>
        <w:t xml:space="preserve">Youth spring wild turkey hunt.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A special youth spring wild turkey hunting license valid statewide may be issued to any Iowa resident who is 15 years old or younger on the date the youth purchases the license. The youth license may be paid or free to persons eligible for free licenses. If the youth obtains a free landowner/tenant license, it will count as the one free license for which the youth’s family is eligible. Each participating youth must be accompanied by an adult who possesses a valid wild turkey spring hunting license for one of the seasons and a hunting license, and has paid the habitat fee (if the adult is normally required to have a hunting license and to pay the habitat fee to hunt). The accompanying adult must not possess a firearm or bow and must be in the direct company of the youth at all times. A person may obtain only one youth turkey hunting license but may also obtain one archery-only license or one combination shotgun-or-archery license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color w:val="000000"/>
          <w:sz w:val="22"/>
        </w:rPr>
        <w:t xml:space="preserve">Youth season dates. </w:t>
      </w:r>
      <w:r>
        <w:rPr>
          <w:rFonts w:ascii="Times New Roman" w:hAnsi="Times New Roman"/>
          <w:b w:val="false"/>
          <w:i w:val="false"/>
          <w:color w:val="000000"/>
          <w:sz w:val="22"/>
        </w:rPr>
        <w:t>The youth turkey hunting license shall be valid during the three days immediately before the first turkey season. A person who is issued a youth spring wild turkey hunting license and does not take a wild turkey during the youth spring wild turkey hunting season may use the wild turkey hunting license and unused tag during any remaining spring wild turkey hunting season in the year in which the youth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w:t>
      </w:r>
      <w:r>
        <w:rPr>
          <w:rFonts w:ascii="Times New Roman" w:hAnsi="Times New Roman"/>
          <w:b w:val="false"/>
          <w:i w:val="false"/>
          <w:color w:val="000000"/>
          <w:sz w:val="22"/>
        </w:rPr>
        <w:t> </w:t>
      </w:r>
      <w:r>
        <w:rPr>
          <w:rFonts w:ascii="Times New Roman" w:hAnsi="Times New Roman"/>
          <w:b w:val="false"/>
          <w:i/>
          <w:color w:val="000000"/>
          <w:sz w:val="22"/>
        </w:rPr>
        <w:t xml:space="preserve">Limits and license quotas. </w:t>
      </w:r>
      <w:r>
        <w:rPr>
          <w:rFonts w:ascii="Times New Roman" w:hAnsi="Times New Roman"/>
          <w:b w:val="false"/>
          <w:i w:val="false"/>
          <w:color w:val="000000"/>
          <w:sz w:val="22"/>
        </w:rPr>
        <w:t>An unlimited number of licenses may be issued. The daily and season bag and possession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Wild turkeys may be taken with shotguns, muzzleloaded shotguns or bows as described in </w:t>
      </w:r>
      <w:hyperlink r:id="rId8">
        <w:r>
          <w:rPr>
            <w:rStyle w:val="Hyperlink"/>
            <w:rFonts w:ascii="Times New Roman" w:hAnsi="Times New Roman"/>
            <w:b w:val="false"/>
            <w:i w:val="false"/>
            <w:color w:val="000000"/>
            <w:sz w:val="22"/>
          </w:rPr>
          <w:t>571—98.2(483A)</w:t>
        </w:r>
      </w:hyperlink>
      <w:r>
        <w:rPr>
          <w:rFonts w:ascii="Times New Roman" w:hAnsi="Times New Roman"/>
          <w:b w:val="false"/>
          <w:i w:val="false"/>
          <w:color w:val="000000"/>
          <w:sz w:val="22"/>
        </w:rPr>
        <w:t>. All other spring wild turkey hunting regulations for residents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obtaining licenses. </w:t>
      </w:r>
      <w:r>
        <w:rPr>
          <w:rFonts w:ascii="Times New Roman" w:hAnsi="Times New Roman"/>
          <w:b w:val="false"/>
          <w:i w:val="false"/>
          <w:color w:val="000000"/>
          <w:sz w:val="22"/>
        </w:rPr>
        <w:t>Paid and free youth season licenses may be obtained through ELSI beginning December 15 through the last day of the youth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571—98.7</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turkey must report that kill according to procedures described in </w:t>
      </w:r>
      <w:hyperlink r:id="rId9">
        <w:r>
          <w:rPr>
            <w:rStyle w:val="Hyperlink"/>
            <w:rFonts w:ascii="Times New Roman" w:hAnsi="Times New Roman"/>
            <w:b w:val="false"/>
            <w:i w:val="false"/>
            <w:color w:val="000000"/>
            <w:sz w:val="22"/>
          </w:rPr>
          <w:t>571—95.1(481A)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571—98.8</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NONRESIDENT WILD TURKEY SPRING HUNTING</w:t>
      </w:r>
    </w:p>
    <w:p>
      <w:pPr>
        <w:spacing w:before="0" w:after="0"/>
        <w:ind w:left="120"/>
        <w:jc w:val="both"/>
      </w:pPr>
      <w:r>
        <w:rPr>
          <w:rFonts w:ascii="Times New Roman" w:hAnsi="Times New Roman"/>
          <w:b/>
          <w:i w:val="false"/>
          <w:color w:val="000000"/>
          <w:sz w:val="22"/>
        </w:rPr>
        <w:t>571—98.9</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When hunting wild turkey, all hunters must have in possession a valid nonresident wild turkey spring hunting license, the unused transportation tag issued with that license, a valid nonresident hunting license, and proof of having paid the current year’s habitat fee. No one, while hunting turkey, shall carry or have in possession any license or transportation tag issued to another hunter. No one who is issued a wild turkey license and transportation tag shall allow another person to possess that license or transportation tag while turkey hunting or tagging a turkey. Licenses will be issued by zone and season and will be valid in the designated zone and season only. No one shall obtain more than one nonresident wild turkey spring hunting license. A hunter having a license valid for one of the spring turkey seasons may accompany, call for, or otherwise assist any other hunter who has a valid turkey hunting license in that season and zone. The hunter who is providing assistance may not shoot a turkey or carry a firearm or bow unless that hunter has a valid license and an unused tag for the current season and zone. Two types of licenses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Shotguns, muzzleloading shotguns and archery equipment as defined in </w:t>
      </w:r>
      <w:hyperlink r:id="rId10">
        <w:r>
          <w:rPr>
            <w:rStyle w:val="Hyperlink"/>
            <w:rFonts w:ascii="Times New Roman" w:hAnsi="Times New Roman"/>
            <w:b w:val="false"/>
            <w:i w:val="false"/>
            <w:color w:val="000000"/>
            <w:sz w:val="22"/>
          </w:rPr>
          <w:t>subrule 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 </w:t>
      </w:r>
      <w:r>
        <w:rPr>
          <w:rFonts w:ascii="Times New Roman" w:hAnsi="Times New Roman"/>
          <w:b w:val="false"/>
          <w:i w:val="false"/>
          <w:color w:val="000000"/>
          <w:sz w:val="22"/>
        </w:rPr>
        <w:t xml:space="preserve">Only muzzleloading shotguns as defined in </w:t>
      </w:r>
      <w:hyperlink r:id="rId11">
        <w:r>
          <w:rPr>
            <w:rStyle w:val="Hyperlink"/>
            <w:rFonts w:ascii="Times New Roman" w:hAnsi="Times New Roman"/>
            <w:b w:val="false"/>
            <w:i w:val="false"/>
            <w:color w:val="000000"/>
            <w:sz w:val="22"/>
          </w:rPr>
          <w:t>subrule 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Bearded (or male) wild turkey may be taken only by the use of shotguns, muzzleloading shotguns, and bow and arrow during the first, second, third or fourth seasons as defined in </w:t>
      </w:r>
      <w:hyperlink r:id="rId12">
        <w:r>
          <w:rPr>
            <w:rStyle w:val="Hyperlink"/>
            <w:rFonts w:ascii="Times New Roman" w:hAnsi="Times New Roman"/>
            <w:b w:val="false"/>
            <w:i w:val="false"/>
            <w:color w:val="000000"/>
            <w:sz w:val="22"/>
          </w:rPr>
          <w:t>98.2(4)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98.9(3)</w:t>
      </w:r>
      <w:r>
        <w:rPr>
          <w:rFonts w:ascii="Times New Roman" w:hAnsi="Times New Roman"/>
          <w:b w:val="false"/>
          <w:i w:val="false"/>
          <w:color w:val="000000"/>
          <w:sz w:val="22"/>
        </w:rPr>
        <w:t> </w:t>
      </w:r>
      <w:r>
        <w:rPr>
          <w:rFonts w:ascii="Times New Roman" w:hAnsi="Times New Roman"/>
          <w:b w:val="false"/>
          <w:i/>
          <w:color w:val="000000"/>
          <w:sz w:val="22"/>
        </w:rPr>
        <w:t xml:space="preserve">Daily bag, possession and season limits. </w:t>
      </w:r>
      <w:r>
        <w:rPr>
          <w:rFonts w:ascii="Times New Roman" w:hAnsi="Times New Roman"/>
          <w:b w:val="false"/>
          <w:i w:val="false"/>
          <w:color w:val="000000"/>
          <w:sz w:val="22"/>
        </w:rPr>
        <w:t>The daily bag limit is one bearded (or male) wild turkey; the possession and season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98.9(4)</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shall be from one-half hour before sunrise to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 xml:space="preserve">The commission shall issue licenses in conformance with Iowa Code section </w:t>
      </w:r>
      <w:hyperlink r:id="rId13">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14">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8253B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571—98.10</w:t>
      </w:r>
      <w:r>
        <w:rPr>
          <w:rFonts w:ascii="Times New Roman" w:hAnsi="Times New Roman"/>
          <w:b/>
          <w:i w:val="false"/>
          <w:color w:val="000000"/>
          <w:sz w:val="22"/>
        </w:rPr>
        <w:t xml:space="preserve">(483A) </w:t>
      </w:r>
      <w:r>
        <w:rPr>
          <w:rFonts w:ascii="Times New Roman" w:hAnsi="Times New Roman"/>
          <w:b/>
          <w:i w:val="false"/>
          <w:color w:val="000000"/>
          <w:sz w:val="22"/>
        </w:rPr>
        <w:t xml:space="preserve">Zones open to hunting. </w:t>
      </w:r>
      <w:r>
        <w:rPr>
          <w:rFonts w:ascii="Times New Roman" w:hAnsi="Times New Roman"/>
          <w:b w:val="false"/>
          <w:i w:val="false"/>
          <w:color w:val="000000"/>
          <w:sz w:val="22"/>
        </w:rPr>
        <w:t>Licenses shall be valid only in designated areas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Zone 4. Zone 4 is that portion of Iowa bounded on the north by Interstate Highway 80 and on the west by U.S. Highway 59.</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Zone 5. Zone 5 is that portion of Iowa bounded on the north by U.S. Highway 20 and on the east by U.S. Highway 59.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Zone 6. Zone 6 is that portion of Iowa lying east of U.S. Highway 63 and north of Interstate Highway 80.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Zone 7. Zone 7 is that portion of Iowa bounded on the north by U.S. Highway 20, on the west by U.S. Highway 59, on the south by Interstate Highway 80, and on the east by U.S. Highway 63.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Zone 8. Zone 8 is that portion of Iowa north of U.S. Highway 20 and west of U.S. Highway 63.</w:t>
      </w:r>
    </w:p>
    <w:p>
      <w:pPr>
        <w:spacing w:before="0" w:after="0"/>
        <w:ind w:left="120"/>
        <w:jc w:val="both"/>
      </w:pPr>
      <w:r>
        <w:rPr>
          <w:rFonts w:ascii="Times New Roman" w:hAnsi="Times New Roman"/>
          <w:b/>
          <w:i w:val="false"/>
          <w:color w:val="000000"/>
          <w:sz w:val="22"/>
        </w:rPr>
        <w:t>571—98.11</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quotas. </w:t>
      </w:r>
      <w:r>
        <w:rPr>
          <w:rFonts w:ascii="Times New Roman" w:hAnsi="Times New Roman"/>
          <w:b w:val="false"/>
          <w:i w:val="false"/>
          <w:color w:val="000000"/>
          <w:sz w:val="22"/>
        </w:rPr>
        <w:t>A limited number of wild turkey hunting licenses will be issued in each zone in each season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Zone 4. 262.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Zone 5. 55.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Zone 6. 165.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Zone 7. 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Zone 8. 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licenses. </w:t>
      </w:r>
      <w:r>
        <w:rPr>
          <w:rFonts w:ascii="Times New Roman" w:hAnsi="Times New Roman"/>
          <w:b w:val="false"/>
          <w:i w:val="false"/>
          <w:color w:val="000000"/>
          <w:sz w:val="22"/>
        </w:rPr>
        <w:t>150 statewide. A hunter purchasing a muzzleloading shotgun license must declare a zone and season and hunt only in that zone and season.</w:t>
      </w:r>
    </w:p>
    <w:p>
      <w:pPr>
        <w:spacing w:before="0" w:after="0"/>
        <w:ind w:left="120"/>
        <w:jc w:val="both"/>
      </w:pPr>
      <w:r>
        <w:rPr>
          <w:rFonts w:ascii="Times New Roman" w:hAnsi="Times New Roman"/>
          <w:b/>
          <w:i w:val="false"/>
          <w:color w:val="000000"/>
          <w:sz w:val="22"/>
        </w:rPr>
        <w:t>571—98.12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 xml:space="preserve">Wild turkey may be taken only with shotguns and muzzleloading shotguns not smaller than caliber .410 and shooting only shot sizes number 4 through 10 lead or nontoxic shot. No person may have shotshells containing shot of any size other than number 4 through 10 lead or nontoxic shot on the person while hunting wild turkey. Except for crossbows for persons with certain afflictions of the upper body, as provided in </w:t>
      </w:r>
      <w:hyperlink r:id="rId15">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only longbow, compound, or recurve bows shooting broadhead arrows are permitted. Blunthead arrows with a minimum diameter of 9/16 inch may also be used. Arrows must be at least 18 inches long. No explosive or chemical devices may be attached to the arrow, broadhead, or blunthead.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The use of live decoys, dogs, horses, motorized vehicles, aircraft, bait, crossbows, except as otherwise provided, and the use or aid of recorded or electronically amplified bird calls or sounds, or recorded or electronically amplified imitations of bird calls or sounds are prohibited, except that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materials; or by-products of such materials transported to or placed in an area for the intent of attracting wildlife.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6787C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571—98.13</w:t>
      </w:r>
      <w:r>
        <w:rPr>
          <w:rFonts w:ascii="Times New Roman" w:hAnsi="Times New Roman"/>
          <w:b/>
          <w:i w:val="false"/>
          <w:color w:val="000000"/>
          <w:sz w:val="22"/>
        </w:rPr>
        <w:t xml:space="preserve">(483A)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nonresident wild turkey spring hunting licenses must be made through the electronic licensing system for Iowa (ELSI) telephone ordering system or the ELSI Internet license sales website. Applications will be accepted from December 15 through the last Sunday in January. No one may submit more than one application during the application period. If applications have been sold in excess of the license quota for any license type, zone, or season, a drawing will be held to determine which applicants receive licenses. Licenses or refunds of license fees will be mailed to applicants after the drawing is completed. License agent writing fees, department administrative fees, Internet sales charges and telephone order charges will not be refunded. If any license quota has not been filled, the excess licenses will be sold first-come, first-served through the telephone ordering system or the Internet license sales website beginning at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second Saturday after the close of the application period until the quota has been filled or the last day of the season for which the license is valid, whichever occurs first. No one may obtain more than one nonresident wild turkey spring hunting license. Hunters may apply individually or as a group of up to 15 applicants. All members of a group will be accepted or rejected as a group in the drawing. If a group is rejected, members of that group may purchase licenses individually if excess licenses are available.</w:t>
      </w:r>
    </w:p>
    <w:p>
      <w:pPr>
        <w:spacing w:before="0" w:after="0"/>
        <w:ind w:left="120"/>
        <w:jc w:val="both"/>
      </w:pPr>
      <w:r>
        <w:rPr>
          <w:rFonts w:ascii="Times New Roman" w:hAnsi="Times New Roman"/>
          <w:b w:val="false"/>
          <w:i w:val="false"/>
          <w:color w:val="000000"/>
          <w:sz w:val="22"/>
        </w:rPr>
        <w:t>Each individual applicant who is unsuccessful in the drawing will be assigned one preference point for each year in which the individual applies and is unsuccessful. If a person who was unsuccessful in the drawing purchases a leftover license within four weeks, the person will receive a refund for the cost of the preference point. Preference points will not accrue in a year in which an applicant fails to apply, but the applicant will retain any preference points previously earned. Once an applicant receives a license, all preference points will be erased. Preference points will apply to any zone or season for which a hunter applies. The first license drawing each year will be made from the pool of applicants with the most preference points. If licenses are still available after the first drawing, subsequent drawings will be made from pools of applicants with successively fewer preference points and continue until the license quota is reached or all applicants have received licenses. Applicants who apply as a group will be included in a pool of applicants with the same number of preference points as that of the member of the group with the fewest preference points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571—98.14</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spring hunting season. The tag shall be proof of possession of the carcass by the above-mentioned licensee.</w:t>
      </w:r>
    </w:p>
    <w:p>
      <w:pPr>
        <w:spacing w:before="210" w:after="0"/>
        <w:ind w:left="120"/>
        <w:jc w:val="both"/>
      </w:pPr>
      <w:r>
        <w:rPr>
          <w:rFonts w:ascii="Times New Roman" w:hAnsi="Times New Roman"/>
          <w:b/>
          <w:i w:val="false"/>
          <w:color w:val="000000"/>
          <w:sz w:val="22"/>
        </w:rPr>
        <w:t>571—98.15</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turkey must report that kill according to procedures described in </w:t>
      </w:r>
      <w:hyperlink r:id="rId16">
        <w:r>
          <w:rPr>
            <w:rStyle w:val="Hyperlink"/>
            <w:rFonts w:ascii="Times New Roman" w:hAnsi="Times New Roman"/>
            <w:b w:val="false"/>
            <w:i w:val="false"/>
            <w:color w:val="000000"/>
            <w:sz w:val="22"/>
          </w:rPr>
          <w:t>571—95.1(481A)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[Temporary, filed 11/7/75—published 12/1/75, effective 11/7/75]</w:t>
      </w:r>
    </w:p>
    <w:p>
      <w:pPr>
        <w:spacing w:before="0" w:after="0"/>
        <w:ind w:left="120"/>
        <w:jc w:val="center"/>
      </w:pPr>
      <w:r>
        <w:rPr>
          <w:rFonts w:ascii="Times New Roman" w:hAnsi="Times New Roman"/>
          <w:b w:val="false"/>
          <w:i w:val="false"/>
          <w:color w:val="000000"/>
          <w:sz w:val="21"/>
        </w:rPr>
        <w:t>[Filed emergency 11/18/76—published 12/15/76, effective 11/18/76]</w:t>
      </w:r>
    </w:p>
    <w:p>
      <w:pPr>
        <w:spacing w:before="0" w:after="0"/>
        <w:ind w:left="120"/>
        <w:jc w:val="center"/>
      </w:pPr>
      <w:r>
        <w:rPr>
          <w:rFonts w:ascii="Times New Roman" w:hAnsi="Times New Roman"/>
          <w:b w:val="false"/>
          <w:i w:val="false"/>
          <w:color w:val="000000"/>
          <w:sz w:val="21"/>
        </w:rPr>
        <w:t>[Filed 12/9/77, Notice 11/2/77—published 12/28/77, effective 2/1/78]</w:t>
      </w:r>
    </w:p>
    <w:p>
      <w:pPr>
        <w:spacing w:before="0" w:after="0"/>
        <w:ind w:left="120"/>
        <w:jc w:val="center"/>
      </w:pPr>
      <w:r>
        <w:rPr>
          <w:rFonts w:ascii="Times New Roman" w:hAnsi="Times New Roman"/>
          <w:b w:val="false"/>
          <w:i w:val="false"/>
          <w:color w:val="000000"/>
          <w:sz w:val="21"/>
        </w:rPr>
        <w:t>[Filed 12/7/78, Notice 10/18/78—published 12/27/78, effective 1/31/79]</w:t>
      </w:r>
    </w:p>
    <w:p>
      <w:pPr>
        <w:spacing w:before="0" w:after="0"/>
        <w:ind w:left="120"/>
        <w:jc w:val="center"/>
      </w:pPr>
      <w:r>
        <w:rPr>
          <w:rFonts w:ascii="Times New Roman" w:hAnsi="Times New Roman"/>
          <w:b w:val="false"/>
          <w:i w:val="false"/>
          <w:color w:val="000000"/>
          <w:sz w:val="21"/>
        </w:rPr>
        <w:t>[Filed 12/5/79, Notice 10/31/79—published 12/26/79, effective 1/30/80]</w:t>
      </w:r>
    </w:p>
    <w:p>
      <w:pPr>
        <w:spacing w:before="0" w:after="0"/>
        <w:ind w:left="120"/>
        <w:jc w:val="center"/>
      </w:pPr>
      <w:r>
        <w:rPr>
          <w:rFonts w:ascii="Times New Roman" w:hAnsi="Times New Roman"/>
          <w:b w:val="false"/>
          <w:i w:val="false"/>
          <w:color w:val="000000"/>
          <w:sz w:val="21"/>
        </w:rPr>
        <w:t>[Filed 11/7/80, Notice 9/17/80—published 11/26/80, effective 1/1/81]</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11/5/82, Notice 9/29/82—published 11/24/82, effective 1/1/83]</w:t>
      </w:r>
    </w:p>
    <w:p>
      <w:pPr>
        <w:spacing w:before="0" w:after="0"/>
        <w:ind w:left="120"/>
        <w:jc w:val="center"/>
      </w:pPr>
      <w:r>
        <w:rPr>
          <w:rFonts w:ascii="Times New Roman" w:hAnsi="Times New Roman"/>
          <w:b w:val="false"/>
          <w:i w:val="false"/>
          <w:color w:val="000000"/>
          <w:sz w:val="21"/>
        </w:rPr>
        <w:t>[Filed 11/10/83, Notice 9/28/83—published 12/7/83, effective 1/11/84]</w:t>
      </w:r>
    </w:p>
    <w:p>
      <w:pPr>
        <w:spacing w:before="0" w:after="0"/>
        <w:ind w:left="120"/>
        <w:jc w:val="center"/>
      </w:pPr>
      <w:r>
        <w:rPr>
          <w:rFonts w:ascii="Times New Roman" w:hAnsi="Times New Roman"/>
          <w:b w:val="false"/>
          <w:i w:val="false"/>
          <w:color w:val="000000"/>
          <w:sz w:val="21"/>
        </w:rPr>
        <w:t>[Filed 11/2/84, Notice 9/26/84—published 11/21/84, effective 1/1/85]</w:t>
      </w:r>
    </w:p>
    <w:p>
      <w:pPr>
        <w:spacing w:before="0" w:after="0"/>
        <w:ind w:left="120"/>
        <w:jc w:val="center"/>
      </w:pPr>
      <w:r>
        <w:rPr>
          <w:rFonts w:ascii="Times New Roman" w:hAnsi="Times New Roman"/>
          <w:b w:val="false"/>
          <w:i w:val="false"/>
          <w:color w:val="000000"/>
          <w:sz w:val="21"/>
        </w:rPr>
        <w:t>[Filed emergency 2/26/85—published 3/13/85, effective 2/26/85]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11/14/86, Notice 9/24/86—published 12/3/86, effective 1/7/87]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11/13/87, Notice 9/23/87—published 12/2/87, effective 1/6/88]</w:t>
      </w:r>
    </w:p>
    <w:p>
      <w:pPr>
        <w:spacing w:before="0" w:after="0"/>
        <w:ind w:left="120"/>
        <w:jc w:val="center"/>
      </w:pPr>
      <w:r>
        <w:rPr>
          <w:rFonts w:ascii="Times New Roman" w:hAnsi="Times New Roman"/>
          <w:b w:val="false"/>
          <w:i w:val="false"/>
          <w:color w:val="000000"/>
          <w:sz w:val="21"/>
        </w:rPr>
        <w:t>[Filed 11/10/88, Notice 9/21/88—published 11/30/88, effective 1/4/89]</w:t>
      </w:r>
    </w:p>
    <w:p>
      <w:pPr>
        <w:spacing w:before="0" w:after="0"/>
        <w:ind w:left="120"/>
        <w:jc w:val="center"/>
      </w:pPr>
      <w:r>
        <w:rPr>
          <w:rFonts w:ascii="Times New Roman" w:hAnsi="Times New Roman"/>
          <w:b w:val="false"/>
          <w:i w:val="false"/>
          <w:color w:val="000000"/>
          <w:sz w:val="21"/>
        </w:rPr>
        <w:t>[Filed emergency 12/8/89 after Notice 10/4/89—published 12/27/89, effective 12/8/89]</w:t>
      </w:r>
    </w:p>
    <w:p>
      <w:pPr>
        <w:spacing w:before="0" w:after="0"/>
        <w:ind w:left="120"/>
        <w:jc w:val="center"/>
      </w:pPr>
      <w:r>
        <w:rPr>
          <w:rFonts w:ascii="Times New Roman" w:hAnsi="Times New Roman"/>
          <w:b w:val="false"/>
          <w:i w:val="false"/>
          <w:color w:val="000000"/>
          <w:sz w:val="21"/>
        </w:rPr>
        <w:t>[Filed emergency 2/12/90 after Notice 12/27/89—published 3/7/90, effective 2/12/90]</w:t>
      </w:r>
    </w:p>
    <w:p>
      <w:pPr>
        <w:spacing w:before="0" w:after="0"/>
        <w:ind w:left="120"/>
        <w:jc w:val="center"/>
      </w:pPr>
      <w:r>
        <w:rPr>
          <w:rFonts w:ascii="Times New Roman" w:hAnsi="Times New Roman"/>
          <w:b w:val="false"/>
          <w:i w:val="false"/>
          <w:color w:val="000000"/>
          <w:sz w:val="21"/>
        </w:rPr>
        <w:t>[Filed emergency 12/7/90 after Notice 10/3/90—published 12/26/90, effective 12/7/90]</w:t>
      </w:r>
    </w:p>
    <w:p>
      <w:pPr>
        <w:spacing w:before="0" w:after="0"/>
        <w:ind w:left="120"/>
        <w:jc w:val="center"/>
      </w:pPr>
      <w:r>
        <w:rPr>
          <w:rFonts w:ascii="Times New Roman" w:hAnsi="Times New Roman"/>
          <w:b w:val="false"/>
          <w:i w:val="false"/>
          <w:color w:val="000000"/>
          <w:sz w:val="21"/>
        </w:rPr>
        <w:t>[Filed 11/8/91, Notice 10/2/91—published 11/27/91, effective 1/1/92]</w:t>
      </w:r>
    </w:p>
    <w:p>
      <w:pPr>
        <w:spacing w:before="0" w:after="0"/>
        <w:ind w:left="120"/>
        <w:jc w:val="center"/>
      </w:pPr>
      <w:r>
        <w:rPr>
          <w:rFonts w:ascii="Times New Roman" w:hAnsi="Times New Roman"/>
          <w:b w:val="false"/>
          <w:i w:val="false"/>
          <w:color w:val="000000"/>
          <w:sz w:val="21"/>
        </w:rPr>
        <w:t>[Filed 11/6/92, Notice 9/30/92—published 11/25/92, effective 1/1/93]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11/18/94, Notice 9/28/94—published 12/7/94, effective 1/11/95]</w:t>
      </w:r>
    </w:p>
    <w:p>
      <w:pPr>
        <w:spacing w:before="0" w:after="0"/>
        <w:ind w:left="120"/>
        <w:jc w:val="center"/>
      </w:pPr>
      <w:r>
        <w:rPr>
          <w:rFonts w:ascii="Times New Roman" w:hAnsi="Times New Roman"/>
          <w:b w:val="false"/>
          <w:i w:val="false"/>
          <w:color w:val="000000"/>
          <w:sz w:val="21"/>
        </w:rPr>
        <w:t>[Filed 11/16/95, Notice 9/27/95—published 12/6/95, effective 1/10/96]</w:t>
      </w:r>
    </w:p>
    <w:p>
      <w:pPr>
        <w:spacing w:before="0" w:after="0"/>
        <w:ind w:left="120"/>
        <w:jc w:val="center"/>
      </w:pPr>
      <w:r>
        <w:rPr>
          <w:rFonts w:ascii="Times New Roman" w:hAnsi="Times New Roman"/>
          <w:b w:val="false"/>
          <w:i w:val="false"/>
          <w:color w:val="000000"/>
          <w:sz w:val="21"/>
        </w:rPr>
        <w:t>[Filed 11/15/96, Notice 10/9/96—published 12/4/96, effective 1/10/97]</w:t>
      </w:r>
    </w:p>
    <w:p>
      <w:pPr>
        <w:spacing w:before="0" w:after="0"/>
        <w:ind w:left="120"/>
        <w:jc w:val="center"/>
      </w:pPr>
      <w:r>
        <w:rPr>
          <w:rFonts w:ascii="Times New Roman" w:hAnsi="Times New Roman"/>
          <w:b w:val="false"/>
          <w:i w:val="false"/>
          <w:color w:val="000000"/>
          <w:sz w:val="21"/>
        </w:rPr>
        <w:t>[Filed 11/14/97, Notice 10/8/97—published 12/3/97, effective 1/7/98]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11/13/00, Notice 10/4/00—published 11/29/00, effective 1/3/01]</w:t>
      </w:r>
    </w:p>
    <w:p>
      <w:pPr>
        <w:spacing w:before="0" w:after="0"/>
        <w:ind w:left="120"/>
        <w:jc w:val="center"/>
      </w:pPr>
      <w:r>
        <w:rPr>
          <w:rFonts w:ascii="Times New Roman" w:hAnsi="Times New Roman"/>
          <w:b w:val="false"/>
          <w:i w:val="false"/>
          <w:color w:val="000000"/>
          <w:sz w:val="21"/>
        </w:rPr>
        <w:t>[Filed emergency 3/14/01—published 4/4/01, effective 3/14/01]</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11/21/02, Notice 9/4/02—published 12/11/02, effective 1/15/03]</w:t>
      </w:r>
    </w:p>
    <w:p>
      <w:pPr>
        <w:spacing w:before="0" w:after="0"/>
        <w:ind w:left="120"/>
        <w:jc w:val="center"/>
      </w:pPr>
      <w:r>
        <w:rPr>
          <w:rFonts w:ascii="Times New Roman" w:hAnsi="Times New Roman"/>
          <w:b w:val="false"/>
          <w:i w:val="false"/>
          <w:color w:val="000000"/>
          <w:sz w:val="22"/>
        </w:rPr>
        <w:t>[Nullified language editorially removed 5/28/03]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6/28/05, Notice 3/30/05—published 7/20/05, effective 8/24/05]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8253B</w:t>
      </w:r>
      <w:r>
        <w:rPr>
          <w:rFonts w:ascii="Times New Roman" w:hAnsi="Times New Roman"/>
          <w:b w:val="false"/>
          <w:i w:val="false"/>
          <w:color w:val="000000"/>
          <w:sz w:val="21"/>
        </w:rPr>
        <w:t xml:space="preserve"> (Notice ARC 8017B,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9656B</w:t>
      </w:r>
      <w:r>
        <w:rPr>
          <w:rFonts w:ascii="Times New Roman" w:hAnsi="Times New Roman"/>
          <w:b w:val="false"/>
          <w:i w:val="false"/>
          <w:color w:val="000000"/>
          <w:sz w:val="21"/>
        </w:rPr>
        <w:t xml:space="preserve"> (Notice ARC 9507B, IAB 5/18/11)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3832C</w:t>
      </w:r>
      <w:r>
        <w:rPr>
          <w:rFonts w:ascii="Times New Roman" w:hAnsi="Times New Roman"/>
          <w:b w:val="false"/>
          <w:i w:val="false"/>
          <w:color w:val="000000"/>
          <w:sz w:val="21"/>
        </w:rPr>
        <w:t xml:space="preserve"> (Notice ARC 3729C,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5065C</w:t>
      </w:r>
      <w:r>
        <w:rPr>
          <w:rFonts w:ascii="Times New Roman" w:hAnsi="Times New Roman"/>
          <w:b w:val="false"/>
          <w:i w:val="false"/>
          <w:color w:val="000000"/>
          <w:sz w:val="21"/>
        </w:rPr>
        <w:t xml:space="preserve"> (Notice ARC 5034C,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6787C</w:t>
      </w:r>
      <w:r>
        <w:rPr>
          <w:rFonts w:ascii="Times New Roman" w:hAnsi="Times New Roman"/>
          <w:b w:val="false"/>
          <w:i w:val="false"/>
          <w:color w:val="000000"/>
          <w:sz w:val="21"/>
        </w:rPr>
        <w:t xml:space="preserve"> (Notice ARC 6578C, IAB 10/5/22)</w:t>
      </w:r>
      <w:r>
        <w:rPr>
          <w:rFonts w:ascii="Times New Roman" w:hAnsi="Times New Roman"/>
          <w:b w:val="false"/>
          <w:i w:val="false"/>
          <w:color w:val="000000"/>
          <w:sz w:val="21"/>
        </w:rPr>
        <w:t>, IAB 1/11/23, effective 2/15/23]</w:t>
      </w:r>
    </w:p>
    <w:p>
      <w:pPr>
        <w:pBdr>
          <w:bottom w:space="2"/>
        </w:pBdr>
        <w:spacing w:before="0" w:after="0"/>
        <w:ind w:left="120"/>
        <w:jc w:val="both"/>
      </w:pPr>
      <w:r>
        <w:rPr>
          <w:rFonts w:ascii="Times New Roman" w:hAnsi="Times New Roman"/>
          <w:b w:val="false"/>
          <w:i w:val="false"/>
          <w:color w:val="000000"/>
          <w:sz w:val="22"/>
        </w:rPr>
        <w:t>See HJR 5 of 2003 Session of Eightieth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8.2.pdf" Type="http://schemas.openxmlformats.org/officeDocument/2006/relationships/hyperlink" Id="rId5"/>
    <Relationship TargetMode="External" Target="https://www.legis.iowa.gov/docs/iac/rule/571.15.22.pdf" Type="http://schemas.openxmlformats.org/officeDocument/2006/relationships/hyperlink" Id="rId6"/>
    <Relationship TargetMode="External" Target="https://www.legis.iowa.gov/docs/iac/rule/571.95.2.pdf" Type="http://schemas.openxmlformats.org/officeDocument/2006/relationships/hyperlink" Id="rId7"/>
    <Relationship TargetMode="External" Target="https://www.legis.iowa.gov/docs/iac/rule/571.98.2.pdf" Type="http://schemas.openxmlformats.org/officeDocument/2006/relationships/hyperlink" Id="rId8"/>
    <Relationship TargetMode="External" Target="https://www.legis.iowa.gov/docs/iac/rule/571.95.1.pdf" Type="http://schemas.openxmlformats.org/officeDocument/2006/relationships/hyperlink" Id="rId9"/>
    <Relationship TargetMode="External" Target="https://www.legis.iowa.gov/docs/iac/rule/571.98.12.pdf" Type="http://schemas.openxmlformats.org/officeDocument/2006/relationships/hyperlink" Id="rId10"/>
    <Relationship TargetMode="External" Target="https://www.legis.iowa.gov/docs/iac/rule/571.98.12.pdf" Type="http://schemas.openxmlformats.org/officeDocument/2006/relationships/hyperlink" Id="rId11"/>
    <Relationship TargetMode="External" Target="https://www.legis.iowa.gov/docs/iac/rule/571.98.2.pdf" Type="http://schemas.openxmlformats.org/officeDocument/2006/relationships/hyperlink" Id="rId12"/>
    <Relationship TargetMode="External" Target="https://www.legis.iowa.gov/docs/ico/chapter/483A.24.pdf" Type="http://schemas.openxmlformats.org/officeDocument/2006/relationships/hyperlink" Id="rId13"/>
    <Relationship TargetMode="External" Target="https://www.legis.iowa.gov/docs/iac/chapter/571.15.pdf" Type="http://schemas.openxmlformats.org/officeDocument/2006/relationships/hyperlink" Id="rId14"/>
    <Relationship TargetMode="External" Target="https://www.legis.iowa.gov/docs/iac/rule/571.15.22.pdf" Type="http://schemas.openxmlformats.org/officeDocument/2006/relationships/hyperlink" Id="rId15"/>
    <Relationship TargetMode="External" Target="https://www.legis.iowa.gov/docs/iac/rule/571.95.1.pdf" Type="http://schemas.openxmlformats.org/officeDocument/2006/relationships/hyperlink" Id="rId16"/>
    <Relationship TargetMode="External" Target="https://www.legis.iowa.gov/docs/ico/chapter/481A.38.pdf" Type="http://schemas.openxmlformats.org/officeDocument/2006/relationships/hyperlink" Id="rId17"/>
    <Relationship TargetMode="External" Target="https://www.legis.iowa.gov/docs/ico/chapter/481A.39.pdf" Type="http://schemas.openxmlformats.org/officeDocument/2006/relationships/hyperlink" Id="rId18"/>
    <Relationship TargetMode="External" Target="https://www.legis.iowa.gov/docs/ico/chapter/481A.48.pdf" Type="http://schemas.openxmlformats.org/officeDocument/2006/relationships/hyperlink" Id="rId19"/>
    <Relationship TargetMode="External" Target="https://www.legis.iowa.gov/docs/ico/chapter/483A.1.pdf" Type="http://schemas.openxmlformats.org/officeDocument/2006/relationships/hyperlink" Id="rId20"/>
    <Relationship TargetMode="External" Target="https://www.legis.iowa.gov/docs/ico/chapter/483A.7.pdf" Type="http://schemas.openxmlformats.org/officeDocument/2006/relationships/hyperlink" Id="rId21"/>
    <Relationship TargetMode="External" Target="https://www.legis.iowa.gov/docs/ico/chapter/483A.24.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