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COMMON SNIPE, VIRGINIA RAIL AND SORA, WOODCOCK,</w:t>
      </w:r>
      <w:r>
        <w:br/>
      </w:r>
      <w:r>
        <w:rPr>
          <w:rFonts w:ascii="Times New Roman" w:hAnsi="Times New Roman"/>
          <w:b w:val="false"/>
          <w:i w:val="false"/>
          <w:color w:val="000000"/>
          <w:sz w:val="21"/>
        </w:rPr>
        <w:t>RUFFED GROUSE, AND DOVE HUNTING SEASONS</w:t>
      </w:r>
    </w:p>
    <w:p>
      <w:pPr>
        <w:spacing w:before="0" w:after="0"/>
        <w:ind w:left="120"/>
        <w:jc w:val="center"/>
      </w:pPr>
      <w:r>
        <w:rPr>
          <w:rFonts w:ascii="Times New Roman" w:hAnsi="Times New Roman"/>
          <w:b w:val="false"/>
          <w:i w:val="false"/>
          <w:color w:val="000000"/>
          <w:sz w:val="14"/>
        </w:rPr>
        <w:t>[Prior to 12/31/86, Conservation Commission[290] Ch 109]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571—97.1</w:t>
      </w:r>
      <w:r>
        <w:rPr>
          <w:rFonts w:ascii="Times New Roman" w:hAnsi="Times New Roman"/>
          <w:b/>
          <w:i w:val="false"/>
          <w:color w:val="000000"/>
          <w:sz w:val="22"/>
        </w:rPr>
        <w:t xml:space="preserve">(481A) </w:t>
      </w:r>
      <w:r>
        <w:rPr>
          <w:rFonts w:ascii="Times New Roman" w:hAnsi="Times New Roman"/>
          <w:b/>
          <w:i w:val="false"/>
          <w:color w:val="000000"/>
          <w:sz w:val="22"/>
        </w:rPr>
        <w:t xml:space="preserve">Common snipe season. </w:t>
      </w:r>
      <w:r>
        <w:rPr>
          <w:rFonts w:ascii="Times New Roman" w:hAnsi="Times New Roman"/>
          <w:b w:val="false"/>
          <w:i w:val="false"/>
          <w:color w:val="000000"/>
          <w:sz w:val="22"/>
        </w:rPr>
        <w:t>Open season for hunting common snipe shall be from the first Saturday in September through November 30. Shooting hours shall be from one-half hour before sunrise to sunset each day. Daily bag limit 8 birds; possession limit 24 birds.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2087C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571—97.2</w:t>
      </w:r>
      <w:r>
        <w:rPr>
          <w:rFonts w:ascii="Times New Roman" w:hAnsi="Times New Roman"/>
          <w:b/>
          <w:i w:val="false"/>
          <w:color w:val="000000"/>
          <w:sz w:val="22"/>
        </w:rPr>
        <w:t xml:space="preserve">(481A) </w:t>
      </w:r>
      <w:r>
        <w:rPr>
          <w:rFonts w:ascii="Times New Roman" w:hAnsi="Times New Roman"/>
          <w:b/>
          <w:i w:val="false"/>
          <w:color w:val="000000"/>
          <w:sz w:val="22"/>
        </w:rPr>
        <w:t xml:space="preserve">Virginia rail and sora season. </w:t>
      </w:r>
      <w:r>
        <w:rPr>
          <w:rFonts w:ascii="Times New Roman" w:hAnsi="Times New Roman"/>
          <w:b w:val="false"/>
          <w:i w:val="false"/>
          <w:color w:val="000000"/>
          <w:sz w:val="22"/>
        </w:rPr>
        <w:t>Open season for hunting Virginia rail and sora shall be from the first Saturday in September and continue for 70 consecutive days. Shooting hours shall be from one-half hour before sunrise to sunset each day. Daily bag limit 12 and possession limit 36 in aggregate of both species.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2087C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571—97.3</w:t>
      </w:r>
      <w:r>
        <w:rPr>
          <w:rFonts w:ascii="Times New Roman" w:hAnsi="Times New Roman"/>
          <w:b/>
          <w:i w:val="false"/>
          <w:color w:val="000000"/>
          <w:sz w:val="22"/>
        </w:rPr>
        <w:t xml:space="preserve">(481A) </w:t>
      </w:r>
      <w:r>
        <w:rPr>
          <w:rFonts w:ascii="Times New Roman" w:hAnsi="Times New Roman"/>
          <w:b/>
          <w:i w:val="false"/>
          <w:color w:val="000000"/>
          <w:sz w:val="22"/>
        </w:rPr>
        <w:t xml:space="preserve">Woodcock season. </w:t>
      </w:r>
      <w:r>
        <w:rPr>
          <w:rFonts w:ascii="Times New Roman" w:hAnsi="Times New Roman"/>
          <w:b w:val="false"/>
          <w:i w:val="false"/>
          <w:color w:val="000000"/>
          <w:sz w:val="22"/>
        </w:rPr>
        <w:t>Open season for hunting woodcock shall be from the first Saturday in October and continue for 45 consecutive days. Shooting hours shall be from sunrise to sunset each day. Daily bag limit 3; possession limit 9.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2087C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571—97.4</w:t>
      </w:r>
      <w:r>
        <w:rPr>
          <w:rFonts w:ascii="Times New Roman" w:hAnsi="Times New Roman"/>
          <w:b/>
          <w:i w:val="false"/>
          <w:color w:val="000000"/>
          <w:sz w:val="22"/>
        </w:rPr>
        <w:t xml:space="preserve">(481A) </w:t>
      </w:r>
      <w:r>
        <w:rPr>
          <w:rFonts w:ascii="Times New Roman" w:hAnsi="Times New Roman"/>
          <w:b/>
          <w:i w:val="false"/>
          <w:color w:val="000000"/>
          <w:sz w:val="22"/>
        </w:rPr>
        <w:t xml:space="preserve">Ruffed grouse season. </w:t>
      </w:r>
      <w:r>
        <w:rPr>
          <w:rFonts w:ascii="Times New Roman" w:hAnsi="Times New Roman"/>
          <w:b w:val="false"/>
          <w:i w:val="false"/>
          <w:color w:val="000000"/>
          <w:sz w:val="22"/>
        </w:rPr>
        <w:t>Open season for hunting ruffed grouse shall be from the first Saturday in October through January 31 of the succeeding year. Shooting hours shall be from sunrise to sunset each day. Daily bag limit 3; possession limit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color w:val="000000"/>
          <w:sz w:val="22"/>
        </w:rPr>
        <w:t xml:space="preserve">Portion of the state open to hunting. </w:t>
      </w:r>
      <w:r>
        <w:rPr>
          <w:rFonts w:ascii="Times New Roman" w:hAnsi="Times New Roman"/>
          <w:b w:val="false"/>
          <w:i w:val="false"/>
          <w:color w:val="000000"/>
          <w:sz w:val="22"/>
        </w:rPr>
        <w:t>The area open to hunting shall be that portion of the state lying north and east of a line described as follows: beginning at Sabula, Iowa; thence west along State Highway 64 to U.S. Highway 151; thence west along U.S. Highway 151 to State Highway 13; thence north along State Highway 13 to U.S. Highway 20; thence west along U.S. Highway 20 to U.S. Highway 63; thence north along U.S. Highway 63 to the state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571—97.5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571—97.6</w:t>
      </w:r>
      <w:r>
        <w:rPr>
          <w:rFonts w:ascii="Times New Roman" w:hAnsi="Times New Roman"/>
          <w:b/>
          <w:i w:val="false"/>
          <w:color w:val="000000"/>
          <w:sz w:val="22"/>
        </w:rPr>
        <w:t xml:space="preserve">(481A) </w:t>
      </w:r>
      <w:r>
        <w:rPr>
          <w:rFonts w:ascii="Times New Roman" w:hAnsi="Times New Roman"/>
          <w:b/>
          <w:i w:val="false"/>
          <w:color w:val="000000"/>
          <w:sz w:val="22"/>
        </w:rPr>
        <w:t xml:space="preserve">Dove season. </w:t>
      </w:r>
      <w:r>
        <w:rPr>
          <w:rFonts w:ascii="Times New Roman" w:hAnsi="Times New Roman"/>
          <w:b w:val="false"/>
          <w:i w:val="false"/>
          <w:color w:val="000000"/>
          <w:sz w:val="22"/>
        </w:rPr>
        <w:t>Open season for hunting mourning doves and Eurasian collared-doves shall begin on September 1 and continue for 90 consecutive days. Shooting hours shall be from one-half hour before sunrise to sunset each day. Daily bag limit is 15; possession limit is 45. The entire state is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9674B</w:t>
      </w:r>
      <w:r>
        <w:rPr>
          <w:rFonts w:ascii="Times New Roman" w:hAnsi="Times New Roman"/>
          <w:b w:val="false"/>
          <w:i w:val="false"/>
          <w:color w:val="000000"/>
          <w:sz w:val="16"/>
        </w:rPr>
        <w:t>, IAB 8/10/11, effective 8/17/11</w:t>
      </w:r>
      <w:r>
        <w:rPr>
          <w:rFonts w:ascii="Times New Roman" w:hAnsi="Times New Roman"/>
          <w:b w:val="false"/>
          <w:i w:val="false"/>
          <w:color w:val="000000"/>
          <w:sz w:val="16"/>
        </w:rPr>
        <w:t xml:space="preserve"> (See Delay note at end of chapter) (See Rescission note at end of chapter); </w:t>
      </w:r>
      <w:r>
        <w:rPr>
          <w:rFonts w:ascii="Times New Roman" w:hAnsi="Times New Roman"/>
          <w:b/>
          <w:i w:val="false"/>
          <w:color w:val="000000"/>
          <w:sz w:val="16"/>
        </w:rPr>
        <w:t>ARC 2087C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 xml:space="preserve">; </w:t>
      </w:r>
      <w:r>
        <w:rPr>
          <w:rFonts w:ascii="Times New Roman" w:hAnsi="Times New Roman"/>
          <w:b/>
          <w:i w:val="false"/>
          <w:color w:val="000000"/>
          <w:sz w:val="16"/>
        </w:rPr>
        <w:t>ARC 3060C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rules are based on the best biological data available as determined by research conducted by the department of natural resources.</w:t>
      </w:r>
    </w:p>
    <w:p>
      <w:pPr>
        <w:spacing w:before="0" w:after="0"/>
        <w:ind w:left="120"/>
        <w:jc w:val="center"/>
      </w:pPr>
      <w:r>
        <w:rPr>
          <w:rFonts w:ascii="Times New Roman" w:hAnsi="Times New Roman"/>
          <w:b w:val="false"/>
          <w:i w:val="false"/>
          <w:color w:val="000000"/>
          <w:sz w:val="21"/>
        </w:rPr>
        <w:t>[Filed 7/16/75]</w:t>
      </w:r>
    </w:p>
    <w:p>
      <w:pPr>
        <w:spacing w:before="0" w:after="0"/>
        <w:ind w:left="120"/>
        <w:jc w:val="center"/>
      </w:pPr>
      <w:r>
        <w:rPr>
          <w:rFonts w:ascii="Times New Roman" w:hAnsi="Times New Roman"/>
          <w:b w:val="false"/>
          <w:i w:val="false"/>
          <w:color w:val="000000"/>
          <w:sz w:val="21"/>
        </w:rPr>
        <w:t>[Filed emergency 7/9/76—published 7/26/76, effective 7/9/76]</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6/28/76, Notice 3/8/78—published 7/26/78, effective 8/30/78]</w:t>
      </w:r>
    </w:p>
    <w:p>
      <w:pPr>
        <w:spacing w:before="0" w:after="0"/>
        <w:ind w:left="120"/>
        <w:jc w:val="center"/>
      </w:pPr>
      <w:r>
        <w:rPr>
          <w:rFonts w:ascii="Times New Roman" w:hAnsi="Times New Roman"/>
          <w:b w:val="false"/>
          <w:i w:val="false"/>
          <w:color w:val="000000"/>
          <w:sz w:val="21"/>
        </w:rPr>
        <w:t>[Filed 7/20/79, Notice 3/7/79—published 8/8/79, effective 9/12/79]</w:t>
      </w:r>
    </w:p>
    <w:p>
      <w:pPr>
        <w:spacing w:before="0" w:after="0"/>
        <w:ind w:left="120"/>
        <w:jc w:val="center"/>
      </w:pPr>
      <w:r>
        <w:rPr>
          <w:rFonts w:ascii="Times New Roman" w:hAnsi="Times New Roman"/>
          <w:b w:val="false"/>
          <w:i w:val="false"/>
          <w:color w:val="000000"/>
          <w:sz w:val="21"/>
        </w:rPr>
        <w:t>[Filed 7/2/80, Notice 3/5/80—published 7/23/80, effective 8/27/80]</w:t>
      </w:r>
    </w:p>
    <w:p>
      <w:pPr>
        <w:spacing w:before="0" w:after="0"/>
        <w:ind w:left="120"/>
        <w:jc w:val="center"/>
      </w:pPr>
      <w:r>
        <w:rPr>
          <w:rFonts w:ascii="Times New Roman" w:hAnsi="Times New Roman"/>
          <w:b w:val="false"/>
          <w:i w:val="false"/>
          <w:color w:val="000000"/>
          <w:sz w:val="21"/>
        </w:rPr>
        <w:t>[Filed emergency after Notice 7/9/81, Notice 3/4/81—published 8/5/81, effective 9/1/81]</w:t>
      </w:r>
    </w:p>
    <w:p>
      <w:pPr>
        <w:spacing w:before="0" w:after="0"/>
        <w:ind w:left="120"/>
        <w:jc w:val="center"/>
      </w:pPr>
      <w:r>
        <w:rPr>
          <w:rFonts w:ascii="Times New Roman" w:hAnsi="Times New Roman"/>
          <w:b w:val="false"/>
          <w:i w:val="false"/>
          <w:color w:val="000000"/>
          <w:sz w:val="21"/>
        </w:rPr>
        <w:t>[Filed 7/1/82, Notice 3/3/82—published 7/21/82, effective 9/1/82]</w:t>
      </w:r>
    </w:p>
    <w:p>
      <w:pPr>
        <w:spacing w:before="0" w:after="0"/>
        <w:ind w:left="120"/>
        <w:jc w:val="center"/>
      </w:pPr>
      <w:r>
        <w:rPr>
          <w:rFonts w:ascii="Times New Roman" w:hAnsi="Times New Roman"/>
          <w:b w:val="false"/>
          <w:i w:val="false"/>
          <w:color w:val="000000"/>
          <w:sz w:val="21"/>
        </w:rPr>
        <w:t>[Filed 7/1/83, Notice 3/30/83—published 7/20/83, effective 9/1/83]</w:t>
      </w:r>
    </w:p>
    <w:p>
      <w:pPr>
        <w:spacing w:before="0" w:after="0"/>
        <w:ind w:left="120"/>
        <w:jc w:val="center"/>
      </w:pPr>
      <w:r>
        <w:rPr>
          <w:rFonts w:ascii="Times New Roman" w:hAnsi="Times New Roman"/>
          <w:b w:val="false"/>
          <w:i w:val="false"/>
          <w:color w:val="000000"/>
          <w:sz w:val="21"/>
        </w:rPr>
        <w:t>[Filed 6/13/84, Notice 2/29/84—published 7/4/84, effective 9/1/84]</w:t>
      </w:r>
    </w:p>
    <w:p>
      <w:pPr>
        <w:spacing w:before="0" w:after="0"/>
        <w:ind w:left="120"/>
        <w:jc w:val="center"/>
      </w:pPr>
      <w:r>
        <w:rPr>
          <w:rFonts w:ascii="Times New Roman" w:hAnsi="Times New Roman"/>
          <w:b w:val="false"/>
          <w:i w:val="false"/>
          <w:color w:val="000000"/>
          <w:sz w:val="21"/>
        </w:rPr>
        <w:t>[Filed 6/6/85, Notice 2/27/85—published 7/3/85, effective 8/15/85]</w:t>
      </w:r>
    </w:p>
    <w:p>
      <w:pPr>
        <w:spacing w:before="0" w:after="0"/>
        <w:ind w:left="120"/>
        <w:jc w:val="center"/>
      </w:pPr>
      <w:r>
        <w:rPr>
          <w:rFonts w:ascii="Times New Roman" w:hAnsi="Times New Roman"/>
          <w:b w:val="false"/>
          <w:i w:val="false"/>
          <w:color w:val="000000"/>
          <w:sz w:val="21"/>
        </w:rPr>
        <w:t>[Filed 6/11/86, Notice 2/26/86—published 7/2/86, effective 8/15/86]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5/12/89, Notice 3/8/89—published 5/31/89, effective 8/1/89]</w:t>
      </w:r>
    </w:p>
    <w:p>
      <w:pPr>
        <w:spacing w:before="0" w:after="0"/>
        <w:ind w:left="120"/>
        <w:jc w:val="center"/>
      </w:pPr>
      <w:r>
        <w:rPr>
          <w:rFonts w:ascii="Times New Roman" w:hAnsi="Times New Roman"/>
          <w:b w:val="false"/>
          <w:i w:val="false"/>
          <w:color w:val="000000"/>
          <w:sz w:val="21"/>
        </w:rPr>
        <w:t>[Filed 5/11/90, Notice 3/7/90—published 5/30/90, effective 8/1/90]</w:t>
      </w:r>
    </w:p>
    <w:p>
      <w:pPr>
        <w:spacing w:before="0" w:after="0"/>
        <w:ind w:left="120"/>
        <w:jc w:val="center"/>
      </w:pPr>
      <w:r>
        <w:rPr>
          <w:rFonts w:ascii="Times New Roman" w:hAnsi="Times New Roman"/>
          <w:b w:val="false"/>
          <w:i w:val="false"/>
          <w:color w:val="000000"/>
          <w:sz w:val="21"/>
        </w:rPr>
        <w:t>[Filed 5/10/91, Notice 3/6/91—published 5/29/91, effective 8/1/91]</w:t>
      </w:r>
    </w:p>
    <w:p>
      <w:pPr>
        <w:spacing w:before="0" w:after="0"/>
        <w:ind w:left="120"/>
        <w:jc w:val="center"/>
      </w:pPr>
      <w:r>
        <w:rPr>
          <w:rFonts w:ascii="Times New Roman" w:hAnsi="Times New Roman"/>
          <w:b w:val="false"/>
          <w:i w:val="false"/>
          <w:color w:val="000000"/>
          <w:sz w:val="21"/>
        </w:rPr>
        <w:t>[Filed 5/8/92, Notice 3/4/92—published 5/27/92, effective 8/3/92]</w:t>
      </w:r>
    </w:p>
    <w:p>
      <w:pPr>
        <w:spacing w:before="0" w:after="0"/>
        <w:ind w:left="120"/>
        <w:jc w:val="center"/>
      </w:pPr>
      <w:r>
        <w:rPr>
          <w:rFonts w:ascii="Times New Roman" w:hAnsi="Times New Roman"/>
          <w:b w:val="false"/>
          <w:i w:val="false"/>
          <w:color w:val="000000"/>
          <w:sz w:val="21"/>
        </w:rPr>
        <w:t>[Filed 5/7/93, Notice 3/31/93—published 5/26/93, effective 8/2/93]</w:t>
      </w:r>
    </w:p>
    <w:p>
      <w:pPr>
        <w:spacing w:before="0" w:after="0"/>
        <w:ind w:left="120"/>
        <w:jc w:val="center"/>
      </w:pPr>
      <w:r>
        <w:rPr>
          <w:rFonts w:ascii="Times New Roman" w:hAnsi="Times New Roman"/>
          <w:b w:val="false"/>
          <w:i w:val="false"/>
          <w:color w:val="000000"/>
          <w:sz w:val="21"/>
        </w:rPr>
        <w:t>[Filed 5/20/94, Notice 3/2/94—published 6/8/94, effective 8/1/94]</w:t>
      </w:r>
    </w:p>
    <w:p>
      <w:pPr>
        <w:spacing w:before="0" w:after="0"/>
        <w:ind w:left="120"/>
        <w:jc w:val="center"/>
      </w:pPr>
      <w:r>
        <w:rPr>
          <w:rFonts w:ascii="Times New Roman" w:hAnsi="Times New Roman"/>
          <w:b w:val="false"/>
          <w:i w:val="false"/>
          <w:color w:val="000000"/>
          <w:sz w:val="21"/>
        </w:rPr>
        <w:t>[Filed 5/15/95, Notice 3/1/95—published 6/7/95, effective 8/1/95]</w:t>
      </w:r>
    </w:p>
    <w:p>
      <w:pPr>
        <w:spacing w:before="0" w:after="0"/>
        <w:ind w:left="120"/>
        <w:jc w:val="center"/>
      </w:pPr>
      <w:r>
        <w:rPr>
          <w:rFonts w:ascii="Times New Roman" w:hAnsi="Times New Roman"/>
          <w:b w:val="false"/>
          <w:i w:val="false"/>
          <w:color w:val="000000"/>
          <w:sz w:val="21"/>
        </w:rPr>
        <w:t>[Filed 8/22/97, Notice 3/12/97—published 9/10/97, effective 10/15/97]</w:t>
      </w:r>
    </w:p>
    <w:p>
      <w:pPr>
        <w:spacing w:before="0" w:after="0"/>
        <w:ind w:left="120"/>
        <w:jc w:val="center"/>
      </w:pPr>
      <w:r>
        <w:rPr>
          <w:rFonts w:ascii="Times New Roman" w:hAnsi="Times New Roman"/>
          <w:b w:val="false"/>
          <w:i w:val="false"/>
          <w:color w:val="000000"/>
          <w:sz w:val="21"/>
        </w:rPr>
        <w:t>[Filed Emergency After Notice ARC 9674B</w:t>
      </w:r>
      <w:r>
        <w:rPr>
          <w:rFonts w:ascii="Times New Roman" w:hAnsi="Times New Roman"/>
          <w:b w:val="false"/>
          <w:i w:val="false"/>
          <w:color w:val="000000"/>
          <w:sz w:val="21"/>
        </w:rPr>
        <w:t xml:space="preserve"> (Notice ARC 9495B, IAB 5/4/11)</w:t>
      </w:r>
      <w:r>
        <w:rPr>
          <w:rFonts w:ascii="Times New Roman" w:hAnsi="Times New Roman"/>
          <w:b w:val="false"/>
          <w:i w:val="false"/>
          <w:color w:val="000000"/>
          <w:sz w:val="21"/>
        </w:rPr>
        <w:t>, IAB 8/10/11, effective 8/17/11]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[Editorial change: IAC Supplement 5/30/12]</w:t>
      </w:r>
    </w:p>
    <w:p>
      <w:pPr>
        <w:spacing w:before="0" w:after="0"/>
        <w:ind w:left="120"/>
        <w:jc w:val="center"/>
      </w:pPr>
      <w:r>
        <w:rPr>
          <w:rFonts w:ascii="Times New Roman" w:hAnsi="Times New Roman"/>
          <w:b w:val="false"/>
          <w:i w:val="false"/>
          <w:color w:val="000000"/>
          <w:sz w:val="21"/>
        </w:rPr>
        <w:t>[Filed ARC 2087C</w:t>
      </w:r>
      <w:r>
        <w:rPr>
          <w:rFonts w:ascii="Times New Roman" w:hAnsi="Times New Roman"/>
          <w:b w:val="false"/>
          <w:i w:val="false"/>
          <w:color w:val="000000"/>
          <w:sz w:val="21"/>
        </w:rPr>
        <w:t xml:space="preserve"> (Notice ARC 2032C, IAB 6/10/15)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3060C</w:t>
      </w:r>
      <w:r>
        <w:rPr>
          <w:rFonts w:ascii="Times New Roman" w:hAnsi="Times New Roman"/>
          <w:b w:val="false"/>
          <w:i w:val="false"/>
          <w:color w:val="000000"/>
          <w:sz w:val="21"/>
        </w:rPr>
        <w:t xml:space="preserve"> (Notice ARC 2937C, IAB 2/15/17)</w:t>
      </w:r>
      <w:r>
        <w:rPr>
          <w:rFonts w:ascii="Times New Roman" w:hAnsi="Times New Roman"/>
          <w:b w:val="false"/>
          <w:i w:val="false"/>
          <w:color w:val="000000"/>
          <w:sz w:val="21"/>
        </w:rPr>
        <w:t>, IAB 5/10/17, effective 6/14/17]</w:t>
      </w:r>
    </w:p>
    <w:p>
      <w:pPr>
        <w:pBdr>
          <w:bottom w:space="2"/>
        </w:pBdr>
        <w:spacing w:before="0" w:after="0"/>
        <w:ind w:left="120"/>
        <w:jc w:val="both"/>
      </w:pPr>
      <w:r>
        <w:rPr>
          <w:rFonts w:ascii="Times New Roman" w:hAnsi="Times New Roman"/>
          <w:b w:val="false"/>
          <w:i w:val="false"/>
          <w:color w:val="000000"/>
          <w:sz w:val="22"/>
        </w:rPr>
        <w:t xml:space="preserve"> August 17, 2011, effective date of the last sentence of 571—97.6(481A) delayed until adjournment of the 2012 Session of the General Assembly by the Administrative Rules Review Committee at its meeting held August 16, 2011.</w:t>
      </w:r>
    </w:p>
    <w:p>
      <w:pPr>
        <w:pBdr>
          <w:bottom w:space="2"/>
        </w:pBdr>
        <w:spacing w:before="0" w:after="0"/>
        <w:ind w:left="120"/>
        <w:jc w:val="both"/>
      </w:pPr>
      <w:r>
        <w:rPr>
          <w:rFonts w:ascii="Times New Roman" w:hAnsi="Times New Roman"/>
          <w:b w:val="false"/>
          <w:i w:val="false"/>
          <w:color w:val="000000"/>
          <w:sz w:val="22"/>
        </w:rPr>
        <w:t xml:space="preserve"> Rule 571—97.6(481A), last sentence, (ARC 9674B, Item 2, IAB 8/10/11) rescinded by Executive Order Number 77 on 5/11/12. Rescinded sentence removed IAC Supplement 5/30/12.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1A.4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